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A33F3">
      <w:pPr>
        <w:pStyle w:val="195"/>
      </w:pPr>
      <w:r>
        <w:rPr>
          <w:rFonts w:ascii="Times New Roman"/>
        </w:rPr>
        <w:t>ICS</w:t>
      </w:r>
      <w:r>
        <w:rPr>
          <w:rFonts w:hint="eastAsia" w:ascii="MS Gothic" w:hAnsi="MS Gothic" w:eastAsia="MS Gothic" w:cs="MS Gothic"/>
        </w:rPr>
        <w:t> </w:t>
      </w:r>
      <w:bookmarkStart w:id="0" w:name="ICS"/>
      <w:r>
        <w:fldChar w:fldCharType="begin">
          <w:ffData>
            <w:name w:val="ICS"/>
            <w:enabled/>
            <w:calcOnExit w:val="0"/>
            <w:helpText w:type="text" w:val="请输入正确的ICS号："/>
            <w:textInput>
              <w:default w:val="13.100"/>
            </w:textInput>
          </w:ffData>
        </w:fldChar>
      </w:r>
      <w:r>
        <w:instrText xml:space="preserve"> FORMTEXT </w:instrText>
      </w:r>
      <w:r>
        <w:fldChar w:fldCharType="separate"/>
      </w:r>
      <w:r>
        <w:t>13.100</w:t>
      </w:r>
      <w:r>
        <w:fldChar w:fldCharType="end"/>
      </w:r>
      <w:bookmarkEnd w:id="0"/>
    </w:p>
    <w:p w14:paraId="04B680C3">
      <w:pPr>
        <w:pStyle w:val="195"/>
      </w:pPr>
      <w:bookmarkStart w:id="1" w:name="WXFLH"/>
      <w:r>
        <w:fldChar w:fldCharType="begin">
          <w:ffData>
            <w:name w:val="WXFLH"/>
            <w:enabled/>
            <w:calcOnExit w:val="0"/>
            <w:helpText w:type="text" w:val="请输入中国标准文献分类号："/>
            <w:textInput>
              <w:default w:val="C 65"/>
            </w:textInput>
          </w:ffData>
        </w:fldChar>
      </w:r>
      <w:r>
        <w:instrText xml:space="preserve"> FORMTEXT </w:instrText>
      </w:r>
      <w:r>
        <w:fldChar w:fldCharType="separate"/>
      </w:r>
      <w:r>
        <w:t>C 65</w:t>
      </w:r>
      <w:r>
        <w:fldChar w:fldCharType="end"/>
      </w:r>
      <w:bookmarkEnd w:id="1"/>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3985F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noWrap w:val="0"/>
            <w:vAlign w:val="top"/>
          </w:tcPr>
          <w:p w14:paraId="24A4FE0A">
            <w:pPr>
              <w:pStyle w:val="195"/>
            </w:pPr>
            <w:r>
              <mc:AlternateContent>
                <mc:Choice Requires="wps">
                  <w:drawing>
                    <wp:anchor distT="0" distB="0" distL="114300" distR="114300" simplePos="0" relativeHeight="251662336" behindDoc="1" locked="0" layoutInCell="1" allowOverlap="1">
                      <wp:simplePos x="0" y="0"/>
                      <wp:positionH relativeFrom="column">
                        <wp:posOffset>-66675</wp:posOffset>
                      </wp:positionH>
                      <wp:positionV relativeFrom="paragraph">
                        <wp:posOffset>0</wp:posOffset>
                      </wp:positionV>
                      <wp:extent cx="866775" cy="198120"/>
                      <wp:effectExtent l="0" t="0" r="9525" b="11430"/>
                      <wp:wrapNone/>
                      <wp:docPr id="4"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wps:spPr>
                            <wps:bodyPr wrap="square" upright="1"/>
                          </wps:wsp>
                        </a:graphicData>
                      </a:graphic>
                    </wp:anchor>
                  </w:drawing>
                </mc:Choice>
                <mc:Fallback>
                  <w:pict>
                    <v:rect id="BAH" o:spid="_x0000_s1026" o:spt="1" style="position:absolute;left:0pt;margin-left:-5.25pt;margin-top:0pt;height:15.6pt;width:68.25pt;z-index:-251654144;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K4v7NUA&#10;AAAHAQAADwAAAAAAAAABACAAAAAiAAAAZHJzL2Rvd25yZXYueG1sUEsBAhQAFAAAAAgAh07iQLEz&#10;6MywAQAAZwMAAA4AAAAAAAAAAQAgAAAAJAEAAGRycy9lMm9Eb2MueG1sUEsFBgAAAAAGAAYAWQEA&#10;AEYFAAAAAA==&#10;">
                      <v:fill on="t" focussize="0,0"/>
                      <v:stroke on="f"/>
                      <v:imagedata o:title=""/>
                      <o:lock v:ext="edit" aspectratio="f"/>
                    </v:rect>
                  </w:pict>
                </mc:Fallback>
              </mc:AlternateContent>
            </w:r>
            <w:r>
              <w:fldChar w:fldCharType="begin">
                <w:ffData>
                  <w:name w:val="BAH"/>
                  <w:enabled/>
                  <w:calcOnExit w:val="0"/>
                  <w:textInput/>
                </w:ffData>
              </w:fldChar>
            </w:r>
            <w:bookmarkStart w:id="2" w:name="BAH"/>
            <w:r>
              <w:instrText xml:space="preserve"> FORMTEXT </w:instrText>
            </w:r>
            <w:r>
              <w:fldChar w:fldCharType="separate"/>
            </w:r>
            <w:r>
              <w:t>     </w:t>
            </w:r>
            <w:r>
              <w:fldChar w:fldCharType="end"/>
            </w:r>
            <w:bookmarkEnd w:id="2"/>
          </w:p>
        </w:tc>
      </w:tr>
    </w:tbl>
    <w:p w14:paraId="2EEEDC64">
      <w:pPr>
        <w:pStyle w:val="180"/>
      </w:pPr>
      <w:r>
        <w:t>DB</w:t>
      </w:r>
      <w:bookmarkStart w:id="3" w:name="c3"/>
      <w:r>
        <w:fldChar w:fldCharType="begin">
          <w:ffData>
            <w:name w:val="c3"/>
            <w:enabled/>
            <w:calcOnExit w:val="0"/>
            <w:entryMacro w:val="ShowHelp16"/>
            <w:textInput>
              <w:default w:val="11"/>
              <w:maxLength w:val="2"/>
            </w:textInput>
          </w:ffData>
        </w:fldChar>
      </w:r>
      <w:r>
        <w:instrText xml:space="preserve"> FORMTEXT </w:instrText>
      </w:r>
      <w:r>
        <w:fldChar w:fldCharType="separate"/>
      </w:r>
      <w:r>
        <w:t>11</w:t>
      </w:r>
      <w:r>
        <w:fldChar w:fldCharType="end"/>
      </w:r>
      <w:bookmarkEnd w:id="3"/>
    </w:p>
    <w:p w14:paraId="135D0639">
      <w:pPr>
        <w:pStyle w:val="181"/>
        <w:outlineLvl w:val="0"/>
      </w:pPr>
      <w:bookmarkStart w:id="4" w:name="c4"/>
      <w:bookmarkStart w:id="5" w:name="_Toc17371"/>
      <w:bookmarkStart w:id="6" w:name="_Toc6489"/>
      <w:r>
        <w:fldChar w:fldCharType="begin">
          <w:ffData>
            <w:name w:val="c4"/>
            <w:enabled/>
            <w:calcOnExit w:val="0"/>
            <w:entryMacro w:val="ShowHelp12"/>
            <w:textInput>
              <w:default w:val="北京市"/>
            </w:textInput>
          </w:ffData>
        </w:fldChar>
      </w:r>
      <w:r>
        <w:instrText xml:space="preserve"> FORMTEXT </w:instrText>
      </w:r>
      <w:r>
        <w:fldChar w:fldCharType="separate"/>
      </w:r>
      <w:r>
        <w:t>北京市</w:t>
      </w:r>
      <w:r>
        <w:fldChar w:fldCharType="end"/>
      </w:r>
      <w:bookmarkEnd w:id="4"/>
      <w:r>
        <w:rPr>
          <w:rFonts w:hint="eastAsia"/>
        </w:rPr>
        <w:t>地方标准</w:t>
      </w:r>
      <w:bookmarkEnd w:id="5"/>
      <w:bookmarkEnd w:id="6"/>
    </w:p>
    <w:p w14:paraId="395BC885">
      <w:pPr>
        <w:pStyle w:val="113"/>
        <w:wordWrap w:val="0"/>
      </w:pPr>
      <w:r>
        <w:rPr>
          <w:rFonts w:ascii="Times New Roman"/>
        </w:rPr>
        <w:t>DB</w:t>
      </w:r>
      <w:bookmarkStart w:id="7" w:name="StdNo0"/>
      <w:r>
        <w:fldChar w:fldCharType="begin">
          <w:ffData>
            <w:name w:val="StdNo0"/>
            <w:enabled/>
            <w:calcOnExit w:val="0"/>
            <w:textInput>
              <w:default w:val="XX"/>
              <w:maxLength w:val="2"/>
            </w:textInput>
          </w:ffData>
        </w:fldChar>
      </w:r>
      <w:r>
        <w:instrText xml:space="preserve"> FORMTEXT </w:instrText>
      </w:r>
      <w:r>
        <w:fldChar w:fldCharType="separate"/>
      </w:r>
      <w:r>
        <w:rPr>
          <w:rFonts w:hint="eastAsia"/>
        </w:rPr>
        <w:t>11</w:t>
      </w:r>
      <w:r>
        <w:fldChar w:fldCharType="end"/>
      </w:r>
      <w:bookmarkEnd w:id="7"/>
      <w:r>
        <w:t>/</w:t>
      </w:r>
      <w:r>
        <w:rPr>
          <w:rFonts w:hint="eastAsia"/>
        </w:rPr>
        <w:t>T 1322.50</w:t>
      </w:r>
      <w:r>
        <w:t>—</w:t>
      </w:r>
      <w:bookmarkStart w:id="8" w:name="StdNo2"/>
      <w:r>
        <w:fldChar w:fldCharType="begin">
          <w:ffData>
            <w:name w:val="StdNo2"/>
            <w:enabled/>
            <w:calcOnExit w:val="0"/>
            <w:textInput>
              <w:default w:val="XXXX"/>
              <w:maxLength w:val="4"/>
            </w:textInput>
          </w:ffData>
        </w:fldChar>
      </w:r>
      <w:r>
        <w:instrText xml:space="preserve"> FORMTEXT </w:instrText>
      </w:r>
      <w:r>
        <w:fldChar w:fldCharType="separate"/>
      </w:r>
      <w:r>
        <w:t>XXXX</w:t>
      </w:r>
      <w:r>
        <w:fldChar w:fldCharType="end"/>
      </w:r>
      <w:bookmarkEnd w:id="8"/>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tblGrid>
      <w:tr w14:paraId="571C5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noWrap w:val="0"/>
            <w:vAlign w:val="top"/>
          </w:tcPr>
          <w:p w14:paraId="01D6DF31">
            <w:pPr>
              <w:pStyle w:val="144"/>
            </w:pPr>
            <w:bookmarkStart w:id="9" w:name="DT"/>
            <w:r>
              <w:fldChar w:fldCharType="begin">
                <w:ffData>
                  <w:name w:val="DT"/>
                  <w:enabled/>
                  <w:calcOnExit w:val="0"/>
                  <w:entryMacro w:val="ShowHelp4"/>
                  <w:textInput/>
                </w:ffData>
              </w:fldChar>
            </w:r>
            <w:r>
              <w:instrText xml:space="preserve"> FORMTEXT </w:instrText>
            </w:r>
            <w:r>
              <w:fldChar w:fldCharType="separate"/>
            </w:r>
            <w:r>
              <w:t xml:space="preserve"> </w:t>
            </w:r>
            <w:r>
              <w:fldChar w:fldCharType="end"/>
            </w:r>
            <w:bookmarkEnd w:id="9"/>
          </w:p>
        </w:tc>
      </w:tr>
    </w:tbl>
    <w:p w14:paraId="0F9C1CAD">
      <w:pPr>
        <w:pStyle w:val="113"/>
      </w:pPr>
    </w:p>
    <w:p w14:paraId="52D09A0B">
      <w:pPr>
        <w:pStyle w:val="113"/>
      </w:pPr>
    </w:p>
    <w:p w14:paraId="19D5F9BC">
      <w:pPr>
        <w:pStyle w:val="108"/>
        <w:outlineLvl w:val="0"/>
        <w:rPr>
          <w:rFonts w:hint="eastAsia"/>
        </w:rPr>
      </w:pPr>
      <w:bookmarkStart w:id="10" w:name="_Toc3132"/>
      <w:bookmarkStart w:id="11" w:name="_Toc14829"/>
      <w:bookmarkStart w:id="12" w:name="StdName"/>
      <w:r>
        <w:fldChar w:fldCharType="begin">
          <w:ffData>
            <w:name w:val="StdName"/>
            <w:enabled/>
            <w:calcOnExit w:val="0"/>
            <w:textInput>
              <w:default w:val="点击此处添加标准名称"/>
            </w:textInput>
          </w:ffData>
        </w:fldChar>
      </w:r>
      <w:r>
        <w:instrText xml:space="preserve"> FORMTEXT </w:instrText>
      </w:r>
      <w:r>
        <w:fldChar w:fldCharType="separate"/>
      </w:r>
      <w:r>
        <w:rPr>
          <w:rFonts w:hint="eastAsia"/>
        </w:rPr>
        <w:t>安全生产等级评定技术规范</w:t>
      </w:r>
      <w:bookmarkEnd w:id="10"/>
      <w:bookmarkEnd w:id="11"/>
    </w:p>
    <w:p w14:paraId="5756F4FE">
      <w:pPr>
        <w:pStyle w:val="108"/>
        <w:outlineLvl w:val="0"/>
      </w:pPr>
      <w:bookmarkStart w:id="13" w:name="_Toc13521"/>
      <w:bookmarkStart w:id="14" w:name="_Toc14132"/>
      <w:r>
        <w:rPr>
          <w:rFonts w:hint="eastAsia"/>
        </w:rPr>
        <w:t>第50部分：A级旅游景区</w:t>
      </w:r>
      <w:r>
        <w:fldChar w:fldCharType="end"/>
      </w:r>
      <w:bookmarkEnd w:id="12"/>
      <w:bookmarkEnd w:id="13"/>
      <w:bookmarkEnd w:id="14"/>
    </w:p>
    <w:p w14:paraId="0AB505B8">
      <w:pPr>
        <w:pStyle w:val="107"/>
        <w:rPr>
          <w:rFonts w:hint="eastAsia" w:ascii="黑体" w:hAnsi="黑体"/>
        </w:rPr>
      </w:pPr>
      <w:bookmarkStart w:id="15" w:name="StdEnglishName"/>
      <w:r>
        <w:rPr>
          <w:rFonts w:ascii="黑体" w:hAnsi="黑体"/>
        </w:rPr>
        <w:fldChar w:fldCharType="begin">
          <w:ffData>
            <w:name w:val="StdEnglishName"/>
            <w:enabled/>
            <w:calcOnExit w:val="0"/>
            <w:textInput>
              <w:default w:val="点击此处添加标准英文译名"/>
            </w:textInput>
          </w:ffData>
        </w:fldChar>
      </w:r>
      <w:r>
        <w:rPr>
          <w:rFonts w:ascii="黑体" w:hAnsi="黑体"/>
        </w:rPr>
        <w:instrText xml:space="preserve"> FORMTEXT </w:instrText>
      </w:r>
      <w:r>
        <w:rPr>
          <w:rFonts w:ascii="黑体" w:hAnsi="黑体"/>
        </w:rPr>
        <w:fldChar w:fldCharType="separate"/>
      </w:r>
      <w:r>
        <w:rPr>
          <w:rFonts w:ascii="黑体" w:hAnsi="黑体"/>
        </w:rPr>
        <w:t>Technical specification for grade assessment of work safety—</w:t>
      </w:r>
    </w:p>
    <w:p w14:paraId="41E9D266">
      <w:pPr>
        <w:pStyle w:val="107"/>
      </w:pPr>
      <w:r>
        <w:rPr>
          <w:rFonts w:hint="eastAsia" w:ascii="黑体" w:hAnsi="黑体"/>
        </w:rPr>
        <w:t xml:space="preserve">Part 50:Level scenic spots </w:t>
      </w:r>
      <w:r>
        <w:rPr>
          <w:rFonts w:ascii="黑体"/>
        </w:rPr>
        <w:t>     </w:t>
      </w:r>
      <w:r>
        <w:rPr>
          <w:rFonts w:ascii="黑体" w:hAnsi="黑体"/>
        </w:rPr>
        <w:fldChar w:fldCharType="end"/>
      </w:r>
      <w:bookmarkEnd w:id="15"/>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5"/>
      </w:tblGrid>
      <w:tr w14:paraId="173DA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noWrap w:val="0"/>
            <w:vAlign w:val="top"/>
          </w:tcPr>
          <w:p w14:paraId="048DF9FD">
            <w:pPr>
              <w:pStyle w:val="121"/>
            </w:pPr>
            <w:r>
              <mc:AlternateContent>
                <mc:Choice Requires="wps">
                  <w:drawing>
                    <wp:anchor distT="0" distB="0" distL="114300" distR="114300" simplePos="0" relativeHeight="251661312" behindDoc="1" locked="1" layoutInCell="1" allowOverlap="1">
                      <wp:simplePos x="0" y="0"/>
                      <wp:positionH relativeFrom="column">
                        <wp:posOffset>2200910</wp:posOffset>
                      </wp:positionH>
                      <wp:positionV relativeFrom="paragraph">
                        <wp:posOffset>4281805</wp:posOffset>
                      </wp:positionV>
                      <wp:extent cx="1905000" cy="254000"/>
                      <wp:effectExtent l="0" t="0" r="0" b="12700"/>
                      <wp:wrapNone/>
                      <wp:docPr id="3" name="RQ"/>
                      <wp:cNvGraphicFramePr/>
                      <a:graphic xmlns:a="http://schemas.openxmlformats.org/drawingml/2006/main">
                        <a:graphicData uri="http://schemas.microsoft.com/office/word/2010/wordprocessingShape">
                          <wps:wsp>
                            <wps:cNvSpPr/>
                            <wps:spPr>
                              <a:xfrm>
                                <a:off x="0" y="0"/>
                                <a:ext cx="1905000" cy="254000"/>
                              </a:xfrm>
                              <a:prstGeom prst="rect">
                                <a:avLst/>
                              </a:prstGeom>
                              <a:solidFill>
                                <a:srgbClr val="FFFFFF"/>
                              </a:solidFill>
                              <a:ln>
                                <a:noFill/>
                              </a:ln>
                            </wps:spPr>
                            <wps:bodyPr wrap="square" upright="1"/>
                          </wps:wsp>
                        </a:graphicData>
                      </a:graphic>
                    </wp:anchor>
                  </w:drawing>
                </mc:Choice>
                <mc:Fallback>
                  <w:pict>
                    <v:rect id="RQ" o:spid="_x0000_s1026" o:spt="1" style="position:absolute;left:0pt;margin-left:173.3pt;margin-top:337.15pt;height:20pt;width:150pt;z-index:-251655168;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f1/fg1wAAAAsB&#10;AAAPAAAAAAAAAAEAIAAAACIAAABkcnMvZG93bnJldi54bWxQSwECFAAUAAAACACHTuJAjWJ5laoB&#10;AABnAwAADgAAAAAAAAABACAAAAAmAQAAZHJzL2Uyb0RvYy54bWxQSwUGAAAAAAYABgBZAQAAQgUA&#10;AAAA&#10;">
                      <v:fill on="t" focussize="0,0"/>
                      <v:stroke on="f"/>
                      <v:imagedata o:title=""/>
                      <o:lock v:ext="edit" aspectratio="f"/>
                      <w10:anchorlock/>
                    </v:rect>
                  </w:pict>
                </mc:Fallback>
              </mc:AlternateContent>
            </w:r>
            <w:r>
              <w:rPr>
                <w:rFonts w:hint="eastAsia"/>
              </w:rPr>
              <w:t>（</w:t>
            </w:r>
            <w:r>
              <w:rPr>
                <w:rFonts w:hint="eastAsia"/>
                <w:lang w:val="en-US" w:eastAsia="zh-CN"/>
              </w:rPr>
              <w:t>征求意见</w:t>
            </w:r>
            <w:r>
              <w:rPr>
                <w:rFonts w:hint="eastAsia"/>
              </w:rPr>
              <w:t>稿）</w:t>
            </w:r>
          </w:p>
        </w:tc>
      </w:tr>
      <w:tr w14:paraId="0703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noWrap w:val="0"/>
            <w:vAlign w:val="top"/>
          </w:tcPr>
          <w:p w14:paraId="3C62D90F">
            <w:pPr>
              <w:pStyle w:val="157"/>
            </w:pPr>
            <w:bookmarkStart w:id="16" w:name="WCRQ"/>
            <w:r>
              <w:fldChar w:fldCharType="begin">
                <w:ffData>
                  <w:name w:val="WCRQ"/>
                  <w:enabled/>
                  <w:calcOnExit w:val="0"/>
                  <w:textInput/>
                </w:ffData>
              </w:fldChar>
            </w:r>
            <w:r>
              <w:instrText xml:space="preserve"> FORMTEXT </w:instrText>
            </w:r>
            <w:r>
              <w:fldChar w:fldCharType="separate"/>
            </w:r>
            <w:r>
              <w:t>     </w:t>
            </w:r>
            <w:r>
              <w:fldChar w:fldCharType="end"/>
            </w:r>
            <w:bookmarkEnd w:id="16"/>
          </w:p>
        </w:tc>
      </w:tr>
    </w:tbl>
    <w:p w14:paraId="54B57042">
      <w:pPr>
        <w:pStyle w:val="198"/>
      </w:pPr>
      <w:bookmarkStart w:id="17" w:name="FY"/>
      <w:r>
        <w:rPr>
          <w:rFonts w:ascii="黑体"/>
        </w:rPr>
        <w:fldChar w:fldCharType="begin">
          <w:ffData>
            <w:name w:val="FY"/>
            <w:enabled/>
            <w:calcOnExit w:val="0"/>
            <w:entryMacro w:val="ShowHelp8"/>
            <w:textInput>
              <w:default w:val="XXXX"/>
              <w:maxLength w:val="4"/>
            </w:textInput>
          </w:ffData>
        </w:fldChar>
      </w:r>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FM"/>
            <w:enabled/>
            <w:calcOnExit w:val="0"/>
            <w:entryMacro w:val="ShowHelp8"/>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r>
        <w:t xml:space="preserve"> </w:t>
      </w:r>
      <w:r>
        <w:rPr>
          <w:rFonts w:ascii="黑体"/>
        </w:rPr>
        <w:t>-</w:t>
      </w:r>
      <w:r>
        <w:t xml:space="preserve"> </w:t>
      </w:r>
      <w:bookmarkStart w:id="18" w:name="FD"/>
      <w:r>
        <w:rPr>
          <w:rFonts w:ascii="黑体"/>
        </w:rPr>
        <w:fldChar w:fldCharType="begin">
          <w:ffData>
            <w:name w:val="FD"/>
            <w:enabled/>
            <w:calcOnExit w:val="0"/>
            <w:entryMacro w:val="ShowHelp8"/>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发布</w:t>
      </w:r>
      <w:r>
        <mc:AlternateContent>
          <mc:Choice Requires="wps">
            <w:drawing>
              <wp:anchor distT="0" distB="0" distL="114300" distR="114300" simplePos="0" relativeHeight="251663360" behindDoc="0" locked="1" layoutInCell="1" allowOverlap="1">
                <wp:simplePos x="0" y="0"/>
                <wp:positionH relativeFrom="column">
                  <wp:posOffset>-635</wp:posOffset>
                </wp:positionH>
                <wp:positionV relativeFrom="page">
                  <wp:posOffset>9251950</wp:posOffset>
                </wp:positionV>
                <wp:extent cx="6120130" cy="0"/>
                <wp:effectExtent l="0" t="4445" r="0" b="5080"/>
                <wp:wrapNone/>
                <wp:docPr id="5" name="直线 10"/>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0.05pt;margin-top:728.5pt;height:0pt;width:481.9pt;mso-position-vertical-relative:page;z-index:251663360;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WHazzWAAAA&#10;CwEAAA8AAAAAAAAAAQAgAAAAIgAAAGRycy9kb3ducmV2LnhtbFBLAQIUABQAAAAIAIdO4kA3tMMG&#10;5gEAANwDAAAOAAAAAAAAAAEAIAAAACUBAABkcnMvZTJvRG9jLnhtbFBLBQYAAAAABgAGAFkBAAB9&#10;BQAAAAA=&#10;">
                <v:fill on="f" focussize="0,0"/>
                <v:stroke color="#000000" joinstyle="round"/>
                <v:imagedata o:title=""/>
                <o:lock v:ext="edit" aspectratio="f"/>
                <w10:anchorlock/>
              </v:line>
            </w:pict>
          </mc:Fallback>
        </mc:AlternateContent>
      </w:r>
    </w:p>
    <w:p w14:paraId="480BDB68">
      <w:pPr>
        <w:pStyle w:val="200"/>
      </w:pPr>
      <w:bookmarkStart w:id="19" w:name="SY"/>
      <w:r>
        <w:rPr>
          <w:rFonts w:ascii="黑体"/>
        </w:rPr>
        <w:fldChar w:fldCharType="begin">
          <w:ffData>
            <w:name w:val="SY"/>
            <w:enabled/>
            <w:calcOnExit w:val="0"/>
            <w:entryMacro w:val="ShowHelp9"/>
            <w:textInput>
              <w:default w:val="XXXX"/>
              <w:maxLength w:val="4"/>
            </w:textInput>
          </w:ffData>
        </w:fldChar>
      </w:r>
      <w:r>
        <w:rPr>
          <w:rFonts w:ascii="黑体"/>
        </w:rPr>
        <w:instrText xml:space="preserve"> FORMTEXT </w:instrText>
      </w:r>
      <w:r>
        <w:rPr>
          <w:rFonts w:ascii="黑体"/>
        </w:rPr>
        <w:fldChar w:fldCharType="separate"/>
      </w:r>
      <w:r>
        <w:rPr>
          <w:rFonts w:ascii="黑体"/>
        </w:rPr>
        <w:t>XXXX</w:t>
      </w:r>
      <w:r>
        <w:rPr>
          <w:rFonts w:ascii="黑体"/>
        </w:rPr>
        <w:fldChar w:fldCharType="end"/>
      </w:r>
      <w:bookmarkEnd w:id="19"/>
      <w:r>
        <w:t xml:space="preserve"> </w:t>
      </w:r>
      <w:r>
        <w:rPr>
          <w:rFonts w:ascii="黑体"/>
        </w:rPr>
        <w:t>-</w:t>
      </w:r>
      <w:r>
        <w:t xml:space="preserve"> </w:t>
      </w:r>
      <w:bookmarkStart w:id="20" w:name="SM"/>
      <w:r>
        <w:rPr>
          <w:rFonts w:ascii="黑体"/>
        </w:rPr>
        <w:fldChar w:fldCharType="begin">
          <w:ffData>
            <w:name w:val="SM"/>
            <w:enabled/>
            <w:calcOnExit w:val="0"/>
            <w:entryMacro w:val="ShowHelp9"/>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t xml:space="preserve"> </w:t>
      </w:r>
      <w:r>
        <w:rPr>
          <w:rFonts w:ascii="黑体"/>
        </w:rPr>
        <w:t>-</w:t>
      </w:r>
      <w:r>
        <w:t xml:space="preserve"> </w:t>
      </w:r>
      <w:bookmarkStart w:id="21" w:name="SD"/>
      <w:r>
        <w:rPr>
          <w:rFonts w:ascii="黑体"/>
        </w:rPr>
        <w:fldChar w:fldCharType="begin">
          <w:ffData>
            <w:name w:val="SD"/>
            <w:enabled/>
            <w:calcOnExit w:val="0"/>
            <w:entryMacro w:val="ShowHelp9"/>
            <w:textInput>
              <w:default w:val="XX"/>
              <w:maxLength w:val="2"/>
            </w:textInput>
          </w:ffData>
        </w:fldChar>
      </w:r>
      <w:r>
        <w:rPr>
          <w:rFonts w:ascii="黑体"/>
        </w:rPr>
        <w:instrText xml:space="preserve"> FORMTEXT </w:instrText>
      </w:r>
      <w:r>
        <w:rPr>
          <w:rFonts w:ascii="黑体"/>
        </w:rPr>
        <w:fldChar w:fldCharType="separate"/>
      </w:r>
      <w:r>
        <w:rPr>
          <w:rFonts w:ascii="黑体"/>
        </w:rPr>
        <w:t>XX</w:t>
      </w:r>
      <w:r>
        <w:rPr>
          <w:rFonts w:ascii="黑体"/>
        </w:rPr>
        <w:fldChar w:fldCharType="end"/>
      </w:r>
      <w:bookmarkEnd w:id="21"/>
      <w:r>
        <w:rPr>
          <w:rFonts w:hint="eastAsia"/>
        </w:rPr>
        <w:t>实施</w:t>
      </w:r>
    </w:p>
    <w:p w14:paraId="4F6BECCB">
      <w:pPr>
        <w:pStyle w:val="182"/>
      </w:pPr>
      <w:r>
        <w:rPr>
          <w:w w:val="100"/>
        </w:rPr>
        <mc:AlternateContent>
          <mc:Choice Requires="wps">
            <w:drawing>
              <wp:anchor distT="0" distB="0" distL="114300" distR="114300" simplePos="0" relativeHeight="251660288" behindDoc="1" locked="0" layoutInCell="1" allowOverlap="1">
                <wp:simplePos x="0" y="0"/>
                <wp:positionH relativeFrom="column">
                  <wp:posOffset>1810385</wp:posOffset>
                </wp:positionH>
                <wp:positionV relativeFrom="paragraph">
                  <wp:posOffset>-3942715</wp:posOffset>
                </wp:positionV>
                <wp:extent cx="1270000" cy="304800"/>
                <wp:effectExtent l="0" t="0" r="6350" b="0"/>
                <wp:wrapNone/>
                <wp:docPr id="2" name="LB"/>
                <wp:cNvGraphicFramePr/>
                <a:graphic xmlns:a="http://schemas.openxmlformats.org/drawingml/2006/main">
                  <a:graphicData uri="http://schemas.microsoft.com/office/word/2010/wordprocessingShape">
                    <wps:wsp>
                      <wps:cNvSpPr/>
                      <wps:spPr>
                        <a:xfrm>
                          <a:off x="0" y="0"/>
                          <a:ext cx="1270000" cy="304800"/>
                        </a:xfrm>
                        <a:prstGeom prst="rect">
                          <a:avLst/>
                        </a:prstGeom>
                        <a:solidFill>
                          <a:srgbClr val="FFFFFF"/>
                        </a:solidFill>
                        <a:ln>
                          <a:noFill/>
                        </a:ln>
                      </wps:spPr>
                      <wps:bodyPr wrap="square" upright="1"/>
                    </wps:wsp>
                  </a:graphicData>
                </a:graphic>
              </wp:anchor>
            </w:drawing>
          </mc:Choice>
          <mc:Fallback>
            <w:pict>
              <v:rect id="LB" o:spid="_x0000_s1026" o:spt="1" style="position:absolute;left:0pt;margin-left:142.55pt;margin-top:-310.45pt;height:24pt;width:100pt;z-index:-251656192;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Xu1tkAAAAN&#10;AQAADwAAAAAAAAABACAAAAAiAAAAZHJzL2Rvd25yZXYueG1sUEsBAhQAFAAAAAgAh07iQBXfBLqp&#10;AQAAZwMAAA4AAAAAAAAAAQAgAAAAKAEAAGRycy9lMm9Eb2MueG1sUEsFBgAAAAAGAAYAWQEAAEMF&#10;AAAAAA==&#10;">
                <v:fill on="t" focussize="0,0"/>
                <v:stroke on="f"/>
                <v:imagedata o:title=""/>
                <o:lock v:ext="edit" aspectratio="f"/>
              </v:rect>
            </w:pict>
          </mc:Fallback>
        </mc:AlternateContent>
      </w:r>
      <w:r>
        <w:rPr>
          <w:w w:val="100"/>
        </w:rPr>
        <mc:AlternateContent>
          <mc:Choice Requires="wps">
            <w:drawing>
              <wp:anchor distT="0" distB="0" distL="114300" distR="114300" simplePos="0" relativeHeight="251659264" behindDoc="1" locked="0" layoutInCell="1" allowOverlap="1">
                <wp:simplePos x="0" y="0"/>
                <wp:positionH relativeFrom="column">
                  <wp:posOffset>4413885</wp:posOffset>
                </wp:positionH>
                <wp:positionV relativeFrom="paragraph">
                  <wp:posOffset>-7435215</wp:posOffset>
                </wp:positionV>
                <wp:extent cx="1143000" cy="228600"/>
                <wp:effectExtent l="0" t="0" r="0" b="0"/>
                <wp:wrapNone/>
                <wp:docPr id="1"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a:noFill/>
                        </a:ln>
                      </wps:spPr>
                      <wps:bodyPr wrap="square" upright="1"/>
                    </wps:wsp>
                  </a:graphicData>
                </a:graphic>
              </wp:anchor>
            </w:drawing>
          </mc:Choice>
          <mc:Fallback>
            <w:pict>
              <v:rect id="DT" o:spid="_x0000_s1026" o:spt="1" style="position:absolute;left:0pt;margin-left:347.55pt;margin-top:-585.45pt;height:18pt;width:90pt;z-index:-251657216;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fyYoR2gAA&#10;AA8BAAAPAAAAAAAAAAEAIAAAACIAAABkcnMvZG93bnJldi54bWxQSwECFAAUAAAACACHTuJA9p9R&#10;CqoBAABnAwAADgAAAAAAAAABACAAAAApAQAAZHJzL2Uyb0RvYy54bWxQSwUGAAAAAAYABgBZAQAA&#10;RQUAAAAA&#10;">
                <v:fill on="t" focussize="0,0"/>
                <v:stroke on="f"/>
                <v:imagedata o:title=""/>
                <o:lock v:ext="edit" aspectratio="f"/>
              </v:rect>
            </w:pict>
          </mc:Fallback>
        </mc:AlternateContent>
      </w:r>
      <w:r>
        <w:rPr>
          <w:w w:val="100"/>
        </w:rPr>
        <mc:AlternateContent>
          <mc:Choice Requires="wps">
            <w:drawing>
              <wp:anchor distT="0" distB="0" distL="114300" distR="114300" simplePos="0" relativeHeight="251664384" behindDoc="0" locked="0" layoutInCell="1" allowOverlap="1">
                <wp:simplePos x="0" y="0"/>
                <wp:positionH relativeFrom="column">
                  <wp:posOffset>-464820</wp:posOffset>
                </wp:positionH>
                <wp:positionV relativeFrom="paragraph">
                  <wp:posOffset>-7021195</wp:posOffset>
                </wp:positionV>
                <wp:extent cx="6120130" cy="0"/>
                <wp:effectExtent l="0" t="4445" r="0" b="5080"/>
                <wp:wrapNone/>
                <wp:docPr id="6" name="直线 11"/>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36.6pt;margin-top:-552.85pt;height:0pt;width:481.9pt;z-index:251664384;mso-width-relative:page;mso-height-relative:page;" filled="f" stroked="t" coordsize="21600,21600" o:gfxdata="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slkaDY&#10;AAAADwEAAA8AAAAAAAAAAQAgAAAAIgAAAGRycy9kb3ducmV2LnhtbFBLAQIUABQAAAAIAIdO4kAB&#10;DqeS5wEAANwDAAAOAAAAAAAAAAEAIAAAACcBAABkcnMvZTJvRG9jLnhtbFBLBQYAAAAABgAGAFkB&#10;AACABQAAAAA=&#10;">
                <v:fill on="f" focussize="0,0"/>
                <v:stroke color="#000000" joinstyle="round"/>
                <v:imagedata o:title=""/>
                <o:lock v:ext="edit" aspectratio="f"/>
              </v:line>
            </w:pict>
          </mc:Fallback>
        </mc:AlternateContent>
      </w:r>
      <w:bookmarkStart w:id="22" w:name="fm"/>
      <w:r>
        <w:rPr>
          <w:rFonts w:hint="eastAsia"/>
          <w:w w:val="135"/>
        </w:rPr>
        <w:fldChar w:fldCharType="begin">
          <w:ffData>
            <w:name w:val="fm"/>
            <w:enabled/>
            <w:calcOnExit w:val="0"/>
            <w:textInput>
              <w:default w:val="北京市市场监督管理局"/>
            </w:textInput>
          </w:ffData>
        </w:fldChar>
      </w:r>
      <w:r>
        <w:rPr>
          <w:rFonts w:hint="eastAsia"/>
          <w:w w:val="135"/>
        </w:rPr>
        <w:instrText xml:space="preserve">FORMTEXT</w:instrText>
      </w:r>
      <w:r>
        <w:rPr>
          <w:rFonts w:hint="eastAsia"/>
          <w:w w:val="135"/>
        </w:rPr>
        <w:fldChar w:fldCharType="separate"/>
      </w:r>
      <w:r>
        <w:rPr>
          <w:rFonts w:hint="eastAsia"/>
          <w:w w:val="135"/>
        </w:rPr>
        <w:t>北京市市场监督管理局</w:t>
      </w:r>
      <w:r>
        <w:rPr>
          <w:rFonts w:hint="eastAsia"/>
          <w:w w:val="135"/>
        </w:rPr>
        <w:fldChar w:fldCharType="end"/>
      </w:r>
      <w:bookmarkEnd w:id="22"/>
      <w:r>
        <w:t>   </w:t>
      </w:r>
      <w:r>
        <w:rPr>
          <w:rStyle w:val="91"/>
          <w:rFonts w:hint="eastAsia"/>
        </w:rPr>
        <w:t>发布</w:t>
      </w:r>
    </w:p>
    <w:p w14:paraId="6748A12E">
      <w:pPr>
        <w:pStyle w:val="36"/>
        <w:ind w:firstLine="0" w:firstLineChars="0"/>
        <w:sectPr>
          <w:headerReference r:id="rId4" w:type="first"/>
          <w:footerReference r:id="rId6" w:type="first"/>
          <w:headerReference r:id="rId3" w:type="even"/>
          <w:footerReference r:id="rId5" w:type="even"/>
          <w:pgSz w:w="11906" w:h="16838"/>
          <w:pgMar w:top="567" w:right="850" w:bottom="1134" w:left="1418" w:header="0" w:footer="0" w:gutter="0"/>
          <w:pgNumType w:start="1"/>
          <w:cols w:space="720" w:num="1"/>
          <w:docGrid w:type="lines" w:linePitch="312" w:charSpace="0"/>
        </w:sectPr>
      </w:pPr>
    </w:p>
    <w:p w14:paraId="66DA38B6">
      <w:pPr>
        <w:pStyle w:val="116"/>
        <w:outlineLvl w:val="1"/>
        <w:rPr>
          <w:rFonts w:hint="eastAsia"/>
        </w:rPr>
      </w:pPr>
      <w:bookmarkStart w:id="23" w:name="_Toc6296"/>
      <w:bookmarkStart w:id="24" w:name="_Toc11528"/>
      <w:r>
        <w:rPr>
          <w:rFonts w:hint="eastAsia"/>
        </w:rPr>
        <w:t>目</w:t>
      </w:r>
      <w:bookmarkStart w:id="25" w:name="BKML"/>
      <w:r>
        <w:t>  </w:t>
      </w:r>
      <w:r>
        <w:rPr>
          <w:rFonts w:hint="eastAsia"/>
        </w:rPr>
        <w:t>次</w:t>
      </w:r>
      <w:bookmarkEnd w:id="23"/>
      <w:bookmarkEnd w:id="24"/>
      <w:bookmarkEnd w:id="25"/>
    </w:p>
    <w:sdt>
      <w:sdtPr>
        <w:rPr>
          <w:rFonts w:ascii="宋体" w:hAnsi="宋体" w:eastAsia="宋体" w:cs="Times New Roman"/>
          <w:kern w:val="2"/>
          <w:sz w:val="21"/>
          <w:szCs w:val="24"/>
          <w:lang w:val="en-US" w:eastAsia="zh-CN" w:bidi="ar-SA"/>
        </w:rPr>
        <w:id w:val="147483168"/>
        <w15:color w:val="DBDBDB"/>
        <w:docPartObj>
          <w:docPartGallery w:val="Table of Contents"/>
          <w:docPartUnique/>
        </w:docPartObj>
      </w:sdtPr>
      <w:sdtEndPr>
        <w:rPr>
          <w:rFonts w:hint="eastAsia" w:ascii="宋体" w:hAnsi="Times New Roman" w:eastAsia="宋体" w:cs="Times New Roman"/>
          <w:sz w:val="21"/>
          <w:lang w:val="en-US" w:eastAsia="zh-CN" w:bidi="ar-SA"/>
        </w:rPr>
      </w:sdtEndPr>
      <w:sdtContent>
        <w:p w14:paraId="66CB1CE5">
          <w:pPr>
            <w:pStyle w:val="226"/>
            <w:keepNext w:val="0"/>
            <w:keepLines w:val="0"/>
            <w:pageBreakBefore w:val="0"/>
            <w:widowControl/>
            <w:tabs>
              <w:tab w:val="right" w:leader="dot" w:pos="9354"/>
            </w:tabs>
            <w:kinsoku/>
            <w:wordWrap/>
            <w:overflowPunct/>
            <w:topLinePunct w:val="0"/>
            <w:autoSpaceDE/>
            <w:autoSpaceDN/>
            <w:bidi w:val="0"/>
            <w:adjustRightInd/>
            <w:snapToGrid/>
            <w:ind w:leftChars="0"/>
            <w:textAlignment w:val="auto"/>
          </w:pPr>
          <w:r>
            <w:rPr>
              <w:rFonts w:hint="eastAsia" w:ascii="宋体" w:hAnsi="Times New Roman" w:eastAsia="宋体" w:cs="Times New Roman"/>
              <w:sz w:val="21"/>
              <w:lang w:val="en-US" w:eastAsia="zh-CN" w:bidi="ar-SA"/>
            </w:rPr>
            <w:fldChar w:fldCharType="begin"/>
          </w:r>
          <w:r>
            <w:rPr>
              <w:rFonts w:hint="eastAsia" w:ascii="宋体" w:hAnsi="Times New Roman" w:eastAsia="宋体" w:cs="Times New Roman"/>
              <w:sz w:val="21"/>
              <w:lang w:val="en-US" w:eastAsia="zh-CN" w:bidi="ar-SA"/>
            </w:rPr>
            <w:instrText xml:space="preserve">TOC \o "1-3" \h \u </w:instrText>
          </w:r>
          <w:r>
            <w:rPr>
              <w:rFonts w:hint="eastAsia" w:ascii="宋体" w:hAnsi="Times New Roman" w:eastAsia="宋体" w:cs="Times New Roman"/>
              <w:sz w:val="21"/>
              <w:lang w:val="en-US" w:eastAsia="zh-CN" w:bidi="ar-SA"/>
            </w:rPr>
            <w:fldChar w:fldCharType="separate"/>
          </w: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_Toc8838 </w:instrText>
          </w:r>
          <w:r>
            <w:rPr>
              <w:rFonts w:hint="eastAsia" w:ascii="宋体" w:hAnsi="Times New Roman" w:eastAsia="宋体" w:cs="Times New Roman"/>
              <w:lang w:val="en-US" w:eastAsia="zh-CN" w:bidi="ar-SA"/>
            </w:rPr>
            <w:fldChar w:fldCharType="separate"/>
          </w:r>
          <w:r>
            <w:rPr>
              <w:rFonts w:hint="eastAsia"/>
            </w:rPr>
            <w:t>前</w:t>
          </w:r>
          <w:r>
            <w:t>  </w:t>
          </w:r>
          <w:r>
            <w:rPr>
              <w:rFonts w:hint="eastAsia"/>
            </w:rPr>
            <w:t>言</w:t>
          </w:r>
          <w:r>
            <w:tab/>
          </w:r>
          <w:r>
            <w:fldChar w:fldCharType="begin"/>
          </w:r>
          <w:r>
            <w:instrText xml:space="preserve"> PAGEREF _Toc8838 \h </w:instrText>
          </w:r>
          <w:r>
            <w:fldChar w:fldCharType="separate"/>
          </w:r>
          <w:r>
            <w:t>III</w:t>
          </w:r>
          <w:r>
            <w:fldChar w:fldCharType="end"/>
          </w:r>
          <w:r>
            <w:rPr>
              <w:rFonts w:hint="eastAsia" w:ascii="宋体" w:hAnsi="Times New Roman" w:eastAsia="宋体" w:cs="Times New Roman"/>
              <w:lang w:val="en-US" w:eastAsia="zh-CN" w:bidi="ar-SA"/>
            </w:rPr>
            <w:fldChar w:fldCharType="end"/>
          </w:r>
        </w:p>
        <w:p w14:paraId="117D236A">
          <w:pPr>
            <w:pStyle w:val="226"/>
            <w:keepNext w:val="0"/>
            <w:keepLines w:val="0"/>
            <w:pageBreakBefore w:val="0"/>
            <w:widowControl/>
            <w:tabs>
              <w:tab w:val="right" w:leader="dot" w:pos="9354"/>
            </w:tabs>
            <w:kinsoku/>
            <w:wordWrap/>
            <w:overflowPunct/>
            <w:topLinePunct w:val="0"/>
            <w:autoSpaceDE/>
            <w:autoSpaceDN/>
            <w:bidi w:val="0"/>
            <w:adjustRightInd/>
            <w:snapToGrid/>
            <w:ind w:leftChars="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_Toc7500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zCs w:val="21"/>
            </w:rPr>
            <w:t xml:space="preserve">1 </w:t>
          </w:r>
          <w:r>
            <w:rPr>
              <w:rFonts w:hint="eastAsia"/>
            </w:rPr>
            <w:t>范围</w:t>
          </w:r>
          <w:r>
            <w:tab/>
          </w:r>
          <w:r>
            <w:fldChar w:fldCharType="begin"/>
          </w:r>
          <w:r>
            <w:instrText xml:space="preserve"> PAGEREF _Toc7500 \h </w:instrText>
          </w:r>
          <w:r>
            <w:fldChar w:fldCharType="separate"/>
          </w:r>
          <w:r>
            <w:t>1</w:t>
          </w:r>
          <w:r>
            <w:fldChar w:fldCharType="end"/>
          </w:r>
          <w:r>
            <w:rPr>
              <w:rFonts w:hint="eastAsia" w:ascii="宋体" w:hAnsi="Times New Roman" w:eastAsia="宋体" w:cs="Times New Roman"/>
              <w:lang w:val="en-US" w:eastAsia="zh-CN" w:bidi="ar-SA"/>
            </w:rPr>
            <w:fldChar w:fldCharType="end"/>
          </w:r>
        </w:p>
        <w:p w14:paraId="018605EF">
          <w:pPr>
            <w:pStyle w:val="226"/>
            <w:keepNext w:val="0"/>
            <w:keepLines w:val="0"/>
            <w:pageBreakBefore w:val="0"/>
            <w:widowControl/>
            <w:tabs>
              <w:tab w:val="right" w:leader="dot" w:pos="9354"/>
            </w:tabs>
            <w:kinsoku/>
            <w:wordWrap/>
            <w:overflowPunct/>
            <w:topLinePunct w:val="0"/>
            <w:autoSpaceDE/>
            <w:autoSpaceDN/>
            <w:bidi w:val="0"/>
            <w:adjustRightInd/>
            <w:snapToGrid/>
            <w:ind w:leftChars="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_Toc15014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zCs w:val="21"/>
            </w:rPr>
            <w:t xml:space="preserve">2 </w:t>
          </w:r>
          <w:r>
            <w:rPr>
              <w:rFonts w:hint="eastAsia"/>
            </w:rPr>
            <w:t>规范性引用文件</w:t>
          </w:r>
          <w:r>
            <w:tab/>
          </w:r>
          <w:r>
            <w:fldChar w:fldCharType="begin"/>
          </w:r>
          <w:r>
            <w:instrText xml:space="preserve"> PAGEREF _Toc15014 \h </w:instrText>
          </w:r>
          <w:r>
            <w:fldChar w:fldCharType="separate"/>
          </w:r>
          <w:r>
            <w:t>1</w:t>
          </w:r>
          <w:r>
            <w:fldChar w:fldCharType="end"/>
          </w:r>
          <w:r>
            <w:rPr>
              <w:rFonts w:hint="eastAsia" w:ascii="宋体" w:hAnsi="Times New Roman" w:eastAsia="宋体" w:cs="Times New Roman"/>
              <w:lang w:val="en-US" w:eastAsia="zh-CN" w:bidi="ar-SA"/>
            </w:rPr>
            <w:fldChar w:fldCharType="end"/>
          </w:r>
        </w:p>
        <w:p w14:paraId="797A8BEA">
          <w:pPr>
            <w:pStyle w:val="226"/>
            <w:keepNext w:val="0"/>
            <w:keepLines w:val="0"/>
            <w:pageBreakBefore w:val="0"/>
            <w:widowControl/>
            <w:tabs>
              <w:tab w:val="right" w:leader="dot" w:pos="9354"/>
            </w:tabs>
            <w:kinsoku/>
            <w:wordWrap/>
            <w:overflowPunct/>
            <w:topLinePunct w:val="0"/>
            <w:autoSpaceDE/>
            <w:autoSpaceDN/>
            <w:bidi w:val="0"/>
            <w:adjustRightInd/>
            <w:snapToGrid/>
            <w:ind w:leftChars="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_Toc6979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zCs w:val="21"/>
            </w:rPr>
            <w:t xml:space="preserve">3 </w:t>
          </w:r>
          <w:r>
            <w:rPr>
              <w:rFonts w:hint="eastAsia"/>
              <w:lang w:val="en-US" w:eastAsia="zh-CN"/>
            </w:rPr>
            <w:t>术语和定义</w:t>
          </w:r>
          <w:bookmarkStart w:id="664" w:name="_GoBack"/>
          <w:bookmarkEnd w:id="664"/>
          <w:r>
            <w:tab/>
          </w:r>
          <w:r>
            <w:fldChar w:fldCharType="begin"/>
          </w:r>
          <w:r>
            <w:instrText xml:space="preserve"> PAGEREF _Toc6979 \h </w:instrText>
          </w:r>
          <w:r>
            <w:fldChar w:fldCharType="separate"/>
          </w:r>
          <w:r>
            <w:t>3</w:t>
          </w:r>
          <w:r>
            <w:fldChar w:fldCharType="end"/>
          </w:r>
          <w:r>
            <w:rPr>
              <w:rFonts w:hint="eastAsia" w:ascii="宋体" w:hAnsi="Times New Roman" w:eastAsia="宋体" w:cs="Times New Roman"/>
              <w:lang w:val="en-US" w:eastAsia="zh-CN" w:bidi="ar-SA"/>
            </w:rPr>
            <w:fldChar w:fldCharType="end"/>
          </w:r>
        </w:p>
        <w:p w14:paraId="0650E977">
          <w:pPr>
            <w:pStyle w:val="226"/>
            <w:keepNext w:val="0"/>
            <w:keepLines w:val="0"/>
            <w:pageBreakBefore w:val="0"/>
            <w:widowControl/>
            <w:tabs>
              <w:tab w:val="right" w:leader="dot" w:pos="9354"/>
            </w:tabs>
            <w:kinsoku/>
            <w:wordWrap/>
            <w:overflowPunct/>
            <w:topLinePunct w:val="0"/>
            <w:autoSpaceDE/>
            <w:autoSpaceDN/>
            <w:bidi w:val="0"/>
            <w:adjustRightInd/>
            <w:snapToGrid/>
            <w:ind w:leftChars="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_Toc27231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zCs w:val="21"/>
            </w:rPr>
            <w:t xml:space="preserve">4 </w:t>
          </w:r>
          <w:r>
            <w:rPr>
              <w:rFonts w:hint="eastAsia"/>
            </w:rPr>
            <w:t>评定内容</w:t>
          </w:r>
          <w:r>
            <w:tab/>
          </w:r>
          <w:r>
            <w:fldChar w:fldCharType="begin"/>
          </w:r>
          <w:r>
            <w:instrText xml:space="preserve"> PAGEREF _Toc27231 \h </w:instrText>
          </w:r>
          <w:r>
            <w:fldChar w:fldCharType="separate"/>
          </w:r>
          <w:r>
            <w:t>3</w:t>
          </w:r>
          <w:r>
            <w:fldChar w:fldCharType="end"/>
          </w:r>
          <w:r>
            <w:rPr>
              <w:rFonts w:hint="eastAsia" w:ascii="宋体" w:hAnsi="Times New Roman" w:eastAsia="宋体" w:cs="Times New Roman"/>
              <w:lang w:val="en-US" w:eastAsia="zh-CN" w:bidi="ar-SA"/>
            </w:rPr>
            <w:fldChar w:fldCharType="end"/>
          </w:r>
        </w:p>
        <w:p w14:paraId="2DFE9752">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_Toc6500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4.1 </w:t>
          </w:r>
          <w:r>
            <w:rPr>
              <w:rFonts w:hint="eastAsia"/>
            </w:rPr>
            <w:t>基础管理要求</w:t>
          </w:r>
          <w:r>
            <w:tab/>
          </w:r>
          <w:r>
            <w:fldChar w:fldCharType="begin"/>
          </w:r>
          <w:r>
            <w:instrText xml:space="preserve"> PAGEREF _Toc6500 \h </w:instrText>
          </w:r>
          <w:r>
            <w:fldChar w:fldCharType="separate"/>
          </w:r>
          <w:r>
            <w:t>3</w:t>
          </w:r>
          <w:r>
            <w:fldChar w:fldCharType="end"/>
          </w:r>
          <w:r>
            <w:rPr>
              <w:rFonts w:hint="eastAsia" w:ascii="宋体" w:hAnsi="Times New Roman" w:eastAsia="宋体" w:cs="Times New Roman"/>
              <w:lang w:val="en-US" w:eastAsia="zh-CN" w:bidi="ar-SA"/>
            </w:rPr>
            <w:fldChar w:fldCharType="end"/>
          </w:r>
        </w:p>
        <w:p w14:paraId="7D61DD7E">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_Toc10679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4.2 </w:t>
          </w:r>
          <w:r>
            <w:rPr>
              <w:rFonts w:hint="eastAsia"/>
            </w:rPr>
            <w:t>场所环境</w:t>
          </w:r>
          <w:r>
            <w:tab/>
          </w:r>
          <w:r>
            <w:fldChar w:fldCharType="begin"/>
          </w:r>
          <w:r>
            <w:instrText xml:space="preserve"> PAGEREF _Toc10679 \h </w:instrText>
          </w:r>
          <w:r>
            <w:fldChar w:fldCharType="separate"/>
          </w:r>
          <w:r>
            <w:t>3</w:t>
          </w:r>
          <w:r>
            <w:fldChar w:fldCharType="end"/>
          </w:r>
          <w:r>
            <w:rPr>
              <w:rFonts w:hint="eastAsia" w:ascii="宋体" w:hAnsi="Times New Roman" w:eastAsia="宋体" w:cs="Times New Roman"/>
              <w:lang w:val="en-US" w:eastAsia="zh-CN" w:bidi="ar-SA"/>
            </w:rPr>
            <w:fldChar w:fldCharType="end"/>
          </w:r>
        </w:p>
        <w:p w14:paraId="00385BD9">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_Toc2376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4.3 </w:t>
          </w:r>
          <w:r>
            <w:rPr>
              <w:rFonts w:hint="eastAsia"/>
            </w:rPr>
            <w:t>生产设备设施</w:t>
          </w:r>
          <w:r>
            <w:tab/>
          </w:r>
          <w:r>
            <w:fldChar w:fldCharType="begin"/>
          </w:r>
          <w:r>
            <w:instrText xml:space="preserve"> PAGEREF _Toc2376 \h </w:instrText>
          </w:r>
          <w:r>
            <w:fldChar w:fldCharType="separate"/>
          </w:r>
          <w:r>
            <w:t>5</w:t>
          </w:r>
          <w:r>
            <w:fldChar w:fldCharType="end"/>
          </w:r>
          <w:r>
            <w:rPr>
              <w:rFonts w:hint="eastAsia" w:ascii="宋体" w:hAnsi="Times New Roman" w:eastAsia="宋体" w:cs="Times New Roman"/>
              <w:lang w:val="en-US" w:eastAsia="zh-CN" w:bidi="ar-SA"/>
            </w:rPr>
            <w:fldChar w:fldCharType="end"/>
          </w:r>
        </w:p>
        <w:p w14:paraId="1BC67080">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_Toc16107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4.4 </w:t>
          </w:r>
          <w:r>
            <w:rPr>
              <w:rFonts w:hint="eastAsia"/>
            </w:rPr>
            <w:t>特种设备</w:t>
          </w:r>
          <w:r>
            <w:tab/>
          </w:r>
          <w:r>
            <w:fldChar w:fldCharType="begin"/>
          </w:r>
          <w:r>
            <w:instrText xml:space="preserve"> PAGEREF _Toc16107 \h </w:instrText>
          </w:r>
          <w:r>
            <w:fldChar w:fldCharType="separate"/>
          </w:r>
          <w:r>
            <w:t>7</w:t>
          </w:r>
          <w:r>
            <w:fldChar w:fldCharType="end"/>
          </w:r>
          <w:r>
            <w:rPr>
              <w:rFonts w:hint="eastAsia" w:ascii="宋体" w:hAnsi="Times New Roman" w:eastAsia="宋体" w:cs="Times New Roman"/>
              <w:lang w:val="en-US" w:eastAsia="zh-CN" w:bidi="ar-SA"/>
            </w:rPr>
            <w:fldChar w:fldCharType="end"/>
          </w:r>
        </w:p>
        <w:p w14:paraId="3DE51759">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_Toc20270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4.5 </w:t>
          </w:r>
          <w:r>
            <w:rPr>
              <w:rFonts w:hint="eastAsia"/>
            </w:rPr>
            <w:t>公用辅助用房及设备设施</w:t>
          </w:r>
          <w:r>
            <w:tab/>
          </w:r>
          <w:r>
            <w:fldChar w:fldCharType="begin"/>
          </w:r>
          <w:r>
            <w:instrText xml:space="preserve"> PAGEREF _Toc20270 \h </w:instrText>
          </w:r>
          <w:r>
            <w:fldChar w:fldCharType="separate"/>
          </w:r>
          <w:r>
            <w:t>7</w:t>
          </w:r>
          <w:r>
            <w:fldChar w:fldCharType="end"/>
          </w:r>
          <w:r>
            <w:rPr>
              <w:rFonts w:hint="eastAsia" w:ascii="宋体" w:hAnsi="Times New Roman" w:eastAsia="宋体" w:cs="Times New Roman"/>
              <w:lang w:val="en-US" w:eastAsia="zh-CN" w:bidi="ar-SA"/>
            </w:rPr>
            <w:fldChar w:fldCharType="end"/>
          </w:r>
        </w:p>
        <w:p w14:paraId="244886B4">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_Toc16458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4.6 </w:t>
          </w:r>
          <w:r>
            <w:rPr>
              <w:rFonts w:hint="eastAsia"/>
            </w:rPr>
            <w:t>用电</w:t>
          </w:r>
          <w:r>
            <w:tab/>
          </w:r>
          <w:r>
            <w:fldChar w:fldCharType="begin"/>
          </w:r>
          <w:r>
            <w:instrText xml:space="preserve"> PAGEREF _Toc16458 \h </w:instrText>
          </w:r>
          <w:r>
            <w:fldChar w:fldCharType="separate"/>
          </w:r>
          <w:r>
            <w:t>9</w:t>
          </w:r>
          <w:r>
            <w:fldChar w:fldCharType="end"/>
          </w:r>
          <w:r>
            <w:rPr>
              <w:rFonts w:hint="eastAsia" w:ascii="宋体" w:hAnsi="Times New Roman" w:eastAsia="宋体" w:cs="Times New Roman"/>
              <w:lang w:val="en-US" w:eastAsia="zh-CN" w:bidi="ar-SA"/>
            </w:rPr>
            <w:fldChar w:fldCharType="end"/>
          </w:r>
        </w:p>
        <w:p w14:paraId="58E99284">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_Toc9979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4.7 </w:t>
          </w:r>
          <w:r>
            <w:rPr>
              <w:rFonts w:hint="eastAsia"/>
            </w:rPr>
            <w:t>消防</w:t>
          </w:r>
          <w:r>
            <w:tab/>
          </w:r>
          <w:r>
            <w:fldChar w:fldCharType="begin"/>
          </w:r>
          <w:r>
            <w:instrText xml:space="preserve"> PAGEREF _Toc9979 \h </w:instrText>
          </w:r>
          <w:r>
            <w:fldChar w:fldCharType="separate"/>
          </w:r>
          <w:r>
            <w:t>9</w:t>
          </w:r>
          <w:r>
            <w:fldChar w:fldCharType="end"/>
          </w:r>
          <w:r>
            <w:rPr>
              <w:rFonts w:hint="eastAsia" w:ascii="宋体" w:hAnsi="Times New Roman" w:eastAsia="宋体" w:cs="Times New Roman"/>
              <w:lang w:val="en-US" w:eastAsia="zh-CN" w:bidi="ar-SA"/>
            </w:rPr>
            <w:fldChar w:fldCharType="end"/>
          </w:r>
        </w:p>
        <w:p w14:paraId="2FCC1353">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_Toc9676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4.8 </w:t>
          </w:r>
          <w:r>
            <w:rPr>
              <w:rFonts w:hint="eastAsia"/>
            </w:rPr>
            <w:t>危险化学品</w:t>
          </w:r>
          <w:r>
            <w:tab/>
          </w:r>
          <w:r>
            <w:fldChar w:fldCharType="begin"/>
          </w:r>
          <w:r>
            <w:instrText xml:space="preserve"> PAGEREF _Toc9676 \h </w:instrText>
          </w:r>
          <w:r>
            <w:fldChar w:fldCharType="separate"/>
          </w:r>
          <w:r>
            <w:t>10</w:t>
          </w:r>
          <w:r>
            <w:fldChar w:fldCharType="end"/>
          </w:r>
          <w:r>
            <w:rPr>
              <w:rFonts w:hint="eastAsia" w:ascii="宋体" w:hAnsi="Times New Roman" w:eastAsia="宋体" w:cs="Times New Roman"/>
              <w:lang w:val="en-US" w:eastAsia="zh-CN" w:bidi="ar-SA"/>
            </w:rPr>
            <w:fldChar w:fldCharType="end"/>
          </w:r>
        </w:p>
        <w:p w14:paraId="4A5993C5">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_Toc11737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4.9 </w:t>
          </w:r>
          <w:r>
            <w:rPr>
              <w:rFonts w:hint="eastAsia"/>
            </w:rPr>
            <w:t>劳动防护用品使用</w:t>
          </w:r>
          <w:r>
            <w:tab/>
          </w:r>
          <w:r>
            <w:fldChar w:fldCharType="begin"/>
          </w:r>
          <w:r>
            <w:instrText xml:space="preserve"> PAGEREF _Toc11737 \h </w:instrText>
          </w:r>
          <w:r>
            <w:fldChar w:fldCharType="separate"/>
          </w:r>
          <w:r>
            <w:t>10</w:t>
          </w:r>
          <w:r>
            <w:fldChar w:fldCharType="end"/>
          </w:r>
          <w:r>
            <w:rPr>
              <w:rFonts w:hint="eastAsia" w:ascii="宋体" w:hAnsi="Times New Roman" w:eastAsia="宋体" w:cs="Times New Roman"/>
              <w:lang w:val="en-US" w:eastAsia="zh-CN" w:bidi="ar-SA"/>
            </w:rPr>
            <w:fldChar w:fldCharType="end"/>
          </w:r>
        </w:p>
        <w:p w14:paraId="7B17B3B9">
          <w:pPr>
            <w:pStyle w:val="227"/>
            <w:keepNext w:val="0"/>
            <w:keepLines w:val="0"/>
            <w:pageBreakBefore w:val="0"/>
            <w:widowControl/>
            <w:tabs>
              <w:tab w:val="right" w:leader="dot" w:pos="9354"/>
            </w:tabs>
            <w:kinsoku/>
            <w:wordWrap/>
            <w:overflowPunct/>
            <w:topLinePunct w:val="0"/>
            <w:autoSpaceDE/>
            <w:autoSpaceDN/>
            <w:bidi w:val="0"/>
            <w:adjustRightInd/>
            <w:snapToGrid/>
            <w:ind w:left="420" w:leftChars="200"/>
            <w:textAlignment w:val="auto"/>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_Toc28837 </w:instrText>
          </w:r>
          <w:r>
            <w:rPr>
              <w:rFonts w:hint="eastAsia" w:ascii="宋体" w:hAnsi="Times New Roman" w:eastAsia="宋体" w:cs="Times New Roman"/>
              <w:lang w:val="en-US" w:eastAsia="zh-CN" w:bidi="ar-SA"/>
            </w:rPr>
            <w:fldChar w:fldCharType="separate"/>
          </w:r>
          <w:r>
            <w:rPr>
              <w:rFonts w:hint="eastAsia" w:ascii="黑体" w:hAnsi="Times New Roman" w:eastAsia="黑体" w:cs="Times New Roman"/>
              <w:bCs w:val="0"/>
              <w:i w:val="0"/>
              <w:iCs w:val="0"/>
              <w:caps w:val="0"/>
              <w:strike w:val="0"/>
              <w:dstrike w:val="0"/>
              <w:outline w:val="0"/>
              <w:shadow w:val="0"/>
              <w:emboss w:val="0"/>
              <w:imprint w:val="0"/>
              <w:vanish w:val="0"/>
              <w:spacing w:val="0"/>
              <w:kern w:val="0"/>
              <w:position w:val="0"/>
              <w:szCs w:val="21"/>
              <w:vertAlign w:val="baseline"/>
            </w:rPr>
            <w:t xml:space="preserve">4.10 </w:t>
          </w:r>
          <w:r>
            <w:rPr>
              <w:rFonts w:hint="eastAsia"/>
            </w:rPr>
            <w:t>操作人员行为规范</w:t>
          </w:r>
          <w:r>
            <w:tab/>
          </w:r>
          <w:r>
            <w:fldChar w:fldCharType="begin"/>
          </w:r>
          <w:r>
            <w:instrText xml:space="preserve"> PAGEREF _Toc28837 \h </w:instrText>
          </w:r>
          <w:r>
            <w:fldChar w:fldCharType="separate"/>
          </w:r>
          <w:r>
            <w:t>10</w:t>
          </w:r>
          <w:r>
            <w:fldChar w:fldCharType="end"/>
          </w:r>
          <w:r>
            <w:rPr>
              <w:rFonts w:hint="eastAsia" w:ascii="宋体" w:hAnsi="Times New Roman" w:eastAsia="宋体" w:cs="Times New Roman"/>
              <w:lang w:val="en-US" w:eastAsia="zh-CN" w:bidi="ar-SA"/>
            </w:rPr>
            <w:fldChar w:fldCharType="end"/>
          </w:r>
        </w:p>
        <w:p w14:paraId="6E409D4E">
          <w:pPr>
            <w:pStyle w:val="226"/>
            <w:tabs>
              <w:tab w:val="right" w:leader="dot" w:pos="9354"/>
            </w:tabs>
            <w:ind w:left="0" w:leftChars="0" w:firstLine="0" w:firstLineChars="0"/>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_Toc7705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zCs w:val="21"/>
            </w:rPr>
            <w:t xml:space="preserve">5 </w:t>
          </w:r>
          <w:r>
            <w:rPr>
              <w:rFonts w:hint="eastAsia" w:hAnsi="黑体"/>
              <w:szCs w:val="21"/>
            </w:rPr>
            <w:t>评定细则</w:t>
          </w:r>
          <w:r>
            <w:tab/>
          </w:r>
          <w:r>
            <w:fldChar w:fldCharType="begin"/>
          </w:r>
          <w:r>
            <w:instrText xml:space="preserve"> PAGEREF _Toc7705 \h </w:instrText>
          </w:r>
          <w:r>
            <w:fldChar w:fldCharType="separate"/>
          </w:r>
          <w:r>
            <w:t>12</w:t>
          </w:r>
          <w:r>
            <w:fldChar w:fldCharType="end"/>
          </w:r>
          <w:r>
            <w:rPr>
              <w:rFonts w:hint="eastAsia" w:ascii="宋体" w:hAnsi="Times New Roman" w:eastAsia="宋体" w:cs="Times New Roman"/>
              <w:lang w:val="en-US" w:eastAsia="zh-CN" w:bidi="ar-SA"/>
            </w:rPr>
            <w:fldChar w:fldCharType="end"/>
          </w:r>
        </w:p>
        <w:p w14:paraId="567C3867">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_Toc31977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A </w:t>
          </w:r>
          <w:r>
            <w:t xml:space="preserve"> </w:t>
          </w:r>
          <w:r>
            <w:rPr>
              <w:rFonts w:hint="eastAsia"/>
            </w:rPr>
            <w:t>（规范性附录）</w:t>
          </w:r>
          <w:r>
            <w:t xml:space="preserve"> </w:t>
          </w:r>
          <w:r>
            <w:rPr>
              <w:rFonts w:hint="eastAsia"/>
            </w:rPr>
            <w:t>安全生产等级评定一级否决条款</w:t>
          </w:r>
          <w:r>
            <w:tab/>
          </w:r>
          <w:r>
            <w:fldChar w:fldCharType="begin"/>
          </w:r>
          <w:r>
            <w:instrText xml:space="preserve"> PAGEREF _Toc31977 \h </w:instrText>
          </w:r>
          <w:r>
            <w:fldChar w:fldCharType="separate"/>
          </w:r>
          <w:r>
            <w:t>13</w:t>
          </w:r>
          <w:r>
            <w:fldChar w:fldCharType="end"/>
          </w:r>
          <w:r>
            <w:rPr>
              <w:rFonts w:hint="eastAsia" w:ascii="宋体" w:hAnsi="Times New Roman" w:eastAsia="宋体" w:cs="Times New Roman"/>
              <w:lang w:val="en-US" w:eastAsia="zh-CN" w:bidi="ar-SA"/>
            </w:rPr>
            <w:fldChar w:fldCharType="end"/>
          </w:r>
        </w:p>
        <w:p w14:paraId="536FA6FC">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_Toc20525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B </w:t>
          </w:r>
          <w:r>
            <w:t xml:space="preserve"> </w:t>
          </w:r>
          <w:r>
            <w:rPr>
              <w:rFonts w:hint="eastAsia"/>
            </w:rPr>
            <w:t>（规范性附录）</w:t>
          </w:r>
          <w:r>
            <w:t xml:space="preserve"> </w:t>
          </w:r>
          <w:r>
            <w:rPr>
              <w:rFonts w:hint="eastAsia"/>
            </w:rPr>
            <w:t>基础管理要求指标的安全生产等级评定细则</w:t>
          </w:r>
          <w:r>
            <w:tab/>
          </w:r>
          <w:r>
            <w:fldChar w:fldCharType="begin"/>
          </w:r>
          <w:r>
            <w:instrText xml:space="preserve"> PAGEREF _Toc20525 \h </w:instrText>
          </w:r>
          <w:r>
            <w:fldChar w:fldCharType="separate"/>
          </w:r>
          <w:r>
            <w:t>14</w:t>
          </w:r>
          <w:r>
            <w:fldChar w:fldCharType="end"/>
          </w:r>
          <w:r>
            <w:rPr>
              <w:rFonts w:hint="eastAsia" w:ascii="宋体" w:hAnsi="Times New Roman" w:eastAsia="宋体" w:cs="Times New Roman"/>
              <w:lang w:val="en-US" w:eastAsia="zh-CN" w:bidi="ar-SA"/>
            </w:rPr>
            <w:fldChar w:fldCharType="end"/>
          </w:r>
        </w:p>
        <w:p w14:paraId="6DD872F7">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_Toc28548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C </w:t>
          </w:r>
          <w:r>
            <w:t xml:space="preserve"> </w:t>
          </w:r>
          <w:r>
            <w:rPr>
              <w:rFonts w:hint="eastAsia"/>
            </w:rPr>
            <w:t>（规范性附录）</w:t>
          </w:r>
          <w:r>
            <w:t xml:space="preserve"> </w:t>
          </w:r>
          <w:r>
            <w:rPr>
              <w:rFonts w:hint="eastAsia"/>
            </w:rPr>
            <w:t>场所环境要素的安全生产等级评定细则</w:t>
          </w:r>
          <w:r>
            <w:tab/>
          </w:r>
          <w:r>
            <w:fldChar w:fldCharType="begin"/>
          </w:r>
          <w:r>
            <w:instrText xml:space="preserve"> PAGEREF _Toc28548 \h </w:instrText>
          </w:r>
          <w:r>
            <w:fldChar w:fldCharType="separate"/>
          </w:r>
          <w:r>
            <w:t>26</w:t>
          </w:r>
          <w:r>
            <w:fldChar w:fldCharType="end"/>
          </w:r>
          <w:r>
            <w:rPr>
              <w:rFonts w:hint="eastAsia" w:ascii="宋体" w:hAnsi="Times New Roman" w:eastAsia="宋体" w:cs="Times New Roman"/>
              <w:lang w:val="en-US" w:eastAsia="zh-CN" w:bidi="ar-SA"/>
            </w:rPr>
            <w:fldChar w:fldCharType="end"/>
          </w:r>
        </w:p>
        <w:p w14:paraId="6965D2F7">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_Toc7073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D </w:t>
          </w:r>
          <w:r>
            <w:t xml:space="preserve"> </w:t>
          </w:r>
          <w:r>
            <w:rPr>
              <w:rFonts w:hint="eastAsia"/>
            </w:rPr>
            <w:t>（规范性附录）</w:t>
          </w:r>
          <w:r>
            <w:t xml:space="preserve"> </w:t>
          </w:r>
          <w:r>
            <w:rPr>
              <w:rFonts w:hint="eastAsia"/>
            </w:rPr>
            <w:t>生产设备设施要素的安全生产等级评定细则</w:t>
          </w:r>
          <w:r>
            <w:tab/>
          </w:r>
          <w:r>
            <w:fldChar w:fldCharType="begin"/>
          </w:r>
          <w:r>
            <w:instrText xml:space="preserve"> PAGEREF _Toc7073 \h </w:instrText>
          </w:r>
          <w:r>
            <w:fldChar w:fldCharType="separate"/>
          </w:r>
          <w:r>
            <w:t>31</w:t>
          </w:r>
          <w:r>
            <w:fldChar w:fldCharType="end"/>
          </w:r>
          <w:r>
            <w:rPr>
              <w:rFonts w:hint="eastAsia" w:ascii="宋体" w:hAnsi="Times New Roman" w:eastAsia="宋体" w:cs="Times New Roman"/>
              <w:lang w:val="en-US" w:eastAsia="zh-CN" w:bidi="ar-SA"/>
            </w:rPr>
            <w:fldChar w:fldCharType="end"/>
          </w:r>
        </w:p>
        <w:p w14:paraId="503CFD61">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_Toc22004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E </w:t>
          </w:r>
          <w:r>
            <w:t xml:space="preserve"> </w:t>
          </w:r>
          <w:r>
            <w:rPr>
              <w:rFonts w:hint="eastAsia"/>
            </w:rPr>
            <w:t>（规范性附录）</w:t>
          </w:r>
          <w:r>
            <w:t xml:space="preserve"> </w:t>
          </w:r>
          <w:r>
            <w:rPr>
              <w:rFonts w:hint="eastAsia"/>
            </w:rPr>
            <w:t>特种设备要素的安全生产等级评定细则</w:t>
          </w:r>
          <w:r>
            <w:tab/>
          </w:r>
          <w:r>
            <w:fldChar w:fldCharType="begin"/>
          </w:r>
          <w:r>
            <w:instrText xml:space="preserve"> PAGEREF _Toc22004 \h </w:instrText>
          </w:r>
          <w:r>
            <w:fldChar w:fldCharType="separate"/>
          </w:r>
          <w:r>
            <w:t>44</w:t>
          </w:r>
          <w:r>
            <w:fldChar w:fldCharType="end"/>
          </w:r>
          <w:r>
            <w:rPr>
              <w:rFonts w:hint="eastAsia" w:ascii="宋体" w:hAnsi="Times New Roman" w:eastAsia="宋体" w:cs="Times New Roman"/>
              <w:lang w:val="en-US" w:eastAsia="zh-CN" w:bidi="ar-SA"/>
            </w:rPr>
            <w:fldChar w:fldCharType="end"/>
          </w:r>
        </w:p>
        <w:p w14:paraId="776B657E">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_Toc21495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F </w:t>
          </w:r>
          <w:r>
            <w:t xml:space="preserve"> </w:t>
          </w:r>
          <w:r>
            <w:rPr>
              <w:rFonts w:hint="eastAsia"/>
            </w:rPr>
            <w:t>（规范性附录）</w:t>
          </w:r>
          <w:r>
            <w:t xml:space="preserve"> </w:t>
          </w:r>
          <w:r>
            <w:rPr>
              <w:rFonts w:hint="eastAsia"/>
            </w:rPr>
            <w:t>公用辅助用房及设备设施要素的安全生产等级评定细则</w:t>
          </w:r>
          <w:r>
            <w:tab/>
          </w:r>
          <w:r>
            <w:fldChar w:fldCharType="begin"/>
          </w:r>
          <w:r>
            <w:instrText xml:space="preserve"> PAGEREF _Toc21495 \h </w:instrText>
          </w:r>
          <w:r>
            <w:fldChar w:fldCharType="separate"/>
          </w:r>
          <w:r>
            <w:t>54</w:t>
          </w:r>
          <w:r>
            <w:fldChar w:fldCharType="end"/>
          </w:r>
          <w:r>
            <w:rPr>
              <w:rFonts w:hint="eastAsia" w:ascii="宋体" w:hAnsi="Times New Roman" w:eastAsia="宋体" w:cs="Times New Roman"/>
              <w:lang w:val="en-US" w:eastAsia="zh-CN" w:bidi="ar-SA"/>
            </w:rPr>
            <w:fldChar w:fldCharType="end"/>
          </w:r>
        </w:p>
        <w:p w14:paraId="1840395B">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_Toc25046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G </w:t>
          </w:r>
          <w:r>
            <w:t xml:space="preserve"> </w:t>
          </w:r>
          <w:r>
            <w:rPr>
              <w:rFonts w:hint="eastAsia"/>
            </w:rPr>
            <w:t>（规范性附录）</w:t>
          </w:r>
          <w:r>
            <w:t xml:space="preserve"> </w:t>
          </w:r>
          <w:r>
            <w:rPr>
              <w:rFonts w:hint="eastAsia"/>
            </w:rPr>
            <w:t>用电要素的安全生产等级评定细则</w:t>
          </w:r>
          <w:r>
            <w:tab/>
          </w:r>
          <w:r>
            <w:fldChar w:fldCharType="begin"/>
          </w:r>
          <w:r>
            <w:instrText xml:space="preserve"> PAGEREF _Toc25046 \h </w:instrText>
          </w:r>
          <w:r>
            <w:fldChar w:fldCharType="separate"/>
          </w:r>
          <w:r>
            <w:t>64</w:t>
          </w:r>
          <w:r>
            <w:fldChar w:fldCharType="end"/>
          </w:r>
          <w:r>
            <w:rPr>
              <w:rFonts w:hint="eastAsia" w:ascii="宋体" w:hAnsi="Times New Roman" w:eastAsia="宋体" w:cs="Times New Roman"/>
              <w:lang w:val="en-US" w:eastAsia="zh-CN" w:bidi="ar-SA"/>
            </w:rPr>
            <w:fldChar w:fldCharType="end"/>
          </w:r>
        </w:p>
        <w:p w14:paraId="68BE9F4F">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_Toc6142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H </w:t>
          </w:r>
          <w:r>
            <w:t xml:space="preserve"> </w:t>
          </w:r>
          <w:r>
            <w:rPr>
              <w:rFonts w:hint="eastAsia"/>
            </w:rPr>
            <w:t>（规范性附录）</w:t>
          </w:r>
          <w:r>
            <w:t xml:space="preserve"> </w:t>
          </w:r>
          <w:r>
            <w:rPr>
              <w:rFonts w:hint="eastAsia"/>
            </w:rPr>
            <w:t>消防要素的安全生产等级评定细则</w:t>
          </w:r>
          <w:r>
            <w:tab/>
          </w:r>
          <w:r>
            <w:fldChar w:fldCharType="begin"/>
          </w:r>
          <w:r>
            <w:instrText xml:space="preserve"> PAGEREF _Toc6142 \h </w:instrText>
          </w:r>
          <w:r>
            <w:fldChar w:fldCharType="separate"/>
          </w:r>
          <w:r>
            <w:t>76</w:t>
          </w:r>
          <w:r>
            <w:fldChar w:fldCharType="end"/>
          </w:r>
          <w:r>
            <w:rPr>
              <w:rFonts w:hint="eastAsia" w:ascii="宋体" w:hAnsi="Times New Roman" w:eastAsia="宋体" w:cs="Times New Roman"/>
              <w:lang w:val="en-US" w:eastAsia="zh-CN" w:bidi="ar-SA"/>
            </w:rPr>
            <w:fldChar w:fldCharType="end"/>
          </w:r>
        </w:p>
        <w:p w14:paraId="6767A276">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_Toc25256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I </w:t>
          </w:r>
          <w:r>
            <w:t xml:space="preserve"> </w:t>
          </w:r>
          <w:r>
            <w:rPr>
              <w:rFonts w:hint="eastAsia"/>
            </w:rPr>
            <w:t>（规范性附录）</w:t>
          </w:r>
          <w:r>
            <w:t xml:space="preserve"> </w:t>
          </w:r>
          <w:r>
            <w:rPr>
              <w:rFonts w:hint="eastAsia"/>
            </w:rPr>
            <w:t>危险化学品要素的安全生产等级评定细则</w:t>
          </w:r>
          <w:r>
            <w:tab/>
          </w:r>
          <w:r>
            <w:fldChar w:fldCharType="begin"/>
          </w:r>
          <w:r>
            <w:instrText xml:space="preserve"> PAGEREF _Toc25256 \h </w:instrText>
          </w:r>
          <w:r>
            <w:fldChar w:fldCharType="separate"/>
          </w:r>
          <w:r>
            <w:t>87</w:t>
          </w:r>
          <w:r>
            <w:fldChar w:fldCharType="end"/>
          </w:r>
          <w:r>
            <w:rPr>
              <w:rFonts w:hint="eastAsia" w:ascii="宋体" w:hAnsi="Times New Roman" w:eastAsia="宋体" w:cs="Times New Roman"/>
              <w:lang w:val="en-US" w:eastAsia="zh-CN" w:bidi="ar-SA"/>
            </w:rPr>
            <w:fldChar w:fldCharType="end"/>
          </w:r>
        </w:p>
        <w:p w14:paraId="4D394CE6">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_Toc17789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J </w:t>
          </w:r>
          <w:r>
            <w:t xml:space="preserve"> </w:t>
          </w:r>
          <w:r>
            <w:rPr>
              <w:rFonts w:hint="eastAsia"/>
            </w:rPr>
            <w:t>（规范性附录）</w:t>
          </w:r>
          <w:r>
            <w:t xml:space="preserve"> </w:t>
          </w:r>
          <w:r>
            <w:rPr>
              <w:rFonts w:hint="eastAsia"/>
            </w:rPr>
            <w:t>劳动防护用品使用要素的安全生产等级评定细则</w:t>
          </w:r>
          <w:r>
            <w:tab/>
          </w:r>
          <w:r>
            <w:fldChar w:fldCharType="begin"/>
          </w:r>
          <w:r>
            <w:instrText xml:space="preserve"> PAGEREF _Toc17789 \h </w:instrText>
          </w:r>
          <w:r>
            <w:fldChar w:fldCharType="separate"/>
          </w:r>
          <w:r>
            <w:t>90</w:t>
          </w:r>
          <w:r>
            <w:fldChar w:fldCharType="end"/>
          </w:r>
          <w:r>
            <w:rPr>
              <w:rFonts w:hint="eastAsia" w:ascii="宋体" w:hAnsi="Times New Roman" w:eastAsia="宋体" w:cs="Times New Roman"/>
              <w:lang w:val="en-US" w:eastAsia="zh-CN" w:bidi="ar-SA"/>
            </w:rPr>
            <w:fldChar w:fldCharType="end"/>
          </w:r>
        </w:p>
        <w:p w14:paraId="06F40762">
          <w:pPr>
            <w:pStyle w:val="225"/>
            <w:tabs>
              <w:tab w:val="right" w:leader="dot" w:pos="9354"/>
            </w:tabs>
          </w:pPr>
          <w:r>
            <w:rPr>
              <w:rFonts w:hint="eastAsia" w:ascii="宋体" w:hAnsi="Times New Roman" w:eastAsia="宋体" w:cs="Times New Roman"/>
              <w:lang w:val="en-US" w:eastAsia="zh-CN" w:bidi="ar-SA"/>
            </w:rPr>
            <w:fldChar w:fldCharType="begin"/>
          </w:r>
          <w:r>
            <w:rPr>
              <w:rFonts w:hint="eastAsia" w:ascii="宋体" w:hAnsi="Times New Roman" w:eastAsia="宋体" w:cs="Times New Roman"/>
              <w:lang w:val="en-US" w:eastAsia="zh-CN" w:bidi="ar-SA"/>
            </w:rPr>
            <w:instrText xml:space="preserve"> HYPERLINK \l _Toc6357 </w:instrText>
          </w:r>
          <w:r>
            <w:rPr>
              <w:rFonts w:hint="eastAsia" w:ascii="宋体" w:hAnsi="Times New Roman" w:eastAsia="宋体" w:cs="Times New Roman"/>
              <w:lang w:val="en-US" w:eastAsia="zh-CN" w:bidi="ar-SA"/>
            </w:rPr>
            <w:fldChar w:fldCharType="separate"/>
          </w:r>
          <w:r>
            <w:rPr>
              <w:rFonts w:hint="eastAsia" w:ascii="黑体" w:hAnsi="Times New Roman" w:eastAsia="黑体"/>
              <w:i w:val="0"/>
              <w:spacing w:val="0"/>
              <w:w w:val="100"/>
            </w:rPr>
            <w:t xml:space="preserve">附　录　K </w:t>
          </w:r>
          <w:r>
            <w:t xml:space="preserve"> </w:t>
          </w:r>
          <w:r>
            <w:rPr>
              <w:rFonts w:hint="eastAsia"/>
            </w:rPr>
            <w:t>（规范性附录）</w:t>
          </w:r>
          <w:r>
            <w:t xml:space="preserve"> </w:t>
          </w:r>
          <w:r>
            <w:rPr>
              <w:rFonts w:hint="eastAsia"/>
            </w:rPr>
            <w:t>操作人员行为规范要素的安全生产等级评定细则</w:t>
          </w:r>
          <w:r>
            <w:tab/>
          </w:r>
          <w:r>
            <w:fldChar w:fldCharType="begin"/>
          </w:r>
          <w:r>
            <w:instrText xml:space="preserve"> PAGEREF _Toc6357 \h </w:instrText>
          </w:r>
          <w:r>
            <w:fldChar w:fldCharType="separate"/>
          </w:r>
          <w:r>
            <w:t>91</w:t>
          </w:r>
          <w:r>
            <w:fldChar w:fldCharType="end"/>
          </w:r>
          <w:r>
            <w:rPr>
              <w:rFonts w:hint="eastAsia" w:ascii="宋体" w:hAnsi="Times New Roman" w:eastAsia="宋体" w:cs="Times New Roman"/>
              <w:lang w:val="en-US" w:eastAsia="zh-CN" w:bidi="ar-SA"/>
            </w:rPr>
            <w:fldChar w:fldCharType="end"/>
          </w:r>
        </w:p>
        <w:p w14:paraId="7267299E">
          <w:pPr>
            <w:pStyle w:val="36"/>
            <w:rPr>
              <w:rFonts w:hint="eastAsia" w:ascii="宋体" w:hAnsi="Times New Roman" w:eastAsia="宋体" w:cs="Times New Roman"/>
              <w:sz w:val="21"/>
              <w:lang w:val="en-US" w:eastAsia="zh-CN" w:bidi="ar-SA"/>
            </w:rPr>
          </w:pPr>
          <w:r>
            <w:rPr>
              <w:rFonts w:hint="eastAsia" w:ascii="宋体" w:hAnsi="Times New Roman" w:eastAsia="宋体" w:cs="Times New Roman"/>
              <w:lang w:val="en-US" w:eastAsia="zh-CN" w:bidi="ar-SA"/>
            </w:rPr>
            <w:fldChar w:fldCharType="end"/>
          </w:r>
        </w:p>
      </w:sdtContent>
    </w:sdt>
    <w:p w14:paraId="1225CA80">
      <w:pPr>
        <w:pStyle w:val="36"/>
        <w:rPr>
          <w:rFonts w:hint="eastAsia" w:ascii="宋体" w:hAnsi="Times New Roman" w:eastAsia="宋体" w:cs="Times New Roman"/>
          <w:sz w:val="21"/>
          <w:lang w:val="en-US" w:eastAsia="zh-CN" w:bidi="ar-SA"/>
        </w:rPr>
      </w:pPr>
    </w:p>
    <w:p w14:paraId="7CD13536">
      <w:pPr>
        <w:pStyle w:val="183"/>
        <w:rPr>
          <w:rFonts w:hint="eastAsia"/>
        </w:rPr>
      </w:pPr>
      <w:bookmarkStart w:id="26" w:name="_Toc504931830"/>
      <w:bookmarkStart w:id="27" w:name="_Toc27811"/>
      <w:bookmarkStart w:id="28" w:name="_Toc8838"/>
      <w:r>
        <w:rPr>
          <w:rFonts w:hint="eastAsia"/>
        </w:rPr>
        <w:t>前</w:t>
      </w:r>
      <w:bookmarkStart w:id="29" w:name="BKQY"/>
      <w:r>
        <w:t>  </w:t>
      </w:r>
      <w:r>
        <w:rPr>
          <w:rFonts w:hint="eastAsia"/>
        </w:rPr>
        <w:t>言</w:t>
      </w:r>
      <w:bookmarkEnd w:id="26"/>
      <w:bookmarkEnd w:id="27"/>
      <w:bookmarkEnd w:id="28"/>
      <w:bookmarkEnd w:id="29"/>
    </w:p>
    <w:p w14:paraId="02A8CCA9">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DB11/T 1322《安全生产等级评定技术规范》分为若干部分：</w:t>
      </w:r>
    </w:p>
    <w:p w14:paraId="7709698B">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——第1部分：总则；</w:t>
      </w:r>
    </w:p>
    <w:p w14:paraId="3A55C55F">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——第2部分：安全生产通用要求；</w:t>
      </w:r>
    </w:p>
    <w:p w14:paraId="24817227">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——第3部分：加油站；</w:t>
      </w:r>
    </w:p>
    <w:p w14:paraId="33F04566">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w:t>
      </w:r>
    </w:p>
    <w:p w14:paraId="0A83308B">
      <w:pPr>
        <w:autoSpaceDE w:val="0"/>
        <w:autoSpaceDN w:val="0"/>
        <w:adjustRightInd w:val="0"/>
        <w:ind w:firstLine="420" w:firstLineChars="200"/>
        <w:rPr>
          <w:rFonts w:hint="eastAsia" w:ascii="宋体" w:hAnsi="宋体" w:cs="AdobeHeitiStd-Regular"/>
          <w:kern w:val="0"/>
          <w:szCs w:val="21"/>
        </w:rPr>
      </w:pPr>
      <w:r>
        <w:rPr>
          <w:rFonts w:hint="eastAsia" w:ascii="宋体" w:hAnsi="宋体" w:cs="AdobeHeitiStd-Regular"/>
          <w:kern w:val="0"/>
          <w:szCs w:val="21"/>
        </w:rPr>
        <w:t>——第50部分：A级旅游景区；</w:t>
      </w:r>
    </w:p>
    <w:p w14:paraId="7FCC2A99">
      <w:pPr>
        <w:autoSpaceDE w:val="0"/>
        <w:autoSpaceDN w:val="0"/>
        <w:adjustRightInd w:val="0"/>
        <w:ind w:firstLine="420" w:firstLineChars="200"/>
        <w:rPr>
          <w:rFonts w:ascii="宋体" w:hAnsi="宋体" w:cs="AdobeHeitiStd-Regular"/>
        </w:rPr>
      </w:pPr>
      <w:r>
        <w:rPr>
          <w:rFonts w:ascii="宋体" w:hAnsi="宋体" w:cs="AdobeHeitiStd-Regular"/>
          <w:szCs w:val="21"/>
        </w:rPr>
        <w:t>……</w:t>
      </w:r>
    </w:p>
    <w:p w14:paraId="6B579609">
      <w:pPr>
        <w:autoSpaceDE w:val="0"/>
        <w:autoSpaceDN w:val="0"/>
        <w:adjustRightInd w:val="0"/>
        <w:ind w:firstLine="420" w:firstLineChars="200"/>
        <w:rPr>
          <w:rFonts w:ascii="宋体" w:hAnsi="宋体" w:cs="AdobeHeitiStd-Regular"/>
          <w:szCs w:val="21"/>
        </w:rPr>
      </w:pPr>
      <w:r>
        <w:rPr>
          <w:rFonts w:hint="eastAsia" w:ascii="宋体" w:hAnsi="宋体" w:cs="AdobeHeitiStd-Regular"/>
          <w:szCs w:val="21"/>
        </w:rPr>
        <w:t>本部分为DB11/T 1322的第50部分。</w:t>
      </w:r>
    </w:p>
    <w:p w14:paraId="502472CE">
      <w:pPr>
        <w:pStyle w:val="36"/>
        <w:rPr>
          <w:rFonts w:hint="eastAsia"/>
          <w:szCs w:val="21"/>
        </w:rPr>
      </w:pPr>
      <w:r>
        <w:rPr>
          <w:rFonts w:hint="eastAsia" w:hAnsi="宋体" w:cs="AdobeHeitiStd-Regular"/>
          <w:szCs w:val="21"/>
        </w:rPr>
        <w:t>本部分</w:t>
      </w:r>
      <w:r>
        <w:rPr>
          <w:rFonts w:hint="eastAsia" w:hAnsi="宋体"/>
          <w:szCs w:val="21"/>
        </w:rPr>
        <w:t>按照GB/T 1.1—20</w:t>
      </w:r>
      <w:r>
        <w:rPr>
          <w:rFonts w:hint="eastAsia" w:hAnsi="宋体"/>
          <w:szCs w:val="21"/>
          <w:lang w:val="en-US" w:eastAsia="zh-CN"/>
        </w:rPr>
        <w:t>20</w:t>
      </w:r>
      <w:r>
        <w:rPr>
          <w:rFonts w:hint="eastAsia" w:hAnsi="宋体"/>
          <w:szCs w:val="21"/>
        </w:rPr>
        <w:t>给出</w:t>
      </w:r>
      <w:r>
        <w:rPr>
          <w:rFonts w:hint="eastAsia"/>
          <w:szCs w:val="21"/>
        </w:rPr>
        <w:t>的规则起草。</w:t>
      </w:r>
    </w:p>
    <w:p w14:paraId="3D6DAADA">
      <w:pPr>
        <w:pStyle w:val="36"/>
        <w:rPr>
          <w:rFonts w:hint="eastAsia" w:hAnsi="宋体" w:cs="AdobeHeitiStd-Regular"/>
          <w:kern w:val="0"/>
          <w:szCs w:val="21"/>
          <w:lang w:val="en-US" w:eastAsia="zh-CN"/>
        </w:rPr>
      </w:pPr>
      <w:r>
        <w:rPr>
          <w:rFonts w:hint="eastAsia"/>
          <w:szCs w:val="21"/>
          <w:lang w:val="en-US" w:eastAsia="zh-CN"/>
        </w:rPr>
        <w:t>本部分代替</w:t>
      </w:r>
      <w:r>
        <w:rPr>
          <w:rFonts w:hint="eastAsia" w:ascii="宋体" w:hAnsi="宋体" w:cs="AdobeHeitiStd-Regular"/>
          <w:kern w:val="0"/>
          <w:szCs w:val="21"/>
        </w:rPr>
        <w:t>DB11/T 132</w:t>
      </w:r>
      <w:r>
        <w:rPr>
          <w:rFonts w:hint="eastAsia" w:hAnsi="宋体" w:cs="AdobeHeitiStd-Regular"/>
          <w:kern w:val="0"/>
          <w:szCs w:val="21"/>
          <w:lang w:val="en-US" w:eastAsia="zh-CN"/>
        </w:rPr>
        <w:t>2.50-2018《安全生产等级评定技术规范第50部分：A级旅游景区》，与</w:t>
      </w:r>
      <w:r>
        <w:rPr>
          <w:rFonts w:hint="eastAsia" w:ascii="宋体" w:hAnsi="宋体" w:cs="AdobeHeitiStd-Regular"/>
          <w:kern w:val="0"/>
          <w:szCs w:val="21"/>
        </w:rPr>
        <w:t>DB11/T 132</w:t>
      </w:r>
      <w:r>
        <w:rPr>
          <w:rFonts w:hint="eastAsia" w:hAnsi="宋体" w:cs="AdobeHeitiStd-Regular"/>
          <w:kern w:val="0"/>
          <w:szCs w:val="21"/>
          <w:lang w:val="en-US" w:eastAsia="zh-CN"/>
        </w:rPr>
        <w:t>2.50-2018相比，除结构调整和编辑性改动外，主要技术变化如下：</w:t>
      </w:r>
    </w:p>
    <w:p w14:paraId="687040E8">
      <w:pPr>
        <w:pStyle w:val="36"/>
        <w:numPr>
          <w:ilvl w:val="0"/>
          <w:numId w:val="18"/>
        </w:numPr>
        <w:adjustRightInd w:val="0"/>
        <w:snapToGrid w:val="0"/>
        <w:rPr>
          <w:rFonts w:hint="eastAsia" w:hAnsi="宋体"/>
          <w:szCs w:val="21"/>
        </w:rPr>
      </w:pPr>
      <w:r>
        <w:rPr>
          <w:rFonts w:hint="eastAsia" w:hAnsi="宋体"/>
          <w:szCs w:val="21"/>
        </w:rPr>
        <w:t>增加了</w:t>
      </w:r>
      <w:r>
        <w:rPr>
          <w:rFonts w:hint="eastAsia" w:hAnsi="宋体"/>
          <w:szCs w:val="21"/>
          <w:lang w:val="en-US" w:eastAsia="zh-CN"/>
        </w:rPr>
        <w:t>安全总监要求</w:t>
      </w:r>
      <w:r>
        <w:rPr>
          <w:rFonts w:hint="eastAsia" w:hAnsi="宋体"/>
          <w:szCs w:val="21"/>
        </w:rPr>
        <w:t>（见</w:t>
      </w:r>
      <w:r>
        <w:rPr>
          <w:rFonts w:hint="eastAsia" w:hAnsi="宋体"/>
          <w:szCs w:val="21"/>
          <w:lang w:val="en-US" w:eastAsia="zh-CN"/>
        </w:rPr>
        <w:t>4</w:t>
      </w:r>
      <w:r>
        <w:rPr>
          <w:rFonts w:hint="eastAsia" w:hAnsi="宋体"/>
          <w:szCs w:val="21"/>
        </w:rPr>
        <w:t>.1.2）</w:t>
      </w:r>
      <w:r>
        <w:rPr>
          <w:rFonts w:hint="eastAsia" w:hAnsi="宋体"/>
          <w:szCs w:val="21"/>
          <w:lang w:eastAsia="zh-CN"/>
        </w:rPr>
        <w:t>；</w:t>
      </w:r>
    </w:p>
    <w:p w14:paraId="136E68F3">
      <w:pPr>
        <w:pStyle w:val="36"/>
        <w:numPr>
          <w:ilvl w:val="0"/>
          <w:numId w:val="18"/>
        </w:numPr>
        <w:adjustRightInd w:val="0"/>
        <w:snapToGrid w:val="0"/>
        <w:rPr>
          <w:rFonts w:hint="eastAsia" w:hAnsi="宋体"/>
          <w:szCs w:val="21"/>
        </w:rPr>
      </w:pPr>
      <w:r>
        <w:rPr>
          <w:rFonts w:hint="eastAsia" w:hAnsi="宋体"/>
          <w:szCs w:val="21"/>
          <w:lang w:val="en-US" w:eastAsia="zh-CN"/>
        </w:rPr>
        <w:t>增加了</w:t>
      </w:r>
      <w:r>
        <w:rPr>
          <w:rFonts w:hint="eastAsia" w:hAnsi="宋体"/>
          <w:szCs w:val="21"/>
        </w:rPr>
        <w:t>安全风险分级管控要求（见</w:t>
      </w:r>
      <w:r>
        <w:rPr>
          <w:rFonts w:hint="eastAsia" w:hAnsi="宋体"/>
          <w:szCs w:val="21"/>
          <w:lang w:val="en-US" w:eastAsia="zh-CN"/>
        </w:rPr>
        <w:t>4</w:t>
      </w:r>
      <w:r>
        <w:rPr>
          <w:rFonts w:hint="eastAsia" w:hAnsi="宋体"/>
          <w:szCs w:val="21"/>
        </w:rPr>
        <w:t>.1.</w:t>
      </w:r>
      <w:r>
        <w:rPr>
          <w:rFonts w:hint="eastAsia" w:hAnsi="宋体"/>
          <w:szCs w:val="21"/>
          <w:lang w:val="en-US" w:eastAsia="zh-CN"/>
        </w:rPr>
        <w:t>3</w:t>
      </w:r>
      <w:r>
        <w:rPr>
          <w:rFonts w:hint="eastAsia" w:hAnsi="宋体"/>
          <w:szCs w:val="21"/>
        </w:rPr>
        <w:t>）；</w:t>
      </w:r>
    </w:p>
    <w:p w14:paraId="64F29599">
      <w:pPr>
        <w:pStyle w:val="36"/>
        <w:numPr>
          <w:ilvl w:val="0"/>
          <w:numId w:val="18"/>
        </w:numPr>
        <w:adjustRightInd w:val="0"/>
        <w:snapToGrid w:val="0"/>
        <w:rPr>
          <w:rFonts w:hint="eastAsia" w:hAnsi="宋体"/>
          <w:szCs w:val="21"/>
        </w:rPr>
      </w:pPr>
      <w:r>
        <w:rPr>
          <w:rFonts w:hint="eastAsia" w:hAnsi="宋体"/>
          <w:szCs w:val="21"/>
        </w:rPr>
        <w:t>增加了特种设备要求（见</w:t>
      </w:r>
      <w:r>
        <w:rPr>
          <w:rFonts w:hint="eastAsia" w:hAnsi="宋体"/>
          <w:szCs w:val="21"/>
          <w:lang w:val="en-US" w:eastAsia="zh-CN"/>
        </w:rPr>
        <w:t>4</w:t>
      </w:r>
      <w:r>
        <w:rPr>
          <w:rFonts w:hint="eastAsia" w:hAnsi="宋体"/>
          <w:szCs w:val="21"/>
        </w:rPr>
        <w:t>.1.</w:t>
      </w:r>
      <w:r>
        <w:rPr>
          <w:rFonts w:hint="eastAsia" w:hAnsi="宋体"/>
          <w:szCs w:val="21"/>
          <w:lang w:val="en-US" w:eastAsia="zh-CN"/>
        </w:rPr>
        <w:t>4</w:t>
      </w:r>
      <w:r>
        <w:rPr>
          <w:rFonts w:hint="eastAsia" w:hAnsi="宋体"/>
          <w:szCs w:val="21"/>
        </w:rPr>
        <w:t>）；</w:t>
      </w:r>
    </w:p>
    <w:p w14:paraId="0EFE77AD">
      <w:pPr>
        <w:pStyle w:val="36"/>
        <w:numPr>
          <w:ilvl w:val="0"/>
          <w:numId w:val="18"/>
        </w:numPr>
        <w:adjustRightInd w:val="0"/>
        <w:snapToGrid w:val="0"/>
        <w:rPr>
          <w:rFonts w:hint="eastAsia" w:hAnsi="宋体"/>
          <w:szCs w:val="21"/>
        </w:rPr>
      </w:pPr>
      <w:r>
        <w:rPr>
          <w:rFonts w:hint="eastAsia" w:hAnsi="宋体"/>
          <w:szCs w:val="21"/>
        </w:rPr>
        <w:t>删除了职业病危害</w:t>
      </w:r>
      <w:r>
        <w:rPr>
          <w:rFonts w:hint="eastAsia" w:hAnsi="宋体"/>
          <w:szCs w:val="21"/>
          <w:lang w:val="en-US" w:eastAsia="zh-CN"/>
        </w:rPr>
        <w:t>要求</w:t>
      </w:r>
      <w:r>
        <w:rPr>
          <w:rFonts w:hint="eastAsia" w:hAnsi="宋体"/>
          <w:szCs w:val="21"/>
        </w:rPr>
        <w:t>（2018版</w:t>
      </w:r>
      <w:r>
        <w:rPr>
          <w:rFonts w:hint="eastAsia" w:hAnsi="宋体"/>
          <w:szCs w:val="21"/>
          <w:lang w:val="en-US" w:eastAsia="zh-CN"/>
        </w:rPr>
        <w:t>3</w:t>
      </w:r>
      <w:r>
        <w:rPr>
          <w:rFonts w:hint="eastAsia" w:hAnsi="宋体"/>
          <w:szCs w:val="21"/>
        </w:rPr>
        <w:t>.9、附录</w:t>
      </w:r>
      <w:r>
        <w:rPr>
          <w:rFonts w:hint="eastAsia" w:hAnsi="宋体"/>
          <w:szCs w:val="21"/>
          <w:lang w:val="en-US" w:eastAsia="zh-CN"/>
        </w:rPr>
        <w:t>A.1序号2</w:t>
      </w:r>
      <w:r>
        <w:rPr>
          <w:rFonts w:hint="eastAsia" w:hAnsi="宋体"/>
          <w:szCs w:val="21"/>
        </w:rPr>
        <w:t>、附录</w:t>
      </w:r>
      <w:r>
        <w:rPr>
          <w:rFonts w:hint="eastAsia" w:hAnsi="宋体"/>
          <w:szCs w:val="21"/>
          <w:lang w:val="en-US" w:eastAsia="zh-CN"/>
        </w:rPr>
        <w:t>B.1序号1.11</w:t>
      </w:r>
      <w:r>
        <w:rPr>
          <w:rFonts w:hint="eastAsia" w:hAnsi="宋体"/>
          <w:szCs w:val="21"/>
        </w:rPr>
        <w:t>、附录J）；</w:t>
      </w:r>
    </w:p>
    <w:p w14:paraId="0D8C98D1">
      <w:pPr>
        <w:pStyle w:val="36"/>
        <w:numPr>
          <w:ilvl w:val="0"/>
          <w:numId w:val="18"/>
        </w:numPr>
        <w:adjustRightInd w:val="0"/>
        <w:snapToGrid w:val="0"/>
        <w:rPr>
          <w:rFonts w:hint="eastAsia" w:hAnsi="宋体"/>
          <w:szCs w:val="21"/>
        </w:rPr>
      </w:pPr>
      <w:r>
        <w:rPr>
          <w:rFonts w:hint="eastAsia" w:hAnsi="宋体"/>
          <w:szCs w:val="21"/>
        </w:rPr>
        <w:t>修改了相关方</w:t>
      </w:r>
      <w:r>
        <w:rPr>
          <w:rFonts w:hint="eastAsia" w:hAnsi="宋体"/>
          <w:szCs w:val="21"/>
          <w:lang w:val="en-US" w:eastAsia="zh-CN"/>
        </w:rPr>
        <w:t>要求</w:t>
      </w:r>
      <w:r>
        <w:rPr>
          <w:rFonts w:hint="eastAsia" w:hAnsi="宋体"/>
          <w:szCs w:val="21"/>
        </w:rPr>
        <w:t>（见附录B</w:t>
      </w:r>
      <w:r>
        <w:rPr>
          <w:rFonts w:hint="eastAsia" w:hAnsi="宋体"/>
          <w:szCs w:val="21"/>
          <w:lang w:val="en-US" w:eastAsia="zh-CN"/>
        </w:rPr>
        <w:t>.1</w:t>
      </w:r>
      <w:r>
        <w:rPr>
          <w:rFonts w:hint="eastAsia" w:hAnsi="宋体"/>
          <w:szCs w:val="21"/>
        </w:rPr>
        <w:t>序号1.9，2018版附录B</w:t>
      </w:r>
      <w:r>
        <w:rPr>
          <w:rFonts w:hint="eastAsia" w:hAnsi="宋体"/>
          <w:szCs w:val="21"/>
          <w:lang w:val="en-US" w:eastAsia="zh-CN"/>
        </w:rPr>
        <w:t>.1</w:t>
      </w:r>
      <w:r>
        <w:rPr>
          <w:rFonts w:hint="eastAsia" w:hAnsi="宋体"/>
          <w:szCs w:val="21"/>
        </w:rPr>
        <w:t>序号）；</w:t>
      </w:r>
    </w:p>
    <w:p w14:paraId="652E8FA7">
      <w:pPr>
        <w:pStyle w:val="36"/>
        <w:numPr>
          <w:ilvl w:val="0"/>
          <w:numId w:val="18"/>
        </w:numPr>
        <w:adjustRightInd w:val="0"/>
        <w:snapToGrid w:val="0"/>
        <w:rPr>
          <w:rFonts w:hint="eastAsia" w:hAnsi="宋体"/>
          <w:szCs w:val="21"/>
        </w:rPr>
      </w:pPr>
      <w:r>
        <w:rPr>
          <w:rFonts w:hint="eastAsia" w:hAnsi="宋体"/>
          <w:szCs w:val="21"/>
          <w:lang w:val="en-US" w:eastAsia="zh-CN"/>
        </w:rPr>
        <w:t>删除了耐火等级要求</w:t>
      </w:r>
      <w:r>
        <w:rPr>
          <w:rFonts w:hint="eastAsia" w:hAnsi="宋体"/>
          <w:szCs w:val="21"/>
        </w:rPr>
        <w:t>（2018版</w:t>
      </w:r>
      <w:r>
        <w:rPr>
          <w:rFonts w:hint="eastAsia" w:hAnsi="宋体"/>
          <w:szCs w:val="21"/>
          <w:lang w:val="en-US" w:eastAsia="zh-CN"/>
        </w:rPr>
        <w:t>3</w:t>
      </w:r>
      <w:r>
        <w:rPr>
          <w:rFonts w:hint="eastAsia" w:hAnsi="宋体"/>
          <w:szCs w:val="21"/>
        </w:rPr>
        <w:t>.</w:t>
      </w:r>
      <w:r>
        <w:rPr>
          <w:rFonts w:hint="eastAsia" w:hAnsi="宋体"/>
          <w:szCs w:val="21"/>
          <w:lang w:val="en-US" w:eastAsia="zh-CN"/>
        </w:rPr>
        <w:t>2.1.1</w:t>
      </w:r>
      <w:r>
        <w:rPr>
          <w:rFonts w:hint="eastAsia" w:hAnsi="宋体"/>
          <w:szCs w:val="21"/>
        </w:rPr>
        <w:t>）</w:t>
      </w:r>
      <w:r>
        <w:rPr>
          <w:rFonts w:hint="eastAsia" w:hAnsi="宋体"/>
          <w:szCs w:val="21"/>
          <w:lang w:val="en-US" w:eastAsia="zh-CN"/>
        </w:rPr>
        <w:t>；</w:t>
      </w:r>
    </w:p>
    <w:p w14:paraId="0658A82A">
      <w:pPr>
        <w:pStyle w:val="36"/>
        <w:numPr>
          <w:ilvl w:val="0"/>
          <w:numId w:val="18"/>
        </w:numPr>
        <w:adjustRightInd w:val="0"/>
        <w:snapToGrid w:val="0"/>
        <w:rPr>
          <w:rFonts w:hint="eastAsia" w:hAnsi="宋体"/>
          <w:szCs w:val="21"/>
        </w:rPr>
      </w:pPr>
      <w:r>
        <w:rPr>
          <w:rFonts w:hint="eastAsia" w:hAnsi="宋体"/>
          <w:szCs w:val="21"/>
          <w:lang w:val="en-US" w:eastAsia="zh-CN"/>
        </w:rPr>
        <w:t>增加了景区燃香场所设置要求</w:t>
      </w:r>
      <w:r>
        <w:rPr>
          <w:rFonts w:hint="eastAsia" w:hAnsi="宋体"/>
          <w:szCs w:val="21"/>
        </w:rPr>
        <w:t>（见</w:t>
      </w:r>
      <w:r>
        <w:rPr>
          <w:rFonts w:hint="eastAsia" w:hAnsi="宋体"/>
          <w:szCs w:val="21"/>
          <w:lang w:val="en-US" w:eastAsia="zh-CN"/>
        </w:rPr>
        <w:t>4.2.1.2</w:t>
      </w:r>
      <w:r>
        <w:rPr>
          <w:rFonts w:hint="eastAsia" w:hAnsi="宋体"/>
          <w:szCs w:val="21"/>
        </w:rPr>
        <w:t>）</w:t>
      </w:r>
    </w:p>
    <w:p w14:paraId="3562C4B5">
      <w:pPr>
        <w:pStyle w:val="36"/>
        <w:numPr>
          <w:ilvl w:val="0"/>
          <w:numId w:val="18"/>
        </w:numPr>
        <w:adjustRightInd w:val="0"/>
        <w:snapToGrid w:val="0"/>
        <w:rPr>
          <w:rFonts w:hint="eastAsia" w:hAnsi="宋体"/>
          <w:szCs w:val="21"/>
        </w:rPr>
      </w:pPr>
      <w:r>
        <w:rPr>
          <w:rFonts w:hint="eastAsia" w:hAnsi="宋体"/>
          <w:szCs w:val="21"/>
        </w:rPr>
        <w:t>修改了</w:t>
      </w:r>
      <w:r>
        <w:rPr>
          <w:rFonts w:hint="eastAsia" w:hAnsi="宋体"/>
          <w:szCs w:val="21"/>
          <w:lang w:val="en-US" w:eastAsia="zh-CN"/>
        </w:rPr>
        <w:t>山地和林区要求</w:t>
      </w:r>
      <w:r>
        <w:rPr>
          <w:rFonts w:hint="eastAsia" w:hAnsi="宋体"/>
          <w:szCs w:val="21"/>
        </w:rPr>
        <w:t>（见</w:t>
      </w:r>
      <w:r>
        <w:rPr>
          <w:rFonts w:hint="eastAsia" w:hAnsi="宋体"/>
          <w:szCs w:val="21"/>
          <w:lang w:val="en-US" w:eastAsia="zh-CN"/>
        </w:rPr>
        <w:t>4</w:t>
      </w:r>
      <w:r>
        <w:rPr>
          <w:rFonts w:hint="eastAsia" w:hAnsi="宋体"/>
          <w:szCs w:val="21"/>
        </w:rPr>
        <w:t>.2.2.</w:t>
      </w:r>
      <w:r>
        <w:rPr>
          <w:rFonts w:hint="eastAsia" w:hAnsi="宋体"/>
          <w:szCs w:val="21"/>
          <w:lang w:val="en-US" w:eastAsia="zh-CN"/>
        </w:rPr>
        <w:t>6</w:t>
      </w:r>
      <w:r>
        <w:rPr>
          <w:rFonts w:hint="eastAsia" w:hAnsi="宋体"/>
          <w:szCs w:val="21"/>
        </w:rPr>
        <w:t>，2018版</w:t>
      </w:r>
      <w:r>
        <w:rPr>
          <w:rFonts w:hint="eastAsia" w:hAnsi="宋体"/>
          <w:szCs w:val="21"/>
          <w:lang w:val="en-US" w:eastAsia="zh-CN"/>
        </w:rPr>
        <w:t>3</w:t>
      </w:r>
      <w:r>
        <w:rPr>
          <w:rFonts w:hint="eastAsia" w:hAnsi="宋体"/>
          <w:szCs w:val="21"/>
        </w:rPr>
        <w:t>.2.</w:t>
      </w:r>
      <w:r>
        <w:rPr>
          <w:rFonts w:hint="eastAsia" w:hAnsi="宋体"/>
          <w:szCs w:val="21"/>
          <w:lang w:val="en-US" w:eastAsia="zh-CN"/>
        </w:rPr>
        <w:t>2</w:t>
      </w:r>
      <w:r>
        <w:rPr>
          <w:rFonts w:hint="eastAsia" w:hAnsi="宋体"/>
          <w:szCs w:val="21"/>
        </w:rPr>
        <w:t>.</w:t>
      </w:r>
      <w:r>
        <w:rPr>
          <w:rFonts w:hint="eastAsia" w:hAnsi="宋体"/>
          <w:szCs w:val="21"/>
          <w:lang w:val="en-US" w:eastAsia="zh-CN"/>
        </w:rPr>
        <w:t>6</w:t>
      </w:r>
      <w:r>
        <w:rPr>
          <w:rFonts w:hint="eastAsia" w:hAnsi="宋体"/>
          <w:szCs w:val="21"/>
        </w:rPr>
        <w:t>）；</w:t>
      </w:r>
    </w:p>
    <w:p w14:paraId="71EB839F">
      <w:pPr>
        <w:pStyle w:val="36"/>
        <w:numPr>
          <w:ilvl w:val="0"/>
          <w:numId w:val="18"/>
        </w:numPr>
        <w:adjustRightInd w:val="0"/>
        <w:snapToGrid w:val="0"/>
        <w:rPr>
          <w:rFonts w:hint="eastAsia" w:hAnsi="宋体"/>
          <w:szCs w:val="21"/>
        </w:rPr>
      </w:pPr>
      <w:r>
        <w:rPr>
          <w:rFonts w:hint="eastAsia" w:hAnsi="宋体"/>
          <w:szCs w:val="21"/>
          <w:lang w:val="en-US" w:eastAsia="zh-CN"/>
        </w:rPr>
        <w:t>增加了库房要求（见4.2.3）</w:t>
      </w:r>
    </w:p>
    <w:p w14:paraId="051BCD6F">
      <w:pPr>
        <w:pStyle w:val="36"/>
        <w:numPr>
          <w:ilvl w:val="0"/>
          <w:numId w:val="18"/>
        </w:numPr>
        <w:adjustRightInd w:val="0"/>
        <w:snapToGrid w:val="0"/>
        <w:rPr>
          <w:rFonts w:hint="eastAsia" w:hAnsi="宋体"/>
          <w:szCs w:val="21"/>
        </w:rPr>
      </w:pPr>
      <w:r>
        <w:rPr>
          <w:rFonts w:hint="eastAsia" w:hAnsi="宋体"/>
          <w:szCs w:val="21"/>
          <w:lang w:val="en-US" w:eastAsia="zh-CN"/>
        </w:rPr>
        <w:t>增加</w:t>
      </w:r>
      <w:r>
        <w:rPr>
          <w:rFonts w:hint="eastAsia" w:hAnsi="宋体"/>
          <w:szCs w:val="21"/>
        </w:rPr>
        <w:t>了</w:t>
      </w:r>
      <w:r>
        <w:rPr>
          <w:rFonts w:hint="eastAsia" w:hAnsi="宋体"/>
          <w:szCs w:val="21"/>
          <w:lang w:val="en-US" w:eastAsia="zh-CN"/>
        </w:rPr>
        <w:t>古树名木</w:t>
      </w:r>
      <w:r>
        <w:rPr>
          <w:rFonts w:hint="eastAsia"/>
          <w:highlight w:val="none"/>
          <w:lang w:val="en-US" w:eastAsia="zh-CN"/>
        </w:rPr>
        <w:t>防雷</w:t>
      </w:r>
      <w:r>
        <w:rPr>
          <w:rFonts w:hint="eastAsia" w:hAnsi="宋体"/>
          <w:szCs w:val="21"/>
        </w:rPr>
        <w:t>要求（</w:t>
      </w:r>
      <w:r>
        <w:rPr>
          <w:rFonts w:hint="eastAsia" w:hAnsi="宋体"/>
          <w:szCs w:val="21"/>
          <w:lang w:val="en-US" w:eastAsia="zh-CN"/>
        </w:rPr>
        <w:t>见4.2.5.2</w:t>
      </w:r>
      <w:r>
        <w:rPr>
          <w:rFonts w:hint="eastAsia" w:hAnsi="宋体"/>
          <w:szCs w:val="21"/>
        </w:rPr>
        <w:t>）</w:t>
      </w:r>
    </w:p>
    <w:p w14:paraId="7BB7413D">
      <w:pPr>
        <w:pStyle w:val="36"/>
        <w:numPr>
          <w:ilvl w:val="0"/>
          <w:numId w:val="18"/>
        </w:numPr>
        <w:adjustRightInd w:val="0"/>
        <w:snapToGrid w:val="0"/>
        <w:rPr>
          <w:rFonts w:hint="eastAsia" w:hAnsi="宋体"/>
          <w:szCs w:val="21"/>
        </w:rPr>
      </w:pPr>
      <w:r>
        <w:rPr>
          <w:rFonts w:hint="eastAsia" w:hAnsi="宋体"/>
          <w:szCs w:val="21"/>
          <w:lang w:val="en-US" w:eastAsia="zh-CN"/>
        </w:rPr>
        <w:t>增加了工程车辆充电要求（见4.3.1.3）</w:t>
      </w:r>
    </w:p>
    <w:p w14:paraId="39D80F6E">
      <w:pPr>
        <w:pStyle w:val="36"/>
        <w:numPr>
          <w:ilvl w:val="0"/>
          <w:numId w:val="18"/>
        </w:numPr>
        <w:adjustRightInd w:val="0"/>
        <w:snapToGrid w:val="0"/>
        <w:rPr>
          <w:rFonts w:hint="eastAsia" w:hAnsi="宋体"/>
          <w:szCs w:val="21"/>
        </w:rPr>
      </w:pPr>
      <w:r>
        <w:rPr>
          <w:rFonts w:hint="eastAsia" w:hAnsi="宋体"/>
          <w:szCs w:val="21"/>
          <w:lang w:val="en-US" w:eastAsia="zh-CN"/>
        </w:rPr>
        <w:t>增加</w:t>
      </w:r>
      <w:r>
        <w:rPr>
          <w:rFonts w:hint="eastAsia" w:hAnsi="宋体"/>
          <w:szCs w:val="21"/>
        </w:rPr>
        <w:t>了</w:t>
      </w:r>
      <w:r>
        <w:rPr>
          <w:rFonts w:hint="eastAsia" w:hAnsi="宋体"/>
          <w:szCs w:val="21"/>
          <w:lang w:val="en-US" w:eastAsia="zh-CN"/>
        </w:rPr>
        <w:t>游乐设施通用要求</w:t>
      </w:r>
      <w:r>
        <w:rPr>
          <w:rFonts w:hint="eastAsia" w:hAnsi="宋体"/>
          <w:szCs w:val="21"/>
        </w:rPr>
        <w:t>（见</w:t>
      </w:r>
      <w:r>
        <w:rPr>
          <w:rFonts w:hint="eastAsia" w:hAnsi="宋体"/>
          <w:szCs w:val="21"/>
          <w:lang w:val="en-US" w:eastAsia="zh-CN"/>
        </w:rPr>
        <w:t>4.3.1.4</w:t>
      </w:r>
      <w:r>
        <w:rPr>
          <w:rFonts w:hint="eastAsia" w:hAnsi="宋体"/>
          <w:szCs w:val="21"/>
        </w:rPr>
        <w:t>）</w:t>
      </w:r>
    </w:p>
    <w:p w14:paraId="7599EC44">
      <w:pPr>
        <w:pStyle w:val="36"/>
        <w:numPr>
          <w:ilvl w:val="0"/>
          <w:numId w:val="18"/>
        </w:numPr>
        <w:adjustRightInd w:val="0"/>
        <w:snapToGrid w:val="0"/>
        <w:rPr>
          <w:rFonts w:hint="eastAsia" w:hAnsi="宋体"/>
          <w:szCs w:val="21"/>
          <w:highlight w:val="none"/>
        </w:rPr>
      </w:pPr>
      <w:r>
        <w:rPr>
          <w:rFonts w:hint="eastAsia" w:hAnsi="宋体"/>
          <w:szCs w:val="21"/>
        </w:rPr>
        <w:t>修改了管道天然气设施</w:t>
      </w:r>
      <w:r>
        <w:rPr>
          <w:rFonts w:hint="eastAsia" w:hAnsi="宋体"/>
          <w:szCs w:val="21"/>
          <w:lang w:val="en-US" w:eastAsia="zh-CN"/>
        </w:rPr>
        <w:t>要求</w:t>
      </w:r>
      <w:r>
        <w:rPr>
          <w:rFonts w:hint="eastAsia" w:hAnsi="宋体"/>
          <w:szCs w:val="21"/>
        </w:rPr>
        <w:t>（见</w:t>
      </w:r>
      <w:r>
        <w:rPr>
          <w:rFonts w:hint="eastAsia" w:hAnsi="宋体"/>
          <w:szCs w:val="21"/>
          <w:lang w:val="en-US" w:eastAsia="zh-CN"/>
        </w:rPr>
        <w:t>4.3.2.3</w:t>
      </w:r>
      <w:r>
        <w:rPr>
          <w:rFonts w:hint="eastAsia" w:hAnsi="宋体"/>
          <w:szCs w:val="21"/>
        </w:rPr>
        <w:t>，</w:t>
      </w:r>
      <w:r>
        <w:rPr>
          <w:rFonts w:hint="eastAsia" w:hAnsi="宋体"/>
          <w:szCs w:val="21"/>
          <w:highlight w:val="none"/>
        </w:rPr>
        <w:t>2018版</w:t>
      </w:r>
      <w:r>
        <w:rPr>
          <w:rFonts w:hint="eastAsia" w:hAnsi="宋体"/>
          <w:szCs w:val="21"/>
          <w:highlight w:val="none"/>
          <w:lang w:val="en-US" w:eastAsia="zh-CN"/>
        </w:rPr>
        <w:t>3.3.2.3</w:t>
      </w:r>
      <w:r>
        <w:rPr>
          <w:rFonts w:hint="eastAsia" w:hAnsi="宋体"/>
          <w:szCs w:val="21"/>
          <w:highlight w:val="none"/>
        </w:rPr>
        <w:t>）</w:t>
      </w:r>
    </w:p>
    <w:p w14:paraId="36C02108">
      <w:pPr>
        <w:pStyle w:val="36"/>
        <w:numPr>
          <w:ilvl w:val="0"/>
          <w:numId w:val="18"/>
        </w:numPr>
        <w:adjustRightInd w:val="0"/>
        <w:snapToGrid w:val="0"/>
        <w:rPr>
          <w:rFonts w:hint="eastAsia" w:hAnsi="宋体"/>
          <w:szCs w:val="21"/>
          <w:highlight w:val="none"/>
        </w:rPr>
      </w:pPr>
      <w:r>
        <w:rPr>
          <w:rFonts w:hint="eastAsia" w:hAnsi="宋体"/>
          <w:szCs w:val="21"/>
          <w:highlight w:val="none"/>
          <w:lang w:val="en-US" w:eastAsia="zh-CN"/>
        </w:rPr>
        <w:t>合并了游览船、</w:t>
      </w:r>
      <w:r>
        <w:rPr>
          <w:rFonts w:hint="eastAsia"/>
          <w:highlight w:val="none"/>
        </w:rPr>
        <w:t>漂流设备设施</w:t>
      </w:r>
      <w:r>
        <w:rPr>
          <w:rFonts w:hint="eastAsia"/>
          <w:highlight w:val="none"/>
          <w:lang w:val="en-US" w:eastAsia="zh-CN"/>
        </w:rPr>
        <w:t>、</w:t>
      </w:r>
      <w:r>
        <w:rPr>
          <w:rFonts w:hint="eastAsia"/>
          <w:szCs w:val="21"/>
          <w:highlight w:val="none"/>
          <w:lang w:val="en-US" w:eastAsia="zh-CN"/>
        </w:rPr>
        <w:t>游泳池和其他水上活动设备设施要求</w:t>
      </w:r>
      <w:r>
        <w:rPr>
          <w:rFonts w:hint="eastAsia" w:hAnsi="宋体"/>
          <w:szCs w:val="21"/>
          <w:highlight w:val="none"/>
        </w:rPr>
        <w:t>（见</w:t>
      </w:r>
      <w:r>
        <w:rPr>
          <w:rFonts w:hint="eastAsia" w:hAnsi="宋体"/>
          <w:szCs w:val="21"/>
          <w:highlight w:val="none"/>
          <w:lang w:val="en-US" w:eastAsia="zh-CN"/>
        </w:rPr>
        <w:t>4.3.2</w:t>
      </w:r>
      <w:r>
        <w:rPr>
          <w:rFonts w:hint="eastAsia" w:hAnsi="宋体"/>
          <w:szCs w:val="21"/>
          <w:highlight w:val="none"/>
        </w:rPr>
        <w:t>，2018版</w:t>
      </w:r>
      <w:r>
        <w:rPr>
          <w:rFonts w:hint="eastAsia" w:hAnsi="宋体"/>
          <w:szCs w:val="21"/>
          <w:highlight w:val="none"/>
          <w:lang w:val="en-US" w:eastAsia="zh-CN"/>
        </w:rPr>
        <w:t>3.3.3、3.3.4、3.3.6、3.3.7</w:t>
      </w:r>
      <w:r>
        <w:rPr>
          <w:rFonts w:hint="eastAsia" w:hAnsi="宋体"/>
          <w:szCs w:val="21"/>
          <w:highlight w:val="none"/>
        </w:rPr>
        <w:t>）</w:t>
      </w:r>
    </w:p>
    <w:p w14:paraId="71F8AC21">
      <w:pPr>
        <w:pStyle w:val="36"/>
        <w:numPr>
          <w:ilvl w:val="0"/>
          <w:numId w:val="18"/>
        </w:numPr>
        <w:adjustRightInd w:val="0"/>
        <w:snapToGrid w:val="0"/>
        <w:rPr>
          <w:rFonts w:hint="eastAsia"/>
          <w:szCs w:val="21"/>
        </w:rPr>
      </w:pPr>
      <w:r>
        <w:rPr>
          <w:rFonts w:hint="eastAsia"/>
          <w:szCs w:val="21"/>
          <w:highlight w:val="none"/>
          <w:lang w:val="en-US" w:eastAsia="zh-CN"/>
        </w:rPr>
        <w:t>修改了</w:t>
      </w:r>
      <w:r>
        <w:rPr>
          <w:rFonts w:hint="eastAsia"/>
          <w:szCs w:val="21"/>
        </w:rPr>
        <w:t>冰上活动设备设施</w:t>
      </w:r>
      <w:r>
        <w:rPr>
          <w:rFonts w:hint="eastAsia" w:hAnsi="宋体"/>
          <w:szCs w:val="21"/>
          <w:lang w:val="en-US" w:eastAsia="zh-CN"/>
        </w:rPr>
        <w:t>要求</w:t>
      </w:r>
      <w:r>
        <w:rPr>
          <w:rFonts w:hint="eastAsia"/>
          <w:szCs w:val="21"/>
          <w:highlight w:val="none"/>
          <w:lang w:val="en-US" w:eastAsia="zh-CN"/>
        </w:rPr>
        <w:t>（</w:t>
      </w:r>
      <w:r>
        <w:rPr>
          <w:rFonts w:hint="eastAsia" w:hAnsi="宋体"/>
          <w:szCs w:val="21"/>
          <w:highlight w:val="none"/>
        </w:rPr>
        <w:t>见</w:t>
      </w:r>
      <w:r>
        <w:rPr>
          <w:rFonts w:hint="eastAsia" w:hAnsi="宋体"/>
          <w:szCs w:val="21"/>
          <w:highlight w:val="none"/>
          <w:lang w:val="en-US" w:eastAsia="zh-CN"/>
        </w:rPr>
        <w:t>4.3.5</w:t>
      </w:r>
      <w:r>
        <w:rPr>
          <w:rFonts w:hint="eastAsia"/>
          <w:szCs w:val="21"/>
          <w:highlight w:val="none"/>
        </w:rPr>
        <w:t>，201</w:t>
      </w:r>
      <w:r>
        <w:rPr>
          <w:rFonts w:hint="eastAsia"/>
          <w:szCs w:val="21"/>
          <w:highlight w:val="none"/>
          <w:lang w:val="en-US" w:eastAsia="zh-CN"/>
        </w:rPr>
        <w:t>8</w:t>
      </w:r>
      <w:r>
        <w:rPr>
          <w:rFonts w:hint="eastAsia"/>
          <w:szCs w:val="21"/>
          <w:highlight w:val="none"/>
        </w:rPr>
        <w:t>版</w:t>
      </w:r>
      <w:r>
        <w:rPr>
          <w:rFonts w:hint="eastAsia"/>
          <w:szCs w:val="21"/>
          <w:highlight w:val="none"/>
          <w:lang w:val="en-US" w:eastAsia="zh-CN"/>
        </w:rPr>
        <w:t>3.3.9）</w:t>
      </w:r>
    </w:p>
    <w:p w14:paraId="4BB9A0E1">
      <w:pPr>
        <w:pStyle w:val="36"/>
        <w:numPr>
          <w:ilvl w:val="0"/>
          <w:numId w:val="18"/>
        </w:numPr>
        <w:adjustRightInd w:val="0"/>
        <w:snapToGrid w:val="0"/>
        <w:rPr>
          <w:rFonts w:hint="eastAsia"/>
          <w:szCs w:val="21"/>
        </w:rPr>
      </w:pPr>
      <w:r>
        <w:rPr>
          <w:rFonts w:hint="eastAsia"/>
          <w:szCs w:val="21"/>
          <w:lang w:val="en-US" w:eastAsia="zh-CN"/>
        </w:rPr>
        <w:t>增加了攀岩设备设施</w:t>
      </w:r>
      <w:r>
        <w:rPr>
          <w:rFonts w:hint="eastAsia" w:hAnsi="宋体"/>
          <w:szCs w:val="21"/>
          <w:lang w:val="en-US" w:eastAsia="zh-CN"/>
        </w:rPr>
        <w:t>要求</w:t>
      </w:r>
      <w:r>
        <w:rPr>
          <w:rFonts w:hint="eastAsia"/>
          <w:szCs w:val="21"/>
          <w:lang w:val="en-US" w:eastAsia="zh-CN"/>
        </w:rPr>
        <w:t>（</w:t>
      </w:r>
      <w:r>
        <w:rPr>
          <w:rFonts w:hint="eastAsia" w:hAnsi="宋体"/>
          <w:szCs w:val="21"/>
          <w:highlight w:val="none"/>
        </w:rPr>
        <w:t>见</w:t>
      </w:r>
      <w:r>
        <w:rPr>
          <w:rFonts w:hint="eastAsia" w:hAnsi="宋体"/>
          <w:szCs w:val="21"/>
          <w:highlight w:val="none"/>
          <w:lang w:val="en-US" w:eastAsia="zh-CN"/>
        </w:rPr>
        <w:t>4.3.6</w:t>
      </w:r>
      <w:r>
        <w:rPr>
          <w:rFonts w:hint="eastAsia"/>
          <w:szCs w:val="21"/>
          <w:lang w:val="en-US" w:eastAsia="zh-CN"/>
        </w:rPr>
        <w:t>）</w:t>
      </w:r>
    </w:p>
    <w:p w14:paraId="47686AFD">
      <w:pPr>
        <w:pStyle w:val="36"/>
        <w:numPr>
          <w:ilvl w:val="0"/>
          <w:numId w:val="18"/>
        </w:numPr>
        <w:adjustRightInd w:val="0"/>
        <w:snapToGrid w:val="0"/>
        <w:rPr>
          <w:rFonts w:hint="eastAsia"/>
          <w:szCs w:val="21"/>
        </w:rPr>
      </w:pPr>
      <w:r>
        <w:rPr>
          <w:rFonts w:hint="eastAsia"/>
          <w:szCs w:val="21"/>
          <w:highlight w:val="none"/>
          <w:lang w:val="en-US" w:eastAsia="zh-CN"/>
        </w:rPr>
        <w:t>修改了</w:t>
      </w:r>
      <w:r>
        <w:rPr>
          <w:rFonts w:hint="eastAsia"/>
          <w:szCs w:val="21"/>
          <w:lang w:val="en-US" w:eastAsia="zh-CN"/>
        </w:rPr>
        <w:t>动物</w:t>
      </w:r>
      <w:r>
        <w:rPr>
          <w:rFonts w:hint="eastAsia"/>
          <w:szCs w:val="21"/>
        </w:rPr>
        <w:t>设施</w:t>
      </w:r>
      <w:r>
        <w:rPr>
          <w:rFonts w:hint="eastAsia" w:hAnsi="宋体"/>
          <w:szCs w:val="21"/>
          <w:lang w:val="en-US" w:eastAsia="zh-CN"/>
        </w:rPr>
        <w:t>要求</w:t>
      </w:r>
      <w:r>
        <w:rPr>
          <w:rFonts w:hint="eastAsia"/>
          <w:szCs w:val="21"/>
          <w:highlight w:val="none"/>
          <w:lang w:val="en-US" w:eastAsia="zh-CN"/>
        </w:rPr>
        <w:t>（</w:t>
      </w:r>
      <w:r>
        <w:rPr>
          <w:rFonts w:hint="eastAsia" w:hAnsi="宋体"/>
          <w:szCs w:val="21"/>
          <w:highlight w:val="none"/>
        </w:rPr>
        <w:t>见</w:t>
      </w:r>
      <w:r>
        <w:rPr>
          <w:rFonts w:hint="eastAsia" w:hAnsi="宋体"/>
          <w:szCs w:val="21"/>
          <w:highlight w:val="none"/>
          <w:lang w:val="en-US" w:eastAsia="zh-CN"/>
        </w:rPr>
        <w:t>4.3.9</w:t>
      </w:r>
      <w:r>
        <w:rPr>
          <w:rFonts w:hint="eastAsia"/>
          <w:szCs w:val="21"/>
          <w:highlight w:val="none"/>
        </w:rPr>
        <w:t>，201</w:t>
      </w:r>
      <w:r>
        <w:rPr>
          <w:rFonts w:hint="eastAsia"/>
          <w:szCs w:val="21"/>
          <w:highlight w:val="none"/>
          <w:lang w:val="en-US" w:eastAsia="zh-CN"/>
        </w:rPr>
        <w:t>8</w:t>
      </w:r>
      <w:r>
        <w:rPr>
          <w:rFonts w:hint="eastAsia"/>
          <w:szCs w:val="21"/>
          <w:highlight w:val="none"/>
        </w:rPr>
        <w:t>版</w:t>
      </w:r>
      <w:r>
        <w:rPr>
          <w:rFonts w:hint="eastAsia"/>
          <w:szCs w:val="21"/>
          <w:highlight w:val="none"/>
          <w:lang w:val="en-US" w:eastAsia="zh-CN"/>
        </w:rPr>
        <w:t>3.3.9）</w:t>
      </w:r>
    </w:p>
    <w:p w14:paraId="5BBC8B82">
      <w:pPr>
        <w:pStyle w:val="36"/>
        <w:numPr>
          <w:ilvl w:val="0"/>
          <w:numId w:val="18"/>
        </w:numPr>
        <w:adjustRightInd w:val="0"/>
        <w:snapToGrid w:val="0"/>
        <w:rPr>
          <w:rFonts w:hint="eastAsia"/>
          <w:szCs w:val="21"/>
        </w:rPr>
      </w:pPr>
      <w:r>
        <w:rPr>
          <w:rFonts w:hint="eastAsia"/>
          <w:szCs w:val="21"/>
          <w:highlight w:val="none"/>
          <w:lang w:val="en-US" w:eastAsia="zh-CN"/>
        </w:rPr>
        <w:t>修改了</w:t>
      </w:r>
      <w:r>
        <w:rPr>
          <w:rFonts w:hint="eastAsia"/>
          <w:szCs w:val="21"/>
          <w:lang w:val="en-US" w:eastAsia="zh-CN"/>
        </w:rPr>
        <w:t>野生动物观览设备设施</w:t>
      </w:r>
      <w:r>
        <w:rPr>
          <w:rFonts w:hint="eastAsia" w:hAnsi="宋体"/>
          <w:szCs w:val="21"/>
          <w:lang w:val="en-US" w:eastAsia="zh-CN"/>
        </w:rPr>
        <w:t>要求</w:t>
      </w:r>
      <w:r>
        <w:rPr>
          <w:rFonts w:hint="eastAsia"/>
          <w:szCs w:val="21"/>
          <w:highlight w:val="none"/>
          <w:lang w:val="en-US" w:eastAsia="zh-CN"/>
        </w:rPr>
        <w:t>（</w:t>
      </w:r>
      <w:r>
        <w:rPr>
          <w:rFonts w:hint="eastAsia" w:hAnsi="宋体"/>
          <w:szCs w:val="21"/>
          <w:highlight w:val="none"/>
        </w:rPr>
        <w:t>见</w:t>
      </w:r>
      <w:r>
        <w:rPr>
          <w:rFonts w:hint="eastAsia" w:hAnsi="宋体"/>
          <w:szCs w:val="21"/>
          <w:highlight w:val="none"/>
          <w:lang w:val="en-US" w:eastAsia="zh-CN"/>
        </w:rPr>
        <w:t>4.3.10</w:t>
      </w:r>
      <w:r>
        <w:rPr>
          <w:rFonts w:hint="eastAsia"/>
          <w:szCs w:val="21"/>
          <w:highlight w:val="none"/>
        </w:rPr>
        <w:t>，201</w:t>
      </w:r>
      <w:r>
        <w:rPr>
          <w:rFonts w:hint="eastAsia"/>
          <w:szCs w:val="21"/>
          <w:highlight w:val="none"/>
          <w:lang w:val="en-US" w:eastAsia="zh-CN"/>
        </w:rPr>
        <w:t>8</w:t>
      </w:r>
      <w:r>
        <w:rPr>
          <w:rFonts w:hint="eastAsia"/>
          <w:szCs w:val="21"/>
          <w:highlight w:val="none"/>
        </w:rPr>
        <w:t>版</w:t>
      </w:r>
      <w:r>
        <w:rPr>
          <w:rFonts w:hint="eastAsia"/>
          <w:szCs w:val="21"/>
          <w:highlight w:val="none"/>
          <w:lang w:val="en-US" w:eastAsia="zh-CN"/>
        </w:rPr>
        <w:t>3.3.10）</w:t>
      </w:r>
    </w:p>
    <w:p w14:paraId="6AFD71B8">
      <w:pPr>
        <w:pStyle w:val="36"/>
        <w:numPr>
          <w:ilvl w:val="0"/>
          <w:numId w:val="18"/>
        </w:numPr>
        <w:adjustRightInd w:val="0"/>
        <w:snapToGrid w:val="0"/>
        <w:rPr>
          <w:rFonts w:hint="eastAsia"/>
          <w:szCs w:val="21"/>
        </w:rPr>
      </w:pPr>
      <w:r>
        <w:rPr>
          <w:rFonts w:hint="eastAsia"/>
          <w:szCs w:val="21"/>
          <w:highlight w:val="none"/>
          <w:lang w:val="en-US" w:eastAsia="zh-CN"/>
        </w:rPr>
        <w:t>删除了高尔夫球场要求（2018版3.3.13）</w:t>
      </w:r>
    </w:p>
    <w:p w14:paraId="7EA2DAF3">
      <w:pPr>
        <w:pStyle w:val="36"/>
        <w:numPr>
          <w:ilvl w:val="0"/>
          <w:numId w:val="18"/>
        </w:numPr>
        <w:adjustRightInd w:val="0"/>
        <w:snapToGrid w:val="0"/>
        <w:rPr>
          <w:rFonts w:hint="eastAsia"/>
          <w:szCs w:val="21"/>
        </w:rPr>
      </w:pPr>
      <w:r>
        <w:rPr>
          <w:rFonts w:hint="eastAsia"/>
          <w:szCs w:val="21"/>
          <w:lang w:val="en-US" w:eastAsia="zh-CN"/>
        </w:rPr>
        <w:t>修改了特种设备要求，增加了峡谷漂流、碰碰船、无动力游乐设施（蹦极、滑索、空中飞人）、游乐车辆（赛车类、小火车类、碰碰车类）</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4.4</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3.4）</w:t>
      </w:r>
    </w:p>
    <w:p w14:paraId="066DD586">
      <w:pPr>
        <w:pStyle w:val="36"/>
        <w:numPr>
          <w:ilvl w:val="0"/>
          <w:numId w:val="18"/>
        </w:numPr>
        <w:adjustRightInd w:val="0"/>
        <w:snapToGrid w:val="0"/>
        <w:rPr>
          <w:rFonts w:hint="eastAsia"/>
          <w:szCs w:val="21"/>
        </w:rPr>
      </w:pPr>
      <w:r>
        <w:rPr>
          <w:rFonts w:hint="eastAsia"/>
          <w:szCs w:val="21"/>
          <w:lang w:val="en-US" w:eastAsia="zh-CN"/>
        </w:rPr>
        <w:t>修改了锅炉房</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w:t>
      </w:r>
      <w:r>
        <w:rPr>
          <w:rFonts w:hint="eastAsia" w:hAnsi="Times New Roman" w:eastAsia="宋体" w:cs="Times New Roman"/>
          <w:szCs w:val="21"/>
          <w:lang w:val="en-US" w:eastAsia="zh-CN"/>
        </w:rPr>
        <w:t>.5.1</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w:t>
      </w:r>
      <w:r>
        <w:rPr>
          <w:rFonts w:hint="eastAsia"/>
          <w:szCs w:val="21"/>
        </w:rPr>
        <w:t>.</w:t>
      </w:r>
      <w:r>
        <w:rPr>
          <w:rFonts w:hint="eastAsia"/>
          <w:szCs w:val="21"/>
          <w:lang w:val="en-US" w:eastAsia="zh-CN"/>
        </w:rPr>
        <w:t>5.1）</w:t>
      </w:r>
    </w:p>
    <w:p w14:paraId="0A18DF7E">
      <w:pPr>
        <w:pStyle w:val="36"/>
        <w:numPr>
          <w:ilvl w:val="0"/>
          <w:numId w:val="18"/>
        </w:numPr>
        <w:adjustRightInd w:val="0"/>
        <w:snapToGrid w:val="0"/>
        <w:rPr>
          <w:rFonts w:hint="eastAsia"/>
          <w:szCs w:val="21"/>
        </w:rPr>
      </w:pPr>
      <w:r>
        <w:rPr>
          <w:rFonts w:hint="eastAsia"/>
          <w:szCs w:val="21"/>
          <w:lang w:val="en-US" w:eastAsia="zh-CN"/>
        </w:rPr>
        <w:t>增加了地源热泵、空气源热泵</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4.5.2、4.5.3</w:t>
      </w:r>
      <w:r>
        <w:rPr>
          <w:rFonts w:hint="eastAsia"/>
          <w:szCs w:val="21"/>
          <w:lang w:val="en-US" w:eastAsia="zh-CN"/>
        </w:rPr>
        <w:t>）</w:t>
      </w:r>
    </w:p>
    <w:p w14:paraId="79735F9F">
      <w:pPr>
        <w:pStyle w:val="36"/>
        <w:numPr>
          <w:ilvl w:val="0"/>
          <w:numId w:val="18"/>
        </w:numPr>
        <w:adjustRightInd w:val="0"/>
        <w:snapToGrid w:val="0"/>
        <w:rPr>
          <w:rFonts w:hint="eastAsia"/>
          <w:szCs w:val="21"/>
        </w:rPr>
      </w:pPr>
      <w:r>
        <w:rPr>
          <w:rFonts w:hint="eastAsia"/>
          <w:szCs w:val="21"/>
          <w:lang w:val="en-US" w:eastAsia="zh-CN"/>
        </w:rPr>
        <w:t>修改了空调系统</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4.5.4</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3.5.4）</w:t>
      </w:r>
    </w:p>
    <w:p w14:paraId="443029C5">
      <w:pPr>
        <w:pStyle w:val="36"/>
        <w:numPr>
          <w:ilvl w:val="0"/>
          <w:numId w:val="18"/>
        </w:numPr>
        <w:adjustRightInd w:val="0"/>
        <w:snapToGrid w:val="0"/>
        <w:rPr>
          <w:rFonts w:hint="eastAsia"/>
          <w:szCs w:val="21"/>
        </w:rPr>
      </w:pPr>
      <w:r>
        <w:rPr>
          <w:rFonts w:hint="eastAsia"/>
          <w:szCs w:val="21"/>
          <w:lang w:val="en-US" w:eastAsia="zh-CN"/>
        </w:rPr>
        <w:t>修改了电焊机、手持电动工具</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w:t>
      </w:r>
      <w:r>
        <w:rPr>
          <w:rFonts w:hint="eastAsia" w:hAnsi="Times New Roman" w:eastAsia="宋体" w:cs="Times New Roman"/>
          <w:szCs w:val="21"/>
          <w:lang w:val="en-US" w:eastAsia="zh-CN"/>
        </w:rPr>
        <w:t>.5.</w:t>
      </w:r>
      <w:r>
        <w:rPr>
          <w:rFonts w:hint="eastAsia" w:cs="Times New Roman"/>
          <w:szCs w:val="21"/>
          <w:lang w:val="en-US" w:eastAsia="zh-CN"/>
        </w:rPr>
        <w:t>5</w:t>
      </w:r>
      <w:r>
        <w:rPr>
          <w:rFonts w:hint="eastAsia" w:hAnsi="Times New Roman" w:eastAsia="宋体" w:cs="Times New Roman"/>
          <w:szCs w:val="21"/>
          <w:lang w:val="en-US" w:eastAsia="zh-CN"/>
        </w:rPr>
        <w:t>.</w:t>
      </w:r>
      <w:r>
        <w:rPr>
          <w:rFonts w:hint="eastAsia" w:cs="Times New Roman"/>
          <w:szCs w:val="21"/>
          <w:lang w:val="en-US" w:eastAsia="zh-CN"/>
        </w:rPr>
        <w:t>3</w:t>
      </w:r>
      <w:r>
        <w:rPr>
          <w:rFonts w:hint="eastAsia" w:hAnsi="Times New Roman" w:eastAsia="宋体" w:cs="Times New Roman"/>
          <w:szCs w:val="21"/>
          <w:lang w:val="en-US" w:eastAsia="zh-CN"/>
        </w:rPr>
        <w:t>、</w:t>
      </w:r>
      <w:r>
        <w:rPr>
          <w:rFonts w:hint="eastAsia" w:cs="Times New Roman"/>
          <w:szCs w:val="21"/>
          <w:lang w:val="en-US" w:eastAsia="zh-CN"/>
        </w:rPr>
        <w:t>4</w:t>
      </w:r>
      <w:r>
        <w:rPr>
          <w:rFonts w:hint="eastAsia" w:hAnsi="Times New Roman" w:eastAsia="宋体" w:cs="Times New Roman"/>
          <w:szCs w:val="21"/>
          <w:lang w:val="en-US" w:eastAsia="zh-CN"/>
        </w:rPr>
        <w:t>.5.</w:t>
      </w:r>
      <w:r>
        <w:rPr>
          <w:rFonts w:hint="eastAsia" w:cs="Times New Roman"/>
          <w:szCs w:val="21"/>
          <w:lang w:val="en-US" w:eastAsia="zh-CN"/>
        </w:rPr>
        <w:t>5</w:t>
      </w:r>
      <w:r>
        <w:rPr>
          <w:rFonts w:hint="eastAsia" w:hAnsi="Times New Roman" w:eastAsia="宋体" w:cs="Times New Roman"/>
          <w:szCs w:val="21"/>
          <w:lang w:val="en-US" w:eastAsia="zh-CN"/>
        </w:rPr>
        <w:t>.</w:t>
      </w:r>
      <w:r>
        <w:rPr>
          <w:rFonts w:hint="eastAsia" w:cs="Times New Roman"/>
          <w:szCs w:val="21"/>
          <w:lang w:val="en-US" w:eastAsia="zh-CN"/>
        </w:rPr>
        <w:t>4</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3.5.2.3、3.5.2.4）</w:t>
      </w:r>
    </w:p>
    <w:p w14:paraId="7F17AE19">
      <w:pPr>
        <w:pStyle w:val="36"/>
        <w:numPr>
          <w:ilvl w:val="0"/>
          <w:numId w:val="18"/>
        </w:numPr>
        <w:adjustRightInd w:val="0"/>
        <w:snapToGrid w:val="0"/>
        <w:rPr>
          <w:rFonts w:hint="eastAsia"/>
          <w:szCs w:val="21"/>
        </w:rPr>
      </w:pPr>
      <w:r>
        <w:rPr>
          <w:rFonts w:hint="eastAsia"/>
          <w:szCs w:val="21"/>
          <w:lang w:val="en-US" w:eastAsia="zh-CN"/>
        </w:rPr>
        <w:t>增加了升降平台</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hAnsi="Times New Roman" w:eastAsia="宋体" w:cs="Times New Roman"/>
          <w:szCs w:val="21"/>
          <w:lang w:val="en-US" w:eastAsia="zh-CN"/>
        </w:rPr>
        <w:t>4</w:t>
      </w:r>
      <w:r>
        <w:rPr>
          <w:rFonts w:hint="eastAsia" w:cs="Times New Roman"/>
          <w:szCs w:val="21"/>
          <w:lang w:val="en-US" w:eastAsia="zh-CN"/>
        </w:rPr>
        <w:t>.5.5.5</w:t>
      </w:r>
      <w:r>
        <w:rPr>
          <w:rFonts w:hint="eastAsia"/>
          <w:szCs w:val="21"/>
          <w:lang w:val="en-US" w:eastAsia="zh-CN"/>
        </w:rPr>
        <w:t>）</w:t>
      </w:r>
    </w:p>
    <w:p w14:paraId="2DBE3316">
      <w:pPr>
        <w:pStyle w:val="36"/>
        <w:numPr>
          <w:ilvl w:val="0"/>
          <w:numId w:val="18"/>
        </w:numPr>
        <w:adjustRightInd w:val="0"/>
        <w:snapToGrid w:val="0"/>
        <w:rPr>
          <w:rFonts w:hint="eastAsia"/>
          <w:szCs w:val="21"/>
        </w:rPr>
      </w:pPr>
      <w:r>
        <w:rPr>
          <w:rFonts w:hint="eastAsia"/>
          <w:szCs w:val="21"/>
          <w:lang w:val="en-US" w:eastAsia="zh-CN"/>
        </w:rPr>
        <w:t>增加了电动自行车充电和电动汽车充电</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4.5.6.2、4.5.6.3</w:t>
      </w:r>
      <w:r>
        <w:rPr>
          <w:rFonts w:hint="eastAsia"/>
          <w:szCs w:val="21"/>
          <w:lang w:val="en-US" w:eastAsia="zh-CN"/>
        </w:rPr>
        <w:t>）</w:t>
      </w:r>
    </w:p>
    <w:p w14:paraId="150F643F">
      <w:pPr>
        <w:pStyle w:val="36"/>
        <w:numPr>
          <w:ilvl w:val="0"/>
          <w:numId w:val="18"/>
        </w:numPr>
        <w:adjustRightInd w:val="0"/>
        <w:snapToGrid w:val="0"/>
        <w:rPr>
          <w:rFonts w:hint="eastAsia"/>
          <w:szCs w:val="21"/>
        </w:rPr>
      </w:pPr>
      <w:r>
        <w:rPr>
          <w:rFonts w:hint="eastAsia"/>
          <w:szCs w:val="21"/>
          <w:lang w:val="en-US" w:eastAsia="zh-CN"/>
        </w:rPr>
        <w:t>增加了污水处理系统</w:t>
      </w:r>
      <w:r>
        <w:rPr>
          <w:rFonts w:hint="eastAsia" w:hAnsi="宋体"/>
          <w:szCs w:val="21"/>
          <w:lang w:val="en-US" w:eastAsia="zh-CN"/>
        </w:rPr>
        <w:t>要求</w:t>
      </w:r>
      <w:r>
        <w:rPr>
          <w:rFonts w:hint="eastAsia"/>
          <w:szCs w:val="21"/>
          <w:lang w:val="en-US" w:eastAsia="zh-CN"/>
        </w:rPr>
        <w:t>（见4.5.8）</w:t>
      </w:r>
    </w:p>
    <w:p w14:paraId="6D7BBE54">
      <w:pPr>
        <w:pStyle w:val="36"/>
        <w:numPr>
          <w:ilvl w:val="0"/>
          <w:numId w:val="18"/>
        </w:numPr>
        <w:adjustRightInd w:val="0"/>
        <w:snapToGrid w:val="0"/>
        <w:rPr>
          <w:rFonts w:hint="eastAsia"/>
          <w:szCs w:val="21"/>
        </w:rPr>
      </w:pPr>
      <w:r>
        <w:rPr>
          <w:rFonts w:hint="eastAsia"/>
          <w:szCs w:val="21"/>
          <w:lang w:val="en-US" w:eastAsia="zh-CN"/>
        </w:rPr>
        <w:t>修改了视频监控</w:t>
      </w:r>
      <w:r>
        <w:rPr>
          <w:rFonts w:hint="eastAsia" w:hAnsi="宋体"/>
          <w:szCs w:val="21"/>
          <w:lang w:val="en-US" w:eastAsia="zh-CN"/>
        </w:rPr>
        <w:t>要求</w:t>
      </w:r>
      <w:r>
        <w:rPr>
          <w:rFonts w:hint="eastAsia"/>
          <w:szCs w:val="21"/>
          <w:lang w:val="en-US" w:eastAsia="zh-CN"/>
        </w:rPr>
        <w:t>（见4.5.9，</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3.12）</w:t>
      </w:r>
    </w:p>
    <w:p w14:paraId="1CDE2397">
      <w:pPr>
        <w:pStyle w:val="36"/>
        <w:numPr>
          <w:ilvl w:val="0"/>
          <w:numId w:val="18"/>
        </w:numPr>
        <w:adjustRightInd w:val="0"/>
        <w:snapToGrid w:val="0"/>
        <w:rPr>
          <w:rFonts w:hint="eastAsia" w:hAnsi="Times New Roman" w:eastAsia="宋体" w:cs="Times New Roman"/>
          <w:szCs w:val="21"/>
        </w:rPr>
      </w:pPr>
      <w:r>
        <w:rPr>
          <w:rFonts w:hint="eastAsia"/>
          <w:szCs w:val="21"/>
          <w:lang w:val="en-US" w:eastAsia="zh-CN"/>
        </w:rPr>
        <w:t>修改了用电</w:t>
      </w:r>
      <w:r>
        <w:rPr>
          <w:rFonts w:hint="eastAsia" w:hAnsi="宋体"/>
          <w:szCs w:val="21"/>
          <w:lang w:val="en-US" w:eastAsia="zh-CN"/>
        </w:rPr>
        <w:t>要求</w:t>
      </w:r>
      <w:r>
        <w:rPr>
          <w:rFonts w:hint="eastAsia"/>
          <w:szCs w:val="21"/>
          <w:lang w:val="en-US" w:eastAsia="zh-CN"/>
        </w:rPr>
        <w:t>（</w:t>
      </w:r>
      <w:r>
        <w:rPr>
          <w:rFonts w:hint="eastAsia" w:hAnsi="Times New Roman" w:eastAsia="宋体" w:cs="Times New Roman"/>
          <w:szCs w:val="21"/>
        </w:rPr>
        <w:t>见</w:t>
      </w:r>
      <w:r>
        <w:rPr>
          <w:rFonts w:hint="eastAsia" w:cs="Times New Roman"/>
          <w:szCs w:val="21"/>
          <w:lang w:val="en-US" w:eastAsia="zh-CN"/>
        </w:rPr>
        <w:t>4</w:t>
      </w:r>
      <w:r>
        <w:rPr>
          <w:rFonts w:hint="eastAsia" w:hAnsi="Times New Roman" w:eastAsia="宋体" w:cs="Times New Roman"/>
          <w:szCs w:val="21"/>
          <w:lang w:val="en-US" w:eastAsia="zh-CN"/>
        </w:rPr>
        <w:t>.</w:t>
      </w:r>
      <w:r>
        <w:rPr>
          <w:rFonts w:hint="eastAsia" w:hAnsi="Times New Roman" w:eastAsia="宋体" w:cs="Times New Roman"/>
          <w:szCs w:val="21"/>
        </w:rPr>
        <w:t>6</w:t>
      </w:r>
      <w:r>
        <w:rPr>
          <w:rFonts w:hint="eastAsia"/>
          <w:szCs w:val="21"/>
        </w:rPr>
        <w:t>，201</w:t>
      </w:r>
      <w:r>
        <w:rPr>
          <w:rFonts w:hint="eastAsia"/>
          <w:szCs w:val="21"/>
          <w:lang w:val="en-US" w:eastAsia="zh-CN"/>
        </w:rPr>
        <w:t>8</w:t>
      </w:r>
      <w:r>
        <w:rPr>
          <w:rFonts w:hint="eastAsia"/>
          <w:szCs w:val="21"/>
        </w:rPr>
        <w:t>版</w:t>
      </w:r>
      <w:r>
        <w:rPr>
          <w:rFonts w:hint="eastAsia"/>
          <w:szCs w:val="21"/>
          <w:lang w:val="en-US" w:eastAsia="zh-CN"/>
        </w:rPr>
        <w:t>3.6.1、3.6.2、3.6.3、3.6.5、3.6.6、3.6.7、3.6.8）</w:t>
      </w:r>
    </w:p>
    <w:p w14:paraId="624A5580">
      <w:pPr>
        <w:pStyle w:val="36"/>
        <w:numPr>
          <w:ilvl w:val="0"/>
          <w:numId w:val="18"/>
        </w:numPr>
        <w:adjustRightInd w:val="0"/>
        <w:snapToGrid w:val="0"/>
        <w:rPr>
          <w:rFonts w:hint="eastAsia" w:hAnsi="Times New Roman" w:eastAsia="宋体" w:cs="Times New Roman"/>
          <w:szCs w:val="21"/>
        </w:rPr>
      </w:pPr>
      <w:r>
        <w:rPr>
          <w:rFonts w:hint="eastAsia" w:hAnsi="Times New Roman" w:eastAsia="宋体" w:cs="Times New Roman"/>
          <w:szCs w:val="21"/>
          <w:lang w:val="en-US" w:eastAsia="zh-CN"/>
        </w:rPr>
        <w:t>修改了消防</w:t>
      </w:r>
      <w:r>
        <w:rPr>
          <w:rFonts w:hint="eastAsia" w:hAnsi="宋体"/>
          <w:szCs w:val="21"/>
          <w:lang w:val="en-US" w:eastAsia="zh-CN"/>
        </w:rPr>
        <w:t>要求</w:t>
      </w:r>
      <w:r>
        <w:rPr>
          <w:rFonts w:hint="eastAsia" w:hAnsi="Times New Roman" w:eastAsia="宋体" w:cs="Times New Roman"/>
          <w:szCs w:val="21"/>
          <w:lang w:val="en-US" w:eastAsia="zh-CN"/>
        </w:rPr>
        <w:t>（见</w:t>
      </w:r>
      <w:r>
        <w:rPr>
          <w:rFonts w:hint="eastAsia" w:cs="Times New Roman"/>
          <w:szCs w:val="21"/>
          <w:lang w:val="en-US" w:eastAsia="zh-CN"/>
        </w:rPr>
        <w:t>4</w:t>
      </w:r>
      <w:r>
        <w:rPr>
          <w:rFonts w:hint="eastAsia" w:hAnsi="Times New Roman" w:eastAsia="宋体" w:cs="Times New Roman"/>
          <w:szCs w:val="21"/>
          <w:lang w:val="en-US" w:eastAsia="zh-CN"/>
        </w:rPr>
        <w:t>.7，2018版</w:t>
      </w:r>
      <w:r>
        <w:rPr>
          <w:rFonts w:hint="eastAsia" w:cs="Times New Roman"/>
          <w:szCs w:val="21"/>
          <w:lang w:val="en-US" w:eastAsia="zh-CN"/>
        </w:rPr>
        <w:t>3</w:t>
      </w:r>
      <w:r>
        <w:rPr>
          <w:rFonts w:hint="eastAsia" w:hAnsi="Times New Roman" w:eastAsia="宋体" w:cs="Times New Roman"/>
          <w:szCs w:val="21"/>
          <w:lang w:val="en-US" w:eastAsia="zh-CN"/>
        </w:rPr>
        <w:t>.7）</w:t>
      </w:r>
    </w:p>
    <w:p w14:paraId="11EC1C11">
      <w:pPr>
        <w:pStyle w:val="36"/>
        <w:numPr>
          <w:ilvl w:val="0"/>
          <w:numId w:val="18"/>
        </w:numPr>
        <w:adjustRightInd w:val="0"/>
        <w:snapToGrid w:val="0"/>
        <w:rPr>
          <w:rFonts w:hint="eastAsia" w:hAnsi="Times New Roman" w:eastAsia="宋体" w:cs="Times New Roman"/>
          <w:szCs w:val="21"/>
        </w:rPr>
      </w:pPr>
      <w:r>
        <w:rPr>
          <w:rFonts w:hint="eastAsia" w:hAnsi="Times New Roman" w:eastAsia="宋体" w:cs="Times New Roman"/>
          <w:szCs w:val="21"/>
          <w:lang w:val="en-US" w:eastAsia="zh-CN"/>
        </w:rPr>
        <w:t>修改了劳动防护用品使用</w:t>
      </w:r>
      <w:r>
        <w:rPr>
          <w:rFonts w:hint="eastAsia" w:hAnsi="宋体"/>
          <w:szCs w:val="21"/>
          <w:lang w:val="en-US" w:eastAsia="zh-CN"/>
        </w:rPr>
        <w:t>要求</w:t>
      </w:r>
      <w:r>
        <w:rPr>
          <w:rFonts w:hint="eastAsia" w:hAnsi="Times New Roman" w:eastAsia="宋体" w:cs="Times New Roman"/>
          <w:szCs w:val="21"/>
          <w:lang w:val="en-US" w:eastAsia="zh-CN"/>
        </w:rPr>
        <w:t>（见</w:t>
      </w:r>
      <w:r>
        <w:rPr>
          <w:rFonts w:hint="eastAsia" w:cs="Times New Roman"/>
          <w:szCs w:val="21"/>
          <w:lang w:val="en-US" w:eastAsia="zh-CN"/>
        </w:rPr>
        <w:t>4</w:t>
      </w:r>
      <w:r>
        <w:rPr>
          <w:rFonts w:hint="eastAsia" w:hAnsi="Times New Roman" w:eastAsia="宋体" w:cs="Times New Roman"/>
          <w:szCs w:val="21"/>
          <w:lang w:val="en-US" w:eastAsia="zh-CN"/>
        </w:rPr>
        <w:t>.9</w:t>
      </w:r>
      <w:r>
        <w:rPr>
          <w:rFonts w:hint="eastAsia" w:cs="Times New Roman"/>
          <w:szCs w:val="21"/>
          <w:lang w:val="en-US" w:eastAsia="zh-CN"/>
        </w:rPr>
        <w:t>、</w:t>
      </w:r>
      <w:r>
        <w:rPr>
          <w:rFonts w:hint="eastAsia" w:hAnsi="宋体"/>
          <w:szCs w:val="21"/>
        </w:rPr>
        <w:t>附录</w:t>
      </w:r>
      <w:r>
        <w:rPr>
          <w:rFonts w:hint="eastAsia" w:hAnsi="宋体"/>
          <w:szCs w:val="21"/>
          <w:lang w:val="en-US" w:eastAsia="zh-CN"/>
        </w:rPr>
        <w:t>B.1序号1.10，</w:t>
      </w:r>
      <w:r>
        <w:rPr>
          <w:rFonts w:hint="eastAsia" w:hAnsi="Times New Roman" w:eastAsia="宋体" w:cs="Times New Roman"/>
          <w:szCs w:val="21"/>
          <w:lang w:val="en-US" w:eastAsia="zh-CN"/>
        </w:rPr>
        <w:t>2018版</w:t>
      </w:r>
      <w:r>
        <w:rPr>
          <w:rFonts w:hint="eastAsia" w:cs="Times New Roman"/>
          <w:szCs w:val="21"/>
          <w:lang w:val="en-US" w:eastAsia="zh-CN"/>
        </w:rPr>
        <w:t>3</w:t>
      </w:r>
      <w:r>
        <w:rPr>
          <w:rFonts w:hint="eastAsia" w:hAnsi="Times New Roman" w:eastAsia="宋体" w:cs="Times New Roman"/>
          <w:szCs w:val="21"/>
          <w:lang w:val="en-US" w:eastAsia="zh-CN"/>
        </w:rPr>
        <w:t>.10</w:t>
      </w:r>
      <w:r>
        <w:rPr>
          <w:rFonts w:hint="eastAsia" w:cs="Times New Roman"/>
          <w:szCs w:val="21"/>
          <w:lang w:val="en-US" w:eastAsia="zh-CN"/>
        </w:rPr>
        <w:t>、</w:t>
      </w:r>
      <w:r>
        <w:rPr>
          <w:rFonts w:hint="eastAsia" w:hAnsi="宋体"/>
          <w:szCs w:val="21"/>
        </w:rPr>
        <w:t>附录</w:t>
      </w:r>
      <w:r>
        <w:rPr>
          <w:rFonts w:hint="eastAsia" w:hAnsi="宋体"/>
          <w:szCs w:val="21"/>
          <w:lang w:val="en-US" w:eastAsia="zh-CN"/>
        </w:rPr>
        <w:t>B.1序号1.9</w:t>
      </w:r>
      <w:r>
        <w:rPr>
          <w:rFonts w:hint="eastAsia" w:hAnsi="Times New Roman" w:eastAsia="宋体" w:cs="Times New Roman"/>
          <w:szCs w:val="21"/>
          <w:lang w:val="en-US" w:eastAsia="zh-CN"/>
        </w:rPr>
        <w:t>）；</w:t>
      </w:r>
    </w:p>
    <w:p w14:paraId="33F40DD8">
      <w:pPr>
        <w:pStyle w:val="36"/>
        <w:numPr>
          <w:ilvl w:val="0"/>
          <w:numId w:val="18"/>
        </w:numPr>
        <w:adjustRightInd w:val="0"/>
        <w:snapToGrid w:val="0"/>
        <w:rPr>
          <w:rFonts w:hint="eastAsia" w:hAnsi="Times New Roman" w:eastAsia="宋体" w:cs="Times New Roman"/>
          <w:szCs w:val="21"/>
        </w:rPr>
      </w:pPr>
      <w:r>
        <w:rPr>
          <w:rFonts w:hint="eastAsia" w:cs="Times New Roman"/>
          <w:szCs w:val="21"/>
          <w:lang w:val="en-US" w:eastAsia="zh-CN"/>
        </w:rPr>
        <w:t>删除了狩猎、射击活动和骑马、马球类活动</w:t>
      </w:r>
      <w:r>
        <w:rPr>
          <w:rFonts w:hint="eastAsia" w:hAnsi="宋体"/>
          <w:szCs w:val="21"/>
          <w:lang w:val="en-US" w:eastAsia="zh-CN"/>
        </w:rPr>
        <w:t>要求</w:t>
      </w:r>
      <w:r>
        <w:rPr>
          <w:rFonts w:hint="eastAsia" w:cs="Times New Roman"/>
          <w:szCs w:val="21"/>
          <w:lang w:val="en-US" w:eastAsia="zh-CN"/>
        </w:rPr>
        <w:t>（2018版3.11.1.4、3.11.1.5）</w:t>
      </w:r>
    </w:p>
    <w:p w14:paraId="58B38110">
      <w:pPr>
        <w:pStyle w:val="36"/>
        <w:numPr>
          <w:ilvl w:val="0"/>
          <w:numId w:val="18"/>
        </w:numPr>
        <w:adjustRightInd w:val="0"/>
        <w:snapToGrid w:val="0"/>
        <w:rPr>
          <w:rFonts w:hint="eastAsia" w:hAnsi="Times New Roman" w:eastAsia="宋体" w:cs="Times New Roman"/>
          <w:szCs w:val="21"/>
        </w:rPr>
      </w:pPr>
      <w:r>
        <w:rPr>
          <w:rFonts w:hint="eastAsia" w:cs="Times New Roman"/>
          <w:szCs w:val="21"/>
          <w:lang w:val="en-US" w:eastAsia="zh-CN"/>
        </w:rPr>
        <w:t>增加了</w:t>
      </w:r>
      <w:r>
        <w:rPr>
          <w:rFonts w:hint="eastAsia" w:hAnsi="Times New Roman" w:eastAsia="宋体" w:cs="Times New Roman"/>
          <w:szCs w:val="21"/>
        </w:rPr>
        <w:t>绿化养护作业</w:t>
      </w:r>
      <w:r>
        <w:rPr>
          <w:rFonts w:hint="eastAsia" w:hAnsi="宋体"/>
          <w:szCs w:val="21"/>
          <w:lang w:val="en-US" w:eastAsia="zh-CN"/>
        </w:rPr>
        <w:t>要求</w:t>
      </w:r>
      <w:r>
        <w:rPr>
          <w:rFonts w:hint="eastAsia" w:cs="Times New Roman"/>
          <w:szCs w:val="21"/>
          <w:lang w:eastAsia="zh-CN"/>
        </w:rPr>
        <w:t>（</w:t>
      </w:r>
      <w:r>
        <w:rPr>
          <w:rFonts w:hint="eastAsia" w:cs="Times New Roman"/>
          <w:szCs w:val="21"/>
          <w:lang w:val="en-US" w:eastAsia="zh-CN"/>
        </w:rPr>
        <w:t>见4.10.1.5</w:t>
      </w:r>
      <w:r>
        <w:rPr>
          <w:rFonts w:hint="eastAsia" w:cs="Times New Roman"/>
          <w:szCs w:val="21"/>
          <w:lang w:eastAsia="zh-CN"/>
        </w:rPr>
        <w:t>）</w:t>
      </w:r>
    </w:p>
    <w:p w14:paraId="494BAD55">
      <w:pPr>
        <w:pStyle w:val="36"/>
        <w:numPr>
          <w:ilvl w:val="0"/>
          <w:numId w:val="18"/>
        </w:numPr>
        <w:adjustRightInd w:val="0"/>
        <w:snapToGrid w:val="0"/>
        <w:rPr>
          <w:rFonts w:hint="eastAsia" w:hAnsi="Times New Roman" w:eastAsia="宋体" w:cs="Times New Roman"/>
          <w:szCs w:val="21"/>
        </w:rPr>
      </w:pPr>
      <w:r>
        <w:rPr>
          <w:rFonts w:hint="eastAsia" w:hAnsi="Times New Roman" w:eastAsia="宋体" w:cs="Times New Roman"/>
          <w:szCs w:val="21"/>
          <w:lang w:val="en-US" w:eastAsia="zh-CN"/>
        </w:rPr>
        <w:t>修改</w:t>
      </w:r>
      <w:r>
        <w:rPr>
          <w:rFonts w:hint="eastAsia" w:hAnsi="Times New Roman" w:eastAsia="宋体" w:cs="Times New Roman"/>
          <w:szCs w:val="21"/>
        </w:rPr>
        <w:t>了</w:t>
      </w:r>
      <w:r>
        <w:rPr>
          <w:rFonts w:hint="eastAsia" w:hAnsi="Times New Roman" w:eastAsia="宋体" w:cs="Times New Roman"/>
          <w:szCs w:val="21"/>
          <w:lang w:val="en-US" w:eastAsia="zh-CN"/>
        </w:rPr>
        <w:t>动火、高处、有限空间作业</w:t>
      </w:r>
      <w:r>
        <w:rPr>
          <w:rFonts w:hint="eastAsia" w:hAnsi="宋体"/>
          <w:szCs w:val="21"/>
          <w:lang w:val="en-US" w:eastAsia="zh-CN"/>
        </w:rPr>
        <w:t>要求</w:t>
      </w:r>
      <w:r>
        <w:rPr>
          <w:rFonts w:hint="eastAsia" w:hAnsi="Times New Roman" w:eastAsia="宋体" w:cs="Times New Roman"/>
          <w:szCs w:val="21"/>
        </w:rPr>
        <w:t>（</w:t>
      </w:r>
      <w:r>
        <w:rPr>
          <w:rFonts w:hint="eastAsia" w:hAnsi="Times New Roman" w:eastAsia="宋体" w:cs="Times New Roman"/>
          <w:szCs w:val="21"/>
          <w:lang w:val="en-US" w:eastAsia="zh-CN"/>
        </w:rPr>
        <w:t>见</w:t>
      </w:r>
      <w:r>
        <w:rPr>
          <w:rFonts w:hint="eastAsia" w:cs="Times New Roman"/>
          <w:szCs w:val="21"/>
          <w:lang w:val="en-US" w:eastAsia="zh-CN"/>
        </w:rPr>
        <w:t>4.10.2.3、4.10.2.4、4.10.2.5</w:t>
      </w:r>
      <w:r>
        <w:rPr>
          <w:rFonts w:hint="eastAsia" w:hAnsi="Times New Roman" w:eastAsia="宋体" w:cs="Times New Roman"/>
          <w:szCs w:val="21"/>
          <w:lang w:val="en-US" w:eastAsia="zh-CN"/>
        </w:rPr>
        <w:t>，2018版</w:t>
      </w:r>
      <w:r>
        <w:rPr>
          <w:rFonts w:hint="eastAsia" w:cs="Times New Roman"/>
          <w:szCs w:val="21"/>
          <w:lang w:val="en-US" w:eastAsia="zh-CN"/>
        </w:rPr>
        <w:t>3.10.2.1、3.10.2.4、3.10.2.5</w:t>
      </w:r>
      <w:r>
        <w:rPr>
          <w:rFonts w:hint="eastAsia" w:hAnsi="Times New Roman" w:eastAsia="宋体" w:cs="Times New Roman"/>
          <w:szCs w:val="21"/>
        </w:rPr>
        <w:t>）</w:t>
      </w:r>
      <w:r>
        <w:rPr>
          <w:rFonts w:hint="eastAsia" w:hAnsi="Times New Roman" w:eastAsia="宋体" w:cs="Times New Roman"/>
          <w:szCs w:val="21"/>
          <w:lang w:eastAsia="zh-CN"/>
        </w:rPr>
        <w:t>；</w:t>
      </w:r>
    </w:p>
    <w:p w14:paraId="218080F9">
      <w:pPr>
        <w:pStyle w:val="36"/>
        <w:numPr>
          <w:ilvl w:val="0"/>
          <w:numId w:val="18"/>
        </w:numPr>
        <w:adjustRightInd w:val="0"/>
        <w:snapToGrid w:val="0"/>
        <w:rPr>
          <w:rFonts w:hint="eastAsia" w:hAnsi="宋体"/>
          <w:szCs w:val="21"/>
        </w:rPr>
      </w:pPr>
      <w:r>
        <w:rPr>
          <w:rFonts w:hint="eastAsia" w:hAnsi="Times New Roman" w:eastAsia="宋体" w:cs="Times New Roman"/>
          <w:szCs w:val="21"/>
          <w:lang w:val="en-US" w:eastAsia="zh-CN"/>
        </w:rPr>
        <w:t>修改了附录A、B、C、D、E、F、G、H、I、J、K（见附录A、B、C、D、E、F、G、H、I、J、K，2018版附录A、B、C、D、E、F、G、H、I、J、K、L）</w:t>
      </w:r>
      <w:r>
        <w:rPr>
          <w:rFonts w:hint="eastAsia" w:cs="Times New Roman"/>
          <w:szCs w:val="21"/>
          <w:lang w:val="en-US" w:eastAsia="zh-CN"/>
        </w:rPr>
        <w:t>；</w:t>
      </w:r>
    </w:p>
    <w:p w14:paraId="00EF79EB">
      <w:pPr>
        <w:pStyle w:val="36"/>
        <w:numPr>
          <w:ilvl w:val="0"/>
          <w:numId w:val="18"/>
        </w:numPr>
        <w:adjustRightInd w:val="0"/>
        <w:snapToGrid w:val="0"/>
        <w:rPr>
          <w:rFonts w:hint="eastAsia" w:hAnsi="宋体"/>
          <w:szCs w:val="21"/>
        </w:rPr>
      </w:pPr>
      <w:r>
        <w:rPr>
          <w:rFonts w:hint="eastAsia" w:cs="Times New Roman"/>
          <w:szCs w:val="21"/>
          <w:lang w:val="en-US" w:eastAsia="zh-CN"/>
        </w:rPr>
        <w:t>增加了二级否决条款（见</w:t>
      </w:r>
      <w:r>
        <w:rPr>
          <w:rFonts w:hint="eastAsia" w:hAnsi="宋体"/>
          <w:szCs w:val="21"/>
        </w:rPr>
        <w:t>附录</w:t>
      </w:r>
      <w:r>
        <w:rPr>
          <w:rFonts w:hint="eastAsia" w:hAnsi="宋体"/>
          <w:szCs w:val="21"/>
          <w:lang w:val="en-US" w:eastAsia="zh-CN"/>
        </w:rPr>
        <w:t>B.1</w:t>
      </w:r>
      <w:r>
        <w:rPr>
          <w:rFonts w:hint="eastAsia" w:hAnsi="宋体"/>
          <w:szCs w:val="21"/>
        </w:rPr>
        <w:t>序号</w:t>
      </w:r>
      <w:r>
        <w:rPr>
          <w:rFonts w:hint="eastAsia" w:hAnsi="宋体"/>
          <w:szCs w:val="21"/>
          <w:lang w:val="en-US" w:eastAsia="zh-CN"/>
        </w:rPr>
        <w:t>1.5.4、1.7.1、</w:t>
      </w:r>
      <w:r>
        <w:rPr>
          <w:rFonts w:hint="eastAsia" w:hAnsi="宋体"/>
          <w:szCs w:val="21"/>
        </w:rPr>
        <w:t>1.</w:t>
      </w:r>
      <w:r>
        <w:rPr>
          <w:rFonts w:hint="eastAsia" w:hAnsi="宋体"/>
          <w:szCs w:val="21"/>
          <w:lang w:val="en-US" w:eastAsia="zh-CN"/>
        </w:rPr>
        <w:t>9.2、1.9.5、附录C.1序号2.1.1，</w:t>
      </w:r>
      <w:r>
        <w:rPr>
          <w:rFonts w:hint="eastAsia" w:hAnsi="宋体"/>
          <w:szCs w:val="21"/>
        </w:rPr>
        <w:t>附录</w:t>
      </w:r>
      <w:r>
        <w:rPr>
          <w:rFonts w:hint="eastAsia" w:hAnsi="宋体"/>
          <w:szCs w:val="21"/>
          <w:lang w:val="en-US" w:eastAsia="zh-CN"/>
        </w:rPr>
        <w:t>G.1</w:t>
      </w:r>
      <w:r>
        <w:rPr>
          <w:rFonts w:hint="eastAsia" w:hAnsi="宋体"/>
          <w:szCs w:val="21"/>
        </w:rPr>
        <w:t>序号</w:t>
      </w:r>
      <w:r>
        <w:rPr>
          <w:rFonts w:hint="eastAsia" w:hAnsi="宋体"/>
          <w:szCs w:val="21"/>
          <w:lang w:val="en-US" w:eastAsia="zh-CN"/>
        </w:rPr>
        <w:t>6.1.4.1、附录I.1序号8.1.9、</w:t>
      </w:r>
      <w:r>
        <w:rPr>
          <w:rFonts w:hint="eastAsia" w:hAnsi="宋体"/>
          <w:szCs w:val="21"/>
        </w:rPr>
        <w:t>附录</w:t>
      </w:r>
      <w:r>
        <w:rPr>
          <w:rFonts w:hint="eastAsia" w:hAnsi="宋体"/>
          <w:szCs w:val="21"/>
          <w:lang w:val="en-US" w:eastAsia="zh-CN"/>
        </w:rPr>
        <w:t>K.1</w:t>
      </w:r>
      <w:r>
        <w:rPr>
          <w:rFonts w:hint="eastAsia" w:hAnsi="宋体"/>
          <w:szCs w:val="21"/>
        </w:rPr>
        <w:t>序号</w:t>
      </w:r>
      <w:r>
        <w:rPr>
          <w:rFonts w:hint="eastAsia" w:hAnsi="宋体"/>
          <w:szCs w:val="21"/>
          <w:lang w:val="en-US" w:eastAsia="zh-CN"/>
        </w:rPr>
        <w:t>10.2.5</w:t>
      </w:r>
      <w:r>
        <w:rPr>
          <w:rFonts w:hint="eastAsia" w:cs="Times New Roman"/>
          <w:szCs w:val="21"/>
          <w:lang w:val="en-US" w:eastAsia="zh-CN"/>
        </w:rPr>
        <w:t>）</w:t>
      </w:r>
    </w:p>
    <w:p w14:paraId="0402433D">
      <w:pPr>
        <w:pStyle w:val="36"/>
        <w:rPr>
          <w:rFonts w:hint="eastAsia" w:hAnsi="宋体"/>
          <w:szCs w:val="21"/>
        </w:rPr>
      </w:pPr>
      <w:r>
        <w:rPr>
          <w:rFonts w:hint="eastAsia" w:hAnsi="宋体"/>
          <w:szCs w:val="21"/>
        </w:rPr>
        <w:t>本部分由北京市</w:t>
      </w:r>
      <w:r>
        <w:rPr>
          <w:rFonts w:hint="eastAsia" w:hAnsi="宋体"/>
          <w:szCs w:val="21"/>
          <w:lang w:val="en-US" w:eastAsia="zh-CN"/>
        </w:rPr>
        <w:t>文化和旅游局</w:t>
      </w:r>
      <w:r>
        <w:rPr>
          <w:rFonts w:hint="eastAsia" w:hAnsi="宋体"/>
          <w:szCs w:val="21"/>
        </w:rPr>
        <w:t>提出并归口。</w:t>
      </w:r>
    </w:p>
    <w:p w14:paraId="1C795E19">
      <w:pPr>
        <w:pStyle w:val="36"/>
        <w:rPr>
          <w:rFonts w:hint="eastAsia" w:hAnsi="宋体"/>
          <w:szCs w:val="21"/>
        </w:rPr>
      </w:pPr>
      <w:r>
        <w:rPr>
          <w:rFonts w:hint="eastAsia" w:hAnsi="宋体"/>
          <w:szCs w:val="21"/>
        </w:rPr>
        <w:t>本部分由北京市</w:t>
      </w:r>
      <w:r>
        <w:rPr>
          <w:rFonts w:hint="eastAsia" w:hAnsi="宋体"/>
          <w:szCs w:val="21"/>
          <w:lang w:val="en-US" w:eastAsia="zh-CN"/>
        </w:rPr>
        <w:t>文化和旅游局</w:t>
      </w:r>
      <w:r>
        <w:rPr>
          <w:rFonts w:hint="eastAsia" w:hAnsi="宋体"/>
          <w:szCs w:val="21"/>
        </w:rPr>
        <w:t>组织实施。</w:t>
      </w:r>
    </w:p>
    <w:p w14:paraId="7147616E">
      <w:pPr>
        <w:pStyle w:val="36"/>
        <w:rPr>
          <w:rFonts w:hint="eastAsia" w:hAnsi="宋体"/>
          <w:szCs w:val="21"/>
        </w:rPr>
      </w:pPr>
      <w:r>
        <w:rPr>
          <w:rFonts w:hint="eastAsia" w:hAnsi="宋体"/>
          <w:szCs w:val="21"/>
        </w:rPr>
        <w:t>本部分起草单位：。</w:t>
      </w:r>
    </w:p>
    <w:p w14:paraId="226115E2">
      <w:pPr>
        <w:pStyle w:val="36"/>
        <w:rPr>
          <w:rFonts w:hint="eastAsia"/>
        </w:rPr>
      </w:pPr>
      <w:r>
        <w:rPr>
          <w:rFonts w:hint="eastAsia" w:hAnsi="宋体"/>
          <w:szCs w:val="21"/>
        </w:rPr>
        <w:t>本部分主要起草人：</w:t>
      </w:r>
      <w:r>
        <w:rPr>
          <w:rFonts w:hint="eastAsia" w:ascii="Times New Roman"/>
        </w:rPr>
        <w:t>。</w:t>
      </w:r>
    </w:p>
    <w:p w14:paraId="1A9FEE70">
      <w:pPr>
        <w:pStyle w:val="36"/>
        <w:sectPr>
          <w:headerReference r:id="rId7" w:type="default"/>
          <w:footerReference r:id="rId8" w:type="default"/>
          <w:pgSz w:w="11906" w:h="16838"/>
          <w:pgMar w:top="567" w:right="1134" w:bottom="1134" w:left="1418" w:header="1418" w:footer="1134" w:gutter="0"/>
          <w:pgNumType w:fmt="upperRoman" w:start="1"/>
          <w:cols w:space="720" w:num="1"/>
          <w:formProt w:val="0"/>
          <w:docGrid w:type="lines" w:linePitch="312" w:charSpace="0"/>
        </w:sectPr>
      </w:pPr>
    </w:p>
    <w:p w14:paraId="1622E2A2">
      <w:pPr>
        <w:pStyle w:val="116"/>
        <w:spacing w:before="0" w:after="0" w:line="240" w:lineRule="auto"/>
        <w:outlineLvl w:val="9"/>
        <w:rPr>
          <w:rFonts w:hint="eastAsia" w:ascii="Times New Roman"/>
        </w:rPr>
      </w:pPr>
      <w:r>
        <w:rPr>
          <w:rFonts w:hint="eastAsia" w:ascii="Times New Roman"/>
        </w:rPr>
        <w:t>安全生产等级评定技术规范                                 第50部分：A级旅游景区</w:t>
      </w:r>
    </w:p>
    <w:p w14:paraId="12A0B044">
      <w:pPr>
        <w:pStyle w:val="109"/>
        <w:rPr>
          <w:rFonts w:hint="eastAsia"/>
        </w:rPr>
      </w:pPr>
      <w:bookmarkStart w:id="30" w:name="_Toc498286336"/>
      <w:bookmarkStart w:id="31" w:name="_Toc482169097"/>
      <w:bookmarkStart w:id="32" w:name="_Toc486261020"/>
      <w:bookmarkStart w:id="33" w:name="_Toc498337260"/>
      <w:bookmarkStart w:id="34" w:name="_Toc482174131"/>
      <w:bookmarkStart w:id="35" w:name="_Toc498325665"/>
      <w:bookmarkStart w:id="36" w:name="_Toc504594706"/>
      <w:bookmarkStart w:id="37" w:name="_Toc484965483"/>
      <w:bookmarkStart w:id="38" w:name="_Toc482189164"/>
      <w:bookmarkStart w:id="39" w:name="_Toc482172260"/>
      <w:bookmarkStart w:id="40" w:name="_Toc484958259"/>
      <w:bookmarkStart w:id="41" w:name="_Toc482175037"/>
      <w:bookmarkStart w:id="42" w:name="_Toc498348125"/>
      <w:bookmarkStart w:id="43" w:name="_Toc484984792"/>
      <w:bookmarkStart w:id="44" w:name="_Toc504931831"/>
      <w:bookmarkStart w:id="45" w:name="_Toc484965753"/>
      <w:bookmarkStart w:id="46" w:name="_Toc482114485"/>
      <w:bookmarkStart w:id="47" w:name="_Toc482172319"/>
      <w:bookmarkStart w:id="48" w:name="_Toc482107009"/>
      <w:bookmarkStart w:id="49" w:name="_Toc482198476"/>
      <w:bookmarkStart w:id="50" w:name="_Toc482174615"/>
      <w:bookmarkStart w:id="51" w:name="_Toc27279"/>
      <w:bookmarkStart w:id="52" w:name="_Toc7500"/>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A941142">
      <w:pPr>
        <w:ind w:firstLine="420" w:firstLineChars="200"/>
        <w:rPr>
          <w:rFonts w:ascii="宋体" w:hAnsi="宋体"/>
          <w:szCs w:val="21"/>
        </w:rPr>
      </w:pPr>
      <w:r>
        <w:rPr>
          <w:rFonts w:hint="eastAsia" w:ascii="宋体" w:hAnsi="宋体"/>
          <w:szCs w:val="21"/>
        </w:rPr>
        <w:t>本部分规定了A级旅游景区（以下简称“景区”）</w:t>
      </w:r>
      <w:r>
        <w:rPr>
          <w:rFonts w:hint="eastAsia"/>
        </w:rPr>
        <w:t>安全生产等级评定内容和评定细则</w:t>
      </w:r>
      <w:r>
        <w:rPr>
          <w:rFonts w:hint="eastAsia" w:ascii="宋体" w:hAnsi="宋体"/>
          <w:szCs w:val="21"/>
        </w:rPr>
        <w:t>。</w:t>
      </w:r>
    </w:p>
    <w:p w14:paraId="75287F1E">
      <w:pPr>
        <w:pStyle w:val="36"/>
        <w:rPr>
          <w:rFonts w:hint="eastAsia"/>
        </w:rPr>
      </w:pPr>
      <w:r>
        <w:rPr>
          <w:rFonts w:hint="eastAsia"/>
          <w:szCs w:val="21"/>
        </w:rPr>
        <w:t>本部分适用于景区安全生产等级的划分与评定。</w:t>
      </w:r>
    </w:p>
    <w:p w14:paraId="3768D015">
      <w:pPr>
        <w:pStyle w:val="109"/>
        <w:rPr>
          <w:rFonts w:hint="eastAsia"/>
        </w:rPr>
      </w:pPr>
      <w:bookmarkStart w:id="53" w:name="_Toc482175038"/>
      <w:bookmarkStart w:id="54" w:name="_Toc482172320"/>
      <w:bookmarkStart w:id="55" w:name="_Toc484965484"/>
      <w:bookmarkStart w:id="56" w:name="_Toc486261021"/>
      <w:bookmarkStart w:id="57" w:name="_Toc482169098"/>
      <w:bookmarkStart w:id="58" w:name="_Toc482189165"/>
      <w:bookmarkStart w:id="59" w:name="_Toc482174132"/>
      <w:bookmarkStart w:id="60" w:name="_Toc482172261"/>
      <w:bookmarkStart w:id="61" w:name="_Toc484965754"/>
      <w:bookmarkStart w:id="62" w:name="_Toc504594707"/>
      <w:bookmarkStart w:id="63" w:name="_Toc482107010"/>
      <w:bookmarkStart w:id="64" w:name="_Toc482114486"/>
      <w:bookmarkStart w:id="65" w:name="_Toc484958260"/>
      <w:bookmarkStart w:id="66" w:name="_Toc498286337"/>
      <w:bookmarkStart w:id="67" w:name="_Toc482198477"/>
      <w:bookmarkStart w:id="68" w:name="_Toc482174616"/>
      <w:bookmarkStart w:id="69" w:name="_Toc498337261"/>
      <w:bookmarkStart w:id="70" w:name="_Toc484984793"/>
      <w:bookmarkStart w:id="71" w:name="_Toc498348126"/>
      <w:bookmarkStart w:id="72" w:name="_Toc504931832"/>
      <w:bookmarkStart w:id="73" w:name="_Toc498325666"/>
      <w:bookmarkStart w:id="74" w:name="_Toc23053"/>
      <w:bookmarkStart w:id="75" w:name="_Toc15014"/>
      <w:r>
        <w:rPr>
          <w:rFonts w:hint="eastAsia"/>
        </w:rPr>
        <w:t>规范性引用文件</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52293442">
      <w:pPr>
        <w:pStyle w:val="36"/>
        <w:rPr>
          <w:rFonts w:hint="eastAsia"/>
        </w:rPr>
      </w:pPr>
      <w:r>
        <w:rPr>
          <w:rFonts w:hint="eastAsia"/>
        </w:rPr>
        <w:t>下列文件对于本文件的应用是必不可少的。凡是注日期的引用文件，仅所注日期的版本适用于本文件。凡是不注日期的引用文件，其最新版本（包括所有的修改单）适用于本文件。</w:t>
      </w:r>
    </w:p>
    <w:p w14:paraId="2B3D082C">
      <w:pPr>
        <w:ind w:firstLine="420" w:firstLineChars="200"/>
        <w:rPr>
          <w:rFonts w:hint="default" w:ascii="宋体" w:hAnsi="宋体"/>
          <w:color w:val="auto"/>
          <w:highlight w:val="none"/>
          <w:lang w:val="en-US" w:eastAsia="zh-CN"/>
        </w:rPr>
      </w:pPr>
      <w:r>
        <w:rPr>
          <w:rFonts w:hint="default" w:ascii="宋体" w:hAnsi="宋体"/>
          <w:color w:val="auto"/>
          <w:highlight w:val="none"/>
          <w:lang w:val="en-US" w:eastAsia="zh-CN"/>
        </w:rPr>
        <w:t>GB</w:t>
      </w:r>
      <w:r>
        <w:rPr>
          <w:rFonts w:hint="eastAsia" w:ascii="宋体" w:hAnsi="宋体"/>
          <w:color w:val="auto"/>
          <w:highlight w:val="none"/>
        </w:rPr>
        <w:t>/T</w:t>
      </w:r>
      <w:r>
        <w:rPr>
          <w:rFonts w:hint="default" w:ascii="宋体" w:hAnsi="宋体"/>
          <w:color w:val="auto"/>
          <w:highlight w:val="none"/>
          <w:lang w:val="en-US" w:eastAsia="zh-CN"/>
        </w:rPr>
        <w:t xml:space="preserve"> 2099.3</w:t>
      </w:r>
      <w:r>
        <w:rPr>
          <w:rFonts w:hint="eastAsia" w:ascii="宋体" w:hAnsi="宋体"/>
          <w:color w:val="auto"/>
          <w:highlight w:val="none"/>
          <w:lang w:val="en-US" w:eastAsia="zh-CN"/>
        </w:rPr>
        <w:t xml:space="preserve">  家用和类似用途插头插座 第2-5部分：转换器的特殊要求</w:t>
      </w:r>
    </w:p>
    <w:p w14:paraId="31A7286D">
      <w:pPr>
        <w:ind w:firstLine="420" w:firstLineChars="200"/>
        <w:rPr>
          <w:rFonts w:hint="default" w:ascii="宋体" w:hAnsi="宋体"/>
          <w:lang w:val="en-US" w:eastAsia="zh-CN"/>
        </w:rPr>
      </w:pPr>
      <w:r>
        <w:rPr>
          <w:rFonts w:hint="eastAsia" w:ascii="宋体" w:hAnsi="宋体"/>
          <w:color w:val="auto"/>
        </w:rPr>
        <w:t>GB/T 3787  手持式电动工具的管理、使用、检查和维修安全技术规程</w:t>
      </w:r>
    </w:p>
    <w:p w14:paraId="3271734D">
      <w:pPr>
        <w:ind w:firstLine="420" w:firstLineChars="200"/>
        <w:rPr>
          <w:rFonts w:hint="eastAsia" w:ascii="宋体" w:hAnsi="宋体"/>
          <w:color w:val="auto"/>
          <w:lang w:val="en-US" w:eastAsia="zh-CN"/>
        </w:rPr>
      </w:pPr>
      <w:r>
        <w:rPr>
          <w:rFonts w:hint="default" w:ascii="宋体" w:hAnsi="宋体"/>
          <w:color w:val="auto"/>
          <w:lang w:val="en-US" w:eastAsia="zh-CN"/>
        </w:rPr>
        <w:t>GB 4053.1</w:t>
      </w:r>
      <w:r>
        <w:rPr>
          <w:rFonts w:hint="eastAsia" w:ascii="宋体" w:hAnsi="宋体"/>
          <w:color w:val="auto"/>
          <w:lang w:val="en-US" w:eastAsia="zh-CN"/>
        </w:rPr>
        <w:t xml:space="preserve">  固定式钢梯及平台安全要求 第1部分：钢直梯</w:t>
      </w:r>
    </w:p>
    <w:p w14:paraId="774AFA5C">
      <w:pPr>
        <w:ind w:firstLine="420" w:firstLineChars="200"/>
        <w:rPr>
          <w:rFonts w:hint="eastAsia" w:ascii="宋体" w:hAnsi="宋体"/>
          <w:color w:val="auto"/>
          <w:lang w:val="en-US" w:eastAsia="zh-CN"/>
        </w:rPr>
      </w:pPr>
      <w:r>
        <w:rPr>
          <w:rFonts w:hint="default" w:ascii="宋体" w:hAnsi="宋体"/>
          <w:color w:val="auto"/>
          <w:lang w:val="en-US" w:eastAsia="zh-CN"/>
        </w:rPr>
        <w:t>GB 4053.2</w:t>
      </w:r>
      <w:r>
        <w:rPr>
          <w:rFonts w:hint="eastAsia" w:ascii="宋体" w:hAnsi="宋体"/>
          <w:color w:val="auto"/>
          <w:lang w:val="en-US" w:eastAsia="zh-CN"/>
        </w:rPr>
        <w:t xml:space="preserve">  固定式钢梯及平台安全要求 第2部分：钢斜梯</w:t>
      </w:r>
    </w:p>
    <w:p w14:paraId="0746CD7C">
      <w:pPr>
        <w:ind w:firstLine="420" w:firstLineChars="200"/>
        <w:rPr>
          <w:rFonts w:hint="eastAsia" w:ascii="宋体" w:hAnsi="宋体"/>
          <w:color w:val="auto"/>
          <w:lang w:val="en-US" w:eastAsia="zh-CN"/>
        </w:rPr>
      </w:pPr>
      <w:r>
        <w:rPr>
          <w:rFonts w:hint="default" w:ascii="宋体" w:hAnsi="宋体"/>
          <w:color w:val="auto"/>
          <w:lang w:val="en-US" w:eastAsia="zh-CN"/>
        </w:rPr>
        <w:t>GB 4053.3</w:t>
      </w:r>
      <w:r>
        <w:rPr>
          <w:rFonts w:hint="eastAsia" w:ascii="宋体" w:hAnsi="宋体"/>
          <w:color w:val="auto"/>
          <w:lang w:val="en-US" w:eastAsia="zh-CN"/>
        </w:rPr>
        <w:t xml:space="preserve">  固定式钢梯及平台安全要求 第3部分：工业防护栏杆及钢平台</w:t>
      </w:r>
    </w:p>
    <w:p w14:paraId="25ED36AB">
      <w:pPr>
        <w:ind w:firstLine="420" w:firstLineChars="200"/>
        <w:rPr>
          <w:rFonts w:hint="eastAsia" w:ascii="宋体" w:hAnsi="宋体"/>
          <w:color w:val="auto"/>
          <w:lang w:val="en-US" w:eastAsia="zh-CN"/>
        </w:rPr>
      </w:pPr>
      <w:r>
        <w:rPr>
          <w:rFonts w:hint="default" w:ascii="宋体" w:hAnsi="宋体"/>
          <w:color w:val="auto"/>
          <w:lang w:val="en-US" w:eastAsia="zh-CN"/>
        </w:rPr>
        <w:t>GB 4351.1</w:t>
      </w:r>
      <w:r>
        <w:rPr>
          <w:rFonts w:hint="eastAsia" w:ascii="宋体" w:hAnsi="宋体"/>
          <w:color w:val="auto"/>
          <w:lang w:val="en-US" w:eastAsia="zh-CN"/>
        </w:rPr>
        <w:t xml:space="preserve">  手提式灭火器 第1部分：性能和结构要求</w:t>
      </w:r>
    </w:p>
    <w:p w14:paraId="75F335AA">
      <w:pPr>
        <w:ind w:firstLine="420" w:firstLineChars="200"/>
        <w:rPr>
          <w:rFonts w:hint="eastAsia" w:ascii="宋体" w:hAnsi="宋体"/>
          <w:lang w:val="en-US" w:eastAsia="zh-CN"/>
        </w:rPr>
      </w:pPr>
      <w:r>
        <w:rPr>
          <w:rFonts w:hint="default" w:ascii="宋体" w:hAnsi="宋体"/>
          <w:color w:val="auto"/>
          <w:lang w:val="en-US" w:eastAsia="zh-CN"/>
        </w:rPr>
        <w:t>GB 4674</w:t>
      </w:r>
      <w:r>
        <w:rPr>
          <w:rFonts w:hint="eastAsia" w:ascii="宋体" w:hAnsi="宋体"/>
          <w:color w:val="auto"/>
          <w:lang w:val="en-US" w:eastAsia="zh-CN"/>
        </w:rPr>
        <w:t xml:space="preserve">   磨削机械安全规程</w:t>
      </w:r>
    </w:p>
    <w:p w14:paraId="5260024A">
      <w:pPr>
        <w:ind w:firstLine="420" w:firstLineChars="200"/>
        <w:rPr>
          <w:rFonts w:hint="eastAsia" w:ascii="宋体" w:hAnsi="宋体"/>
          <w:color w:val="auto"/>
          <w:lang w:val="en-US" w:eastAsia="zh-CN"/>
        </w:rPr>
      </w:pPr>
      <w:r>
        <w:rPr>
          <w:rFonts w:hint="default" w:ascii="宋体" w:hAnsi="宋体"/>
          <w:color w:val="auto"/>
          <w:lang w:val="en-US" w:eastAsia="zh-CN"/>
        </w:rPr>
        <w:t>GB 7000.218</w:t>
      </w:r>
      <w:r>
        <w:rPr>
          <w:rFonts w:hint="eastAsia" w:ascii="宋体" w:hAnsi="宋体"/>
          <w:color w:val="auto"/>
          <w:lang w:val="en-US" w:eastAsia="zh-CN"/>
        </w:rPr>
        <w:t xml:space="preserve">  灯具 第2-18部分：特殊要求 游泳池和类似场所用灯具</w:t>
      </w:r>
    </w:p>
    <w:p w14:paraId="3B3A3685">
      <w:pPr>
        <w:ind w:firstLine="420" w:firstLineChars="200"/>
        <w:rPr>
          <w:rFonts w:hint="eastAsia" w:ascii="宋体" w:hAnsi="宋体"/>
          <w:color w:val="auto"/>
          <w:lang w:val="en-US" w:eastAsia="zh-CN"/>
        </w:rPr>
      </w:pPr>
      <w:r>
        <w:rPr>
          <w:rFonts w:hint="default" w:ascii="宋体" w:hAnsi="宋体"/>
          <w:color w:val="auto"/>
          <w:lang w:val="en-US" w:eastAsia="zh-CN"/>
        </w:rPr>
        <w:t>GB 8408</w:t>
      </w:r>
      <w:r>
        <w:rPr>
          <w:rFonts w:hint="eastAsia" w:ascii="宋体" w:hAnsi="宋体"/>
          <w:color w:val="auto"/>
          <w:lang w:val="en-US" w:eastAsia="zh-CN"/>
        </w:rPr>
        <w:t xml:space="preserve">   大型游乐设施安全规范</w:t>
      </w:r>
    </w:p>
    <w:p w14:paraId="4F21545B">
      <w:pPr>
        <w:ind w:firstLine="420" w:firstLineChars="200"/>
        <w:rPr>
          <w:rFonts w:hint="eastAsia" w:ascii="宋体" w:hAnsi="宋体"/>
          <w:color w:val="auto"/>
          <w:lang w:val="en-US" w:eastAsia="zh-CN"/>
        </w:rPr>
      </w:pPr>
      <w:r>
        <w:rPr>
          <w:rFonts w:hint="default" w:ascii="宋体" w:hAnsi="宋体"/>
          <w:color w:val="auto"/>
          <w:lang w:val="en-US" w:eastAsia="zh-CN"/>
        </w:rPr>
        <w:t>GB 9237</w:t>
      </w:r>
      <w:r>
        <w:rPr>
          <w:rFonts w:hint="eastAsia" w:ascii="宋体" w:hAnsi="宋体"/>
          <w:color w:val="auto"/>
        </w:rPr>
        <w:t>/T</w:t>
      </w:r>
      <w:r>
        <w:rPr>
          <w:rFonts w:hint="eastAsia" w:ascii="宋体" w:hAnsi="宋体"/>
          <w:color w:val="auto"/>
          <w:lang w:val="en-US" w:eastAsia="zh-CN"/>
        </w:rPr>
        <w:t xml:space="preserve">   制冷系统及热泵 安全与环境要求</w:t>
      </w:r>
    </w:p>
    <w:p w14:paraId="446A5168">
      <w:pPr>
        <w:ind w:firstLine="420" w:firstLineChars="200"/>
        <w:rPr>
          <w:rFonts w:hint="eastAsia" w:ascii="宋体" w:hAnsi="宋体"/>
          <w:color w:val="auto"/>
          <w:lang w:val="en-US" w:eastAsia="zh-CN"/>
        </w:rPr>
      </w:pPr>
      <w:r>
        <w:rPr>
          <w:rFonts w:hint="default" w:ascii="宋体" w:hAnsi="宋体"/>
          <w:color w:val="auto"/>
          <w:lang w:val="en-US" w:eastAsia="zh-CN"/>
        </w:rPr>
        <w:t>GB 9448</w:t>
      </w:r>
      <w:r>
        <w:rPr>
          <w:rFonts w:hint="eastAsia" w:ascii="宋体" w:hAnsi="宋体"/>
          <w:color w:val="auto"/>
          <w:lang w:val="en-US" w:eastAsia="zh-CN"/>
        </w:rPr>
        <w:t xml:space="preserve">   焊接与切割安全</w:t>
      </w:r>
    </w:p>
    <w:p w14:paraId="07E453C1">
      <w:pPr>
        <w:ind w:firstLine="420" w:firstLineChars="200"/>
        <w:rPr>
          <w:rFonts w:hint="eastAsia" w:ascii="宋体" w:hAnsi="宋体"/>
          <w:color w:val="auto"/>
          <w:lang w:val="en-US" w:eastAsia="zh-CN"/>
        </w:rPr>
      </w:pPr>
      <w:r>
        <w:rPr>
          <w:rFonts w:hint="default" w:ascii="宋体" w:hAnsi="宋体"/>
          <w:color w:val="auto"/>
          <w:lang w:val="en-US" w:eastAsia="zh-CN"/>
        </w:rPr>
        <w:t>GB 12475</w:t>
      </w:r>
      <w:r>
        <w:rPr>
          <w:rFonts w:hint="eastAsia" w:ascii="宋体" w:hAnsi="宋体"/>
          <w:color w:val="auto"/>
          <w:lang w:val="en-US" w:eastAsia="zh-CN"/>
        </w:rPr>
        <w:t xml:space="preserve">  农药贮运、销售和使用的防毒规程</w:t>
      </w:r>
    </w:p>
    <w:p w14:paraId="013E5570">
      <w:pPr>
        <w:ind w:firstLine="420" w:firstLineChars="200"/>
        <w:rPr>
          <w:rFonts w:hint="eastAsia" w:ascii="宋体" w:hAnsi="宋体"/>
          <w:lang w:val="en-US" w:eastAsia="zh-CN"/>
        </w:rPr>
      </w:pPr>
      <w:r>
        <w:rPr>
          <w:rFonts w:hint="default" w:ascii="宋体" w:hAnsi="宋体"/>
          <w:color w:val="auto"/>
          <w:lang w:val="en-US" w:eastAsia="zh-CN"/>
        </w:rPr>
        <w:t>GB/T 17888.3</w:t>
      </w:r>
      <w:r>
        <w:rPr>
          <w:rFonts w:hint="eastAsia" w:ascii="宋体" w:hAnsi="宋体"/>
          <w:color w:val="auto"/>
          <w:lang w:val="en-US" w:eastAsia="zh-CN"/>
        </w:rPr>
        <w:t xml:space="preserve">  机械安全 接近机械的固定设施 第3部分：楼梯、阶梯和护栏</w:t>
      </w:r>
    </w:p>
    <w:p w14:paraId="3975643B">
      <w:pPr>
        <w:ind w:firstLine="420" w:firstLineChars="200"/>
        <w:rPr>
          <w:rFonts w:hint="eastAsia" w:ascii="宋体" w:hAnsi="宋体"/>
          <w:color w:val="auto"/>
          <w:lang w:val="en-US" w:eastAsia="zh-CN"/>
        </w:rPr>
      </w:pPr>
      <w:r>
        <w:rPr>
          <w:rFonts w:hint="default" w:ascii="宋体" w:hAnsi="宋体"/>
          <w:color w:val="auto"/>
          <w:lang w:val="en-US" w:eastAsia="zh-CN"/>
        </w:rPr>
        <w:t>GB 18158</w:t>
      </w:r>
      <w:r>
        <w:rPr>
          <w:rFonts w:hint="eastAsia" w:ascii="宋体" w:hAnsi="宋体"/>
          <w:color w:val="auto"/>
          <w:lang w:val="en-US" w:eastAsia="zh-CN"/>
        </w:rPr>
        <w:t xml:space="preserve">  转马类游乐设施通用技术条件</w:t>
      </w:r>
    </w:p>
    <w:p w14:paraId="23335A68">
      <w:pPr>
        <w:ind w:firstLine="420" w:firstLineChars="200"/>
        <w:rPr>
          <w:rFonts w:hint="eastAsia" w:ascii="宋体" w:hAnsi="宋体"/>
          <w:color w:val="auto"/>
          <w:lang w:val="en-US" w:eastAsia="zh-CN"/>
        </w:rPr>
      </w:pPr>
      <w:r>
        <w:rPr>
          <w:rFonts w:hint="default" w:ascii="宋体" w:hAnsi="宋体"/>
          <w:color w:val="auto"/>
          <w:lang w:val="en-US" w:eastAsia="zh-CN"/>
        </w:rPr>
        <w:t>GB 18159</w:t>
      </w:r>
      <w:r>
        <w:rPr>
          <w:rFonts w:hint="eastAsia" w:ascii="宋体" w:hAnsi="宋体"/>
          <w:color w:val="auto"/>
          <w:lang w:val="en-US" w:eastAsia="zh-CN"/>
        </w:rPr>
        <w:t xml:space="preserve">  滑行车类游乐设施通用技术条件</w:t>
      </w:r>
    </w:p>
    <w:p w14:paraId="052A2EC7">
      <w:pPr>
        <w:ind w:firstLine="420" w:firstLineChars="200"/>
        <w:rPr>
          <w:rFonts w:hint="eastAsia" w:ascii="宋体" w:hAnsi="宋体"/>
          <w:color w:val="auto"/>
          <w:lang w:val="en-US" w:eastAsia="zh-CN"/>
        </w:rPr>
      </w:pPr>
      <w:r>
        <w:rPr>
          <w:rFonts w:hint="default" w:ascii="宋体" w:hAnsi="宋体"/>
          <w:color w:val="auto"/>
          <w:lang w:val="en-US" w:eastAsia="zh-CN"/>
        </w:rPr>
        <w:t>GB 18161</w:t>
      </w:r>
      <w:r>
        <w:rPr>
          <w:rFonts w:hint="eastAsia" w:ascii="宋体" w:hAnsi="宋体"/>
          <w:color w:val="auto"/>
          <w:lang w:val="en-US" w:eastAsia="zh-CN"/>
        </w:rPr>
        <w:t xml:space="preserve">  飞行塔类游乐设施通用技术条件</w:t>
      </w:r>
    </w:p>
    <w:p w14:paraId="4544ACFA">
      <w:pPr>
        <w:ind w:firstLine="420" w:firstLineChars="200"/>
        <w:rPr>
          <w:rFonts w:hint="eastAsia" w:ascii="宋体" w:hAnsi="宋体"/>
          <w:color w:val="auto"/>
          <w:lang w:val="en-US" w:eastAsia="zh-CN"/>
        </w:rPr>
      </w:pPr>
      <w:r>
        <w:rPr>
          <w:rFonts w:hint="default" w:ascii="宋体" w:hAnsi="宋体"/>
          <w:color w:val="auto"/>
          <w:lang w:val="en-US" w:eastAsia="zh-CN"/>
        </w:rPr>
        <w:t>GB 18164</w:t>
      </w:r>
      <w:r>
        <w:rPr>
          <w:rFonts w:hint="eastAsia" w:ascii="宋体" w:hAnsi="宋体"/>
          <w:color w:val="auto"/>
          <w:lang w:val="en-US" w:eastAsia="zh-CN"/>
        </w:rPr>
        <w:t xml:space="preserve">  观览车类游乐设施通用技术条件</w:t>
      </w:r>
    </w:p>
    <w:p w14:paraId="0F58A72D">
      <w:pPr>
        <w:ind w:firstLine="420" w:firstLineChars="200"/>
        <w:rPr>
          <w:rFonts w:hint="eastAsia" w:ascii="宋体" w:hAnsi="宋体"/>
          <w:color w:val="auto"/>
          <w:lang w:val="en-US" w:eastAsia="zh-CN"/>
        </w:rPr>
      </w:pPr>
      <w:r>
        <w:rPr>
          <w:rFonts w:hint="default" w:ascii="宋体" w:hAnsi="宋体"/>
          <w:color w:val="auto"/>
          <w:lang w:val="en-US" w:eastAsia="zh-CN"/>
        </w:rPr>
        <w:t>GB/T 18165</w:t>
      </w:r>
      <w:r>
        <w:rPr>
          <w:rFonts w:hint="eastAsia" w:ascii="宋体" w:hAnsi="宋体"/>
          <w:color w:val="auto"/>
          <w:lang w:val="en-US" w:eastAsia="zh-CN"/>
        </w:rPr>
        <w:t xml:space="preserve">  小火车类游乐设施通用技术条件</w:t>
      </w:r>
    </w:p>
    <w:p w14:paraId="519EC384">
      <w:pPr>
        <w:ind w:firstLine="420" w:firstLineChars="200"/>
        <w:rPr>
          <w:rFonts w:hint="eastAsia" w:ascii="宋体" w:hAnsi="宋体"/>
          <w:color w:val="auto"/>
          <w:lang w:val="en-US" w:eastAsia="zh-CN"/>
        </w:rPr>
      </w:pPr>
      <w:r>
        <w:rPr>
          <w:rFonts w:hint="default" w:ascii="宋体" w:hAnsi="宋体"/>
          <w:color w:val="auto"/>
          <w:lang w:val="en-US" w:eastAsia="zh-CN"/>
        </w:rPr>
        <w:t>GB 18168</w:t>
      </w:r>
      <w:r>
        <w:rPr>
          <w:rFonts w:hint="eastAsia" w:ascii="宋体" w:hAnsi="宋体"/>
          <w:color w:val="auto"/>
          <w:lang w:val="en-US" w:eastAsia="zh-CN"/>
        </w:rPr>
        <w:t xml:space="preserve">  水上游乐设施通用技术条件</w:t>
      </w:r>
    </w:p>
    <w:p w14:paraId="5D5875E5">
      <w:pPr>
        <w:ind w:firstLine="420" w:firstLineChars="200"/>
        <w:rPr>
          <w:rFonts w:hint="eastAsia" w:ascii="宋体" w:hAnsi="宋体"/>
          <w:color w:val="auto"/>
          <w:lang w:val="en-US" w:eastAsia="zh-CN"/>
        </w:rPr>
      </w:pPr>
      <w:r>
        <w:rPr>
          <w:rFonts w:hint="default" w:ascii="宋体" w:hAnsi="宋体"/>
          <w:color w:val="auto"/>
          <w:lang w:val="en-US" w:eastAsia="zh-CN"/>
        </w:rPr>
        <w:t>GB 19079.1</w:t>
      </w:r>
      <w:r>
        <w:rPr>
          <w:rFonts w:hint="eastAsia" w:ascii="宋体" w:hAnsi="宋体"/>
          <w:color w:val="auto"/>
          <w:lang w:val="en-US" w:eastAsia="zh-CN"/>
        </w:rPr>
        <w:t xml:space="preserve">  体育场所开放条件与技术要求　第1部分：游泳场所</w:t>
      </w:r>
    </w:p>
    <w:p w14:paraId="4D7D2300">
      <w:pPr>
        <w:ind w:firstLine="420" w:firstLineChars="200"/>
        <w:rPr>
          <w:rFonts w:hint="eastAsia" w:ascii="宋体" w:hAnsi="宋体"/>
          <w:lang w:val="en-US" w:eastAsia="zh-CN"/>
        </w:rPr>
      </w:pPr>
      <w:r>
        <w:rPr>
          <w:rFonts w:hint="default" w:ascii="宋体" w:hAnsi="宋体"/>
          <w:color w:val="auto"/>
          <w:lang w:val="en-US" w:eastAsia="zh-CN"/>
        </w:rPr>
        <w:t>GB 19079.4</w:t>
      </w:r>
      <w:r>
        <w:rPr>
          <w:rFonts w:hint="eastAsia" w:ascii="宋体" w:hAnsi="宋体"/>
          <w:color w:val="auto"/>
          <w:lang w:val="en-US" w:eastAsia="zh-CN"/>
        </w:rPr>
        <w:t xml:space="preserve">  体育场所开放条件与技术要求 第4部分：攀岩场所</w:t>
      </w:r>
    </w:p>
    <w:p w14:paraId="2813A08E">
      <w:pPr>
        <w:ind w:firstLine="420" w:firstLineChars="200"/>
        <w:rPr>
          <w:rFonts w:hint="eastAsia" w:ascii="宋体" w:hAnsi="宋体"/>
          <w:color w:val="auto"/>
          <w:lang w:val="en-US" w:eastAsia="zh-CN"/>
        </w:rPr>
      </w:pPr>
      <w:r>
        <w:rPr>
          <w:rFonts w:hint="default" w:ascii="宋体" w:hAnsi="宋体"/>
          <w:color w:val="auto"/>
          <w:lang w:val="en-US" w:eastAsia="zh-CN"/>
        </w:rPr>
        <w:t>GB 19079.6</w:t>
      </w:r>
      <w:r>
        <w:rPr>
          <w:rFonts w:hint="eastAsia" w:ascii="宋体" w:hAnsi="宋体"/>
          <w:color w:val="auto"/>
          <w:lang w:val="en-US" w:eastAsia="zh-CN"/>
        </w:rPr>
        <w:t xml:space="preserve">  体育场所开放条件与技术要求　第6部分：滑雪场所</w:t>
      </w:r>
    </w:p>
    <w:p w14:paraId="1361B45C">
      <w:pPr>
        <w:ind w:firstLine="420" w:firstLineChars="200"/>
        <w:rPr>
          <w:rFonts w:hint="eastAsia" w:ascii="宋体" w:hAnsi="宋体"/>
          <w:color w:val="auto"/>
          <w:lang w:val="en-US" w:eastAsia="zh-CN"/>
        </w:rPr>
      </w:pPr>
      <w:r>
        <w:rPr>
          <w:rFonts w:hint="default" w:ascii="宋体" w:hAnsi="宋体"/>
          <w:color w:val="auto"/>
          <w:lang w:val="en-US" w:eastAsia="zh-CN"/>
        </w:rPr>
        <w:t>GB 19079.7</w:t>
      </w:r>
      <w:r>
        <w:rPr>
          <w:rFonts w:hint="eastAsia" w:ascii="宋体" w:hAnsi="宋体"/>
          <w:color w:val="auto"/>
          <w:lang w:val="en-US" w:eastAsia="zh-CN"/>
        </w:rPr>
        <w:t xml:space="preserve">  体育场所开放条件与技术要求 第7部分：花样滑冰场所</w:t>
      </w:r>
    </w:p>
    <w:p w14:paraId="0E0EB364">
      <w:pPr>
        <w:ind w:firstLine="420" w:firstLineChars="200"/>
        <w:rPr>
          <w:rFonts w:hint="eastAsia" w:ascii="宋体" w:hAnsi="宋体"/>
          <w:color w:val="auto"/>
          <w:lang w:val="en-US" w:eastAsia="zh-CN"/>
        </w:rPr>
      </w:pPr>
      <w:r>
        <w:rPr>
          <w:rFonts w:hint="default" w:ascii="宋体" w:hAnsi="宋体"/>
          <w:color w:val="auto"/>
          <w:lang w:val="en-US" w:eastAsia="zh-CN"/>
        </w:rPr>
        <w:t>GB 19079.11</w:t>
      </w:r>
      <w:r>
        <w:rPr>
          <w:rFonts w:hint="eastAsia" w:ascii="宋体" w:hAnsi="宋体"/>
          <w:color w:val="auto"/>
          <w:lang w:val="en-US" w:eastAsia="zh-CN"/>
        </w:rPr>
        <w:t xml:space="preserve">  体育场所开放条件与技术要求 第11部分：漂流场所</w:t>
      </w:r>
    </w:p>
    <w:p w14:paraId="0BAF232A">
      <w:pPr>
        <w:ind w:firstLine="420" w:firstLineChars="200"/>
        <w:rPr>
          <w:rFonts w:hint="eastAsia" w:ascii="宋体" w:hAnsi="宋体"/>
          <w:color w:val="auto"/>
          <w:lang w:val="en-US" w:eastAsia="zh-CN"/>
        </w:rPr>
      </w:pPr>
      <w:r>
        <w:rPr>
          <w:rFonts w:hint="default" w:ascii="宋体" w:hAnsi="宋体"/>
          <w:color w:val="auto"/>
          <w:lang w:val="en-US" w:eastAsia="zh-CN"/>
        </w:rPr>
        <w:t>GB 19079.23</w:t>
      </w:r>
      <w:r>
        <w:rPr>
          <w:rFonts w:hint="eastAsia" w:ascii="宋体" w:hAnsi="宋体"/>
          <w:color w:val="auto"/>
          <w:lang w:val="en-US" w:eastAsia="zh-CN"/>
        </w:rPr>
        <w:t xml:space="preserve">  体育场所开放条件与技术要求 第23部分：蹦床场所</w:t>
      </w:r>
    </w:p>
    <w:p w14:paraId="540B1907">
      <w:pPr>
        <w:ind w:firstLine="420" w:firstLineChars="200"/>
        <w:rPr>
          <w:rFonts w:hint="eastAsia" w:ascii="宋体" w:hAnsi="宋体"/>
          <w:color w:val="00B050"/>
          <w:lang w:val="en-US" w:eastAsia="zh-CN"/>
        </w:rPr>
      </w:pPr>
      <w:r>
        <w:rPr>
          <w:rFonts w:hint="default" w:ascii="宋体" w:hAnsi="宋体"/>
          <w:color w:val="auto"/>
          <w:lang w:val="en-US" w:eastAsia="zh-CN"/>
        </w:rPr>
        <w:t>GB 19272</w:t>
      </w:r>
      <w:r>
        <w:rPr>
          <w:rFonts w:hint="eastAsia" w:ascii="宋体" w:hAnsi="宋体"/>
          <w:color w:val="auto"/>
          <w:lang w:val="en-US" w:eastAsia="zh-CN"/>
        </w:rPr>
        <w:t xml:space="preserve">  室外健身器材的安全 通用要求</w:t>
      </w:r>
    </w:p>
    <w:p w14:paraId="1B42B1EA">
      <w:pPr>
        <w:ind w:firstLine="420" w:firstLineChars="200"/>
        <w:rPr>
          <w:rFonts w:hint="eastAsia" w:ascii="宋体" w:hAnsi="宋体"/>
          <w:color w:val="00B050"/>
          <w:lang w:val="en-US" w:eastAsia="zh-CN"/>
        </w:rPr>
      </w:pPr>
      <w:r>
        <w:rPr>
          <w:rFonts w:hint="default" w:ascii="宋体" w:hAnsi="宋体"/>
          <w:color w:val="auto"/>
          <w:lang w:val="en-US" w:eastAsia="zh-CN"/>
        </w:rPr>
        <w:t>GB 24727</w:t>
      </w:r>
      <w:r>
        <w:rPr>
          <w:rFonts w:hint="eastAsia" w:ascii="宋体" w:hAnsi="宋体"/>
          <w:color w:val="auto"/>
          <w:lang w:val="en-US" w:eastAsia="zh-CN"/>
        </w:rPr>
        <w:t xml:space="preserve">  非公路旅游观光车安全使用规范</w:t>
      </w:r>
    </w:p>
    <w:p w14:paraId="07B18DA6">
      <w:pPr>
        <w:ind w:firstLine="420" w:firstLineChars="200"/>
        <w:rPr>
          <w:rFonts w:hint="eastAsia" w:ascii="宋体" w:hAnsi="宋体"/>
          <w:color w:val="auto"/>
          <w:lang w:val="en-US" w:eastAsia="zh-CN"/>
        </w:rPr>
      </w:pPr>
      <w:r>
        <w:rPr>
          <w:rFonts w:hint="default" w:ascii="宋体" w:hAnsi="宋体"/>
          <w:color w:val="auto"/>
          <w:lang w:val="en-US" w:eastAsia="zh-CN"/>
        </w:rPr>
        <w:t>GB/T 26365</w:t>
      </w:r>
      <w:r>
        <w:rPr>
          <w:rFonts w:hint="eastAsia" w:ascii="宋体" w:hAnsi="宋体"/>
          <w:color w:val="auto"/>
          <w:lang w:val="en-US" w:eastAsia="zh-CN"/>
        </w:rPr>
        <w:t xml:space="preserve">  游览船服务质量要求</w:t>
      </w:r>
    </w:p>
    <w:p w14:paraId="3C83EB4B">
      <w:pPr>
        <w:ind w:firstLine="420" w:firstLineChars="200"/>
        <w:rPr>
          <w:rFonts w:hint="default" w:ascii="宋体" w:hAnsi="宋体"/>
          <w:color w:val="auto"/>
          <w:lang w:val="en-US" w:eastAsia="zh-CN"/>
        </w:rPr>
      </w:pPr>
      <w:r>
        <w:rPr>
          <w:rFonts w:hint="eastAsia" w:ascii="宋体" w:hAnsi="宋体"/>
          <w:color w:val="auto"/>
          <w:lang w:val="en-US" w:eastAsia="zh-CN"/>
        </w:rPr>
        <w:t>GB 26529  宗教活动场所和旅游场所燃香安全规范</w:t>
      </w:r>
    </w:p>
    <w:p w14:paraId="13CAB33E">
      <w:pPr>
        <w:ind w:firstLine="420" w:firstLineChars="200"/>
        <w:rPr>
          <w:rFonts w:hint="eastAsia" w:ascii="宋体" w:hAnsi="宋体"/>
          <w:color w:val="auto"/>
          <w:lang w:val="en-US" w:eastAsia="zh-CN"/>
        </w:rPr>
      </w:pPr>
      <w:r>
        <w:rPr>
          <w:rFonts w:hint="default" w:ascii="宋体" w:hAnsi="宋体"/>
          <w:color w:val="auto"/>
          <w:lang w:val="en-US" w:eastAsia="zh-CN"/>
        </w:rPr>
        <w:t>GB/T 27544</w:t>
      </w:r>
      <w:r>
        <w:rPr>
          <w:rFonts w:hint="eastAsia" w:ascii="宋体" w:hAnsi="宋体"/>
          <w:color w:val="auto"/>
          <w:lang w:val="en-US" w:eastAsia="zh-CN"/>
        </w:rPr>
        <w:t xml:space="preserve">  工业车辆 电气要求</w:t>
      </w:r>
    </w:p>
    <w:p w14:paraId="6145314B">
      <w:pPr>
        <w:ind w:firstLine="420" w:firstLineChars="200"/>
        <w:rPr>
          <w:rFonts w:hint="eastAsia" w:ascii="宋体" w:hAnsi="宋体"/>
          <w:color w:val="00B050"/>
          <w:lang w:val="en-US" w:eastAsia="zh-CN"/>
        </w:rPr>
      </w:pPr>
      <w:r>
        <w:rPr>
          <w:rFonts w:hint="default" w:ascii="宋体" w:hAnsi="宋体"/>
          <w:color w:val="auto"/>
          <w:lang w:val="en-US" w:eastAsia="zh-CN"/>
        </w:rPr>
        <w:t>GB/T 28009</w:t>
      </w:r>
      <w:r>
        <w:rPr>
          <w:rFonts w:hint="eastAsia" w:ascii="宋体" w:hAnsi="宋体"/>
          <w:color w:val="auto"/>
          <w:lang w:val="en-US" w:eastAsia="zh-CN"/>
        </w:rPr>
        <w:t xml:space="preserve">  冷库安全规程</w:t>
      </w:r>
    </w:p>
    <w:p w14:paraId="7D45C50F">
      <w:pPr>
        <w:ind w:firstLine="420" w:firstLineChars="200"/>
        <w:rPr>
          <w:rFonts w:hint="default" w:ascii="宋体" w:hAnsi="宋体"/>
          <w:color w:val="auto"/>
          <w:lang w:val="en-US" w:eastAsia="zh-CN"/>
        </w:rPr>
      </w:pPr>
      <w:r>
        <w:rPr>
          <w:rFonts w:hint="eastAsia" w:ascii="宋体" w:hAnsi="宋体"/>
          <w:color w:val="auto"/>
          <w:lang w:val="en-US" w:eastAsia="zh-CN"/>
        </w:rPr>
        <w:t>GB/T 28742  污水处理设备安全技术规范</w:t>
      </w:r>
    </w:p>
    <w:p w14:paraId="3F81A39B">
      <w:pPr>
        <w:ind w:firstLine="420" w:firstLineChars="200"/>
        <w:rPr>
          <w:rFonts w:hint="eastAsia" w:ascii="宋体" w:hAnsi="宋体"/>
          <w:color w:val="auto"/>
          <w:lang w:val="en-US" w:eastAsia="zh-CN"/>
        </w:rPr>
      </w:pPr>
      <w:r>
        <w:rPr>
          <w:rFonts w:hint="default" w:ascii="宋体" w:hAnsi="宋体"/>
          <w:color w:val="auto"/>
          <w:lang w:val="en-US" w:eastAsia="zh-CN"/>
        </w:rPr>
        <w:t>GB/T 31257</w:t>
      </w:r>
      <w:r>
        <w:rPr>
          <w:rFonts w:hint="eastAsia" w:ascii="宋体" w:hAnsi="宋体"/>
          <w:color w:val="auto"/>
          <w:lang w:val="en-US" w:eastAsia="zh-CN"/>
        </w:rPr>
        <w:t xml:space="preserve">  蹦极通用技术条件</w:t>
      </w:r>
    </w:p>
    <w:p w14:paraId="41A4DE22">
      <w:pPr>
        <w:ind w:firstLine="420" w:firstLineChars="200"/>
        <w:rPr>
          <w:rFonts w:hint="eastAsia" w:ascii="宋体" w:hAnsi="宋体"/>
          <w:color w:val="auto"/>
          <w:lang w:val="en-US" w:eastAsia="zh-CN"/>
        </w:rPr>
      </w:pPr>
      <w:r>
        <w:rPr>
          <w:rFonts w:hint="default" w:ascii="宋体" w:hAnsi="宋体"/>
          <w:color w:val="auto"/>
          <w:lang w:val="en-US" w:eastAsia="zh-CN"/>
        </w:rPr>
        <w:t>GB 37487</w:t>
      </w:r>
      <w:r>
        <w:rPr>
          <w:rFonts w:hint="eastAsia" w:ascii="宋体" w:hAnsi="宋体"/>
          <w:color w:val="auto"/>
          <w:lang w:val="en-US" w:eastAsia="zh-CN"/>
        </w:rPr>
        <w:t xml:space="preserve">  公共场所卫生管理规范</w:t>
      </w:r>
    </w:p>
    <w:p w14:paraId="6487C7FC">
      <w:pPr>
        <w:ind w:firstLine="420" w:firstLineChars="200"/>
        <w:rPr>
          <w:rFonts w:hint="eastAsia" w:ascii="宋体" w:hAnsi="宋体"/>
          <w:color w:val="auto"/>
          <w:lang w:val="en-US" w:eastAsia="zh-CN"/>
        </w:rPr>
      </w:pPr>
      <w:r>
        <w:rPr>
          <w:rFonts w:hint="default" w:ascii="宋体" w:hAnsi="宋体"/>
          <w:color w:val="auto"/>
          <w:lang w:val="en-US" w:eastAsia="zh-CN"/>
        </w:rPr>
        <w:t>GB 40160</w:t>
      </w:r>
      <w:r>
        <w:rPr>
          <w:rFonts w:hint="eastAsia" w:ascii="宋体" w:hAnsi="宋体"/>
          <w:color w:val="auto"/>
          <w:lang w:val="en-US" w:eastAsia="zh-CN"/>
        </w:rPr>
        <w:t xml:space="preserve">  升降工作平台安全规则</w:t>
      </w:r>
    </w:p>
    <w:p w14:paraId="516B4FB1">
      <w:pPr>
        <w:ind w:firstLine="420" w:firstLineChars="200"/>
        <w:rPr>
          <w:rFonts w:hint="eastAsia" w:ascii="宋体" w:hAnsi="宋体"/>
          <w:color w:val="auto"/>
          <w:lang w:val="en-US" w:eastAsia="zh-CN"/>
        </w:rPr>
      </w:pPr>
      <w:r>
        <w:rPr>
          <w:rFonts w:hint="default" w:ascii="宋体" w:hAnsi="宋体"/>
          <w:color w:val="auto"/>
          <w:lang w:val="en-US" w:eastAsia="zh-CN"/>
        </w:rPr>
        <w:t>GB/T 40248</w:t>
      </w:r>
      <w:r>
        <w:rPr>
          <w:rFonts w:hint="eastAsia" w:ascii="宋体" w:hAnsi="宋体"/>
          <w:color w:val="auto"/>
          <w:lang w:val="en-US" w:eastAsia="zh-CN"/>
        </w:rPr>
        <w:t xml:space="preserve">  人员密集场所消防安全管理</w:t>
      </w:r>
    </w:p>
    <w:p w14:paraId="0AB286B1">
      <w:pPr>
        <w:ind w:firstLine="420" w:firstLineChars="200"/>
        <w:rPr>
          <w:rFonts w:hint="eastAsia" w:ascii="宋体" w:hAnsi="宋体"/>
          <w:color w:val="auto"/>
          <w:lang w:val="en-US" w:eastAsia="zh-CN"/>
        </w:rPr>
      </w:pPr>
      <w:r>
        <w:rPr>
          <w:rFonts w:hint="default" w:ascii="宋体" w:hAnsi="宋体"/>
          <w:color w:val="auto"/>
          <w:lang w:val="en-US" w:eastAsia="zh-CN"/>
        </w:rPr>
        <w:t>GB 41097</w:t>
      </w:r>
      <w:r>
        <w:rPr>
          <w:rFonts w:hint="eastAsia" w:ascii="宋体" w:hAnsi="宋体"/>
          <w:color w:val="auto"/>
          <w:lang w:val="en-US" w:eastAsia="zh-CN"/>
        </w:rPr>
        <w:t xml:space="preserve">  非公路用旅游观光车辆使用管理</w:t>
      </w:r>
    </w:p>
    <w:p w14:paraId="4E7F9AC8">
      <w:pPr>
        <w:ind w:firstLine="420" w:firstLineChars="200"/>
        <w:rPr>
          <w:rFonts w:hint="eastAsia" w:ascii="宋体" w:hAnsi="宋体"/>
          <w:color w:val="auto"/>
          <w:lang w:val="en-US" w:eastAsia="zh-CN"/>
        </w:rPr>
      </w:pPr>
      <w:r>
        <w:rPr>
          <w:rFonts w:hint="default" w:ascii="宋体" w:hAnsi="宋体"/>
          <w:color w:val="auto"/>
          <w:lang w:val="en-US" w:eastAsia="zh-CN"/>
        </w:rPr>
        <w:t>GB 50016</w:t>
      </w:r>
      <w:r>
        <w:rPr>
          <w:rFonts w:hint="eastAsia" w:ascii="宋体" w:hAnsi="宋体"/>
          <w:color w:val="auto"/>
          <w:lang w:val="en-US" w:eastAsia="zh-CN"/>
        </w:rPr>
        <w:t xml:space="preserve">  建筑设计防火规范(2018年版)</w:t>
      </w:r>
    </w:p>
    <w:p w14:paraId="74BC95F8">
      <w:pPr>
        <w:ind w:firstLine="420" w:firstLineChars="200"/>
        <w:rPr>
          <w:rFonts w:hint="eastAsia" w:ascii="宋体" w:hAnsi="宋体"/>
          <w:color w:val="auto"/>
          <w:lang w:val="en-US" w:eastAsia="zh-CN"/>
        </w:rPr>
      </w:pPr>
      <w:r>
        <w:rPr>
          <w:rFonts w:hint="default" w:ascii="宋体" w:hAnsi="宋体"/>
          <w:color w:val="auto"/>
          <w:lang w:val="en-US" w:eastAsia="zh-CN"/>
        </w:rPr>
        <w:t>GB 50028</w:t>
      </w:r>
      <w:r>
        <w:rPr>
          <w:rFonts w:hint="eastAsia" w:ascii="宋体" w:hAnsi="宋体"/>
          <w:color w:val="auto"/>
          <w:lang w:val="en-US" w:eastAsia="zh-CN"/>
        </w:rPr>
        <w:t xml:space="preserve">  城镇燃气设计规范(2020版)</w:t>
      </w:r>
    </w:p>
    <w:p w14:paraId="1A8F62D4">
      <w:pPr>
        <w:ind w:firstLine="420" w:firstLineChars="200"/>
        <w:rPr>
          <w:rFonts w:hint="eastAsia" w:ascii="宋体" w:hAnsi="宋体"/>
          <w:color w:val="auto"/>
          <w:lang w:val="en-US" w:eastAsia="zh-CN"/>
        </w:rPr>
      </w:pPr>
      <w:r>
        <w:rPr>
          <w:rFonts w:hint="default" w:ascii="宋体" w:hAnsi="宋体"/>
          <w:color w:val="auto"/>
          <w:lang w:val="en-US" w:eastAsia="zh-CN"/>
        </w:rPr>
        <w:t>GB 50057</w:t>
      </w:r>
      <w:r>
        <w:rPr>
          <w:rFonts w:hint="eastAsia" w:ascii="宋体" w:hAnsi="宋体"/>
          <w:color w:val="auto"/>
          <w:lang w:val="en-US" w:eastAsia="zh-CN"/>
        </w:rPr>
        <w:t xml:space="preserve">  建筑物防雷设计规范</w:t>
      </w:r>
    </w:p>
    <w:p w14:paraId="48F21D20">
      <w:pPr>
        <w:ind w:firstLine="420" w:firstLineChars="200"/>
        <w:rPr>
          <w:rFonts w:hint="eastAsia" w:ascii="宋体" w:hAnsi="宋体"/>
          <w:color w:val="auto"/>
          <w:lang w:val="en-US" w:eastAsia="zh-CN"/>
        </w:rPr>
      </w:pPr>
      <w:r>
        <w:rPr>
          <w:rFonts w:hint="default" w:ascii="宋体" w:hAnsi="宋体"/>
          <w:color w:val="auto"/>
          <w:lang w:val="en-US" w:eastAsia="zh-CN"/>
        </w:rPr>
        <w:t>GB 50067</w:t>
      </w:r>
      <w:r>
        <w:rPr>
          <w:rFonts w:hint="eastAsia" w:ascii="宋体" w:hAnsi="宋体"/>
          <w:color w:val="auto"/>
          <w:lang w:val="en-US" w:eastAsia="zh-CN"/>
        </w:rPr>
        <w:t xml:space="preserve">  汽车库、修车库、停车场设计防火规范</w:t>
      </w:r>
    </w:p>
    <w:p w14:paraId="414D2CD5">
      <w:pPr>
        <w:ind w:firstLine="420" w:firstLineChars="200"/>
        <w:rPr>
          <w:rFonts w:hint="eastAsia" w:ascii="宋体" w:hAnsi="宋体"/>
          <w:color w:val="auto"/>
          <w:lang w:val="en-US" w:eastAsia="zh-CN"/>
        </w:rPr>
      </w:pPr>
      <w:r>
        <w:rPr>
          <w:rFonts w:hint="default" w:ascii="宋体" w:hAnsi="宋体"/>
          <w:color w:val="auto"/>
          <w:lang w:val="en-US" w:eastAsia="zh-CN"/>
        </w:rPr>
        <w:t>GB 50365</w:t>
      </w:r>
      <w:r>
        <w:rPr>
          <w:rFonts w:hint="eastAsia" w:ascii="宋体" w:hAnsi="宋体"/>
          <w:color w:val="auto"/>
          <w:lang w:val="en-US" w:eastAsia="zh-CN"/>
        </w:rPr>
        <w:t xml:space="preserve">  空调通风系统运行管理标准</w:t>
      </w:r>
    </w:p>
    <w:p w14:paraId="6B64282A">
      <w:pPr>
        <w:ind w:firstLine="420" w:firstLineChars="200"/>
        <w:rPr>
          <w:rFonts w:hint="eastAsia" w:ascii="宋体" w:hAnsi="宋体"/>
          <w:color w:val="auto"/>
          <w:lang w:val="en-US" w:eastAsia="zh-CN"/>
        </w:rPr>
      </w:pPr>
      <w:r>
        <w:rPr>
          <w:rFonts w:hint="default" w:ascii="宋体" w:hAnsi="宋体"/>
          <w:color w:val="auto"/>
          <w:lang w:val="en-US" w:eastAsia="zh-CN"/>
        </w:rPr>
        <w:t>GB 50617</w:t>
      </w:r>
      <w:r>
        <w:rPr>
          <w:rFonts w:hint="eastAsia" w:ascii="宋体" w:hAnsi="宋体"/>
          <w:color w:val="auto"/>
          <w:lang w:val="en-US" w:eastAsia="zh-CN"/>
        </w:rPr>
        <w:t xml:space="preserve">  建筑电气照明装置施工与验收规范</w:t>
      </w:r>
    </w:p>
    <w:p w14:paraId="78E15183">
      <w:pPr>
        <w:ind w:firstLine="420" w:firstLineChars="200"/>
        <w:rPr>
          <w:rFonts w:hint="eastAsia" w:ascii="宋体" w:hAnsi="宋体"/>
          <w:color w:val="auto"/>
          <w:lang w:val="en-US" w:eastAsia="zh-CN"/>
        </w:rPr>
      </w:pPr>
      <w:r>
        <w:rPr>
          <w:rFonts w:hint="default" w:ascii="宋体" w:hAnsi="宋体"/>
          <w:color w:val="auto"/>
          <w:lang w:val="en-US" w:eastAsia="zh-CN"/>
        </w:rPr>
        <w:t>GB 51192</w:t>
      </w:r>
      <w:r>
        <w:rPr>
          <w:rFonts w:hint="eastAsia" w:ascii="宋体" w:hAnsi="宋体"/>
          <w:color w:val="auto"/>
          <w:lang w:val="en-US" w:eastAsia="zh-CN"/>
        </w:rPr>
        <w:t xml:space="preserve">  公园设计规范</w:t>
      </w:r>
    </w:p>
    <w:p w14:paraId="5CA7C901">
      <w:pPr>
        <w:ind w:firstLine="420" w:firstLineChars="200"/>
        <w:rPr>
          <w:rFonts w:hint="eastAsia" w:ascii="宋体" w:hAnsi="宋体"/>
          <w:color w:val="auto"/>
          <w:lang w:val="en-US" w:eastAsia="zh-CN"/>
        </w:rPr>
      </w:pPr>
      <w:r>
        <w:rPr>
          <w:rFonts w:hint="default" w:ascii="宋体" w:hAnsi="宋体"/>
          <w:color w:val="auto"/>
          <w:lang w:val="en-US" w:eastAsia="zh-CN"/>
        </w:rPr>
        <w:t>GB 51348</w:t>
      </w:r>
      <w:r>
        <w:rPr>
          <w:rFonts w:hint="eastAsia" w:ascii="宋体" w:hAnsi="宋体"/>
          <w:color w:val="auto"/>
          <w:lang w:val="en-US" w:eastAsia="zh-CN"/>
        </w:rPr>
        <w:t xml:space="preserve">  民用建筑电气设计标准</w:t>
      </w:r>
    </w:p>
    <w:p w14:paraId="3A1E8594">
      <w:pPr>
        <w:ind w:firstLine="420" w:firstLineChars="200"/>
        <w:rPr>
          <w:rFonts w:hint="eastAsia" w:ascii="宋体" w:hAnsi="宋体"/>
          <w:color w:val="auto"/>
          <w:lang w:val="en-US" w:eastAsia="zh-CN"/>
        </w:rPr>
      </w:pPr>
      <w:r>
        <w:rPr>
          <w:rFonts w:hint="default" w:ascii="宋体" w:hAnsi="宋体"/>
          <w:color w:val="auto"/>
          <w:lang w:val="en-US" w:eastAsia="zh-CN"/>
        </w:rPr>
        <w:t>GB 55024</w:t>
      </w:r>
      <w:r>
        <w:rPr>
          <w:rFonts w:hint="eastAsia" w:ascii="宋体" w:hAnsi="宋体"/>
          <w:color w:val="auto"/>
          <w:lang w:val="en-US" w:eastAsia="zh-CN"/>
        </w:rPr>
        <w:t xml:space="preserve">  建筑电气与智能化通用规范</w:t>
      </w:r>
    </w:p>
    <w:p w14:paraId="2F8D8772">
      <w:pPr>
        <w:ind w:firstLine="420" w:firstLineChars="200"/>
        <w:rPr>
          <w:rFonts w:hint="eastAsia" w:ascii="宋体" w:hAnsi="宋体"/>
          <w:color w:val="auto"/>
          <w:lang w:val="en-US" w:eastAsia="zh-CN"/>
        </w:rPr>
      </w:pPr>
      <w:r>
        <w:rPr>
          <w:rFonts w:hint="default" w:ascii="宋体" w:hAnsi="宋体"/>
          <w:color w:val="auto"/>
          <w:lang w:val="en-US" w:eastAsia="zh-CN"/>
        </w:rPr>
        <w:t>GB 55036</w:t>
      </w:r>
      <w:r>
        <w:rPr>
          <w:rFonts w:hint="eastAsia" w:ascii="宋体" w:hAnsi="宋体"/>
          <w:color w:val="auto"/>
          <w:lang w:val="en-US" w:eastAsia="zh-CN"/>
        </w:rPr>
        <w:t xml:space="preserve">  消防设施通用规范</w:t>
      </w:r>
    </w:p>
    <w:p w14:paraId="43A126B2">
      <w:pPr>
        <w:ind w:firstLine="420" w:firstLineChars="200"/>
        <w:rPr>
          <w:rFonts w:hint="eastAsia" w:ascii="宋体" w:hAnsi="宋体"/>
          <w:color w:val="auto"/>
          <w:lang w:val="en-US" w:eastAsia="zh-CN"/>
        </w:rPr>
      </w:pPr>
      <w:r>
        <w:rPr>
          <w:rFonts w:hint="default" w:ascii="宋体" w:hAnsi="宋体"/>
          <w:color w:val="auto"/>
          <w:lang w:val="en-US" w:eastAsia="zh-CN"/>
        </w:rPr>
        <w:t>GB 55037</w:t>
      </w:r>
      <w:r>
        <w:rPr>
          <w:rFonts w:hint="eastAsia" w:ascii="宋体" w:hAnsi="宋体"/>
          <w:color w:val="auto"/>
          <w:lang w:val="en-US" w:eastAsia="zh-CN"/>
        </w:rPr>
        <w:t xml:space="preserve">  建筑防火通用规范</w:t>
      </w:r>
    </w:p>
    <w:p w14:paraId="0CC2558A">
      <w:pPr>
        <w:ind w:firstLine="420" w:firstLineChars="200"/>
        <w:rPr>
          <w:rFonts w:hint="eastAsia" w:ascii="宋体" w:hAnsi="宋体"/>
          <w:color w:val="auto"/>
          <w:lang w:val="en-US" w:eastAsia="zh-CN"/>
        </w:rPr>
      </w:pPr>
      <w:r>
        <w:rPr>
          <w:rFonts w:hint="default" w:ascii="宋体" w:hAnsi="宋体"/>
          <w:color w:val="auto"/>
          <w:lang w:val="en-US" w:eastAsia="zh-CN"/>
        </w:rPr>
        <w:t>CJJ/T 146</w:t>
      </w:r>
      <w:r>
        <w:rPr>
          <w:rFonts w:hint="eastAsia" w:ascii="宋体" w:hAnsi="宋体"/>
          <w:color w:val="auto"/>
          <w:lang w:val="en-US" w:eastAsia="zh-CN"/>
        </w:rPr>
        <w:t xml:space="preserve"> 城镇燃气报警控制系统技术规程</w:t>
      </w:r>
    </w:p>
    <w:p w14:paraId="426E6536">
      <w:pPr>
        <w:ind w:firstLine="420" w:firstLineChars="200"/>
        <w:rPr>
          <w:rFonts w:hint="eastAsia" w:ascii="宋体" w:hAnsi="宋体"/>
          <w:color w:val="auto"/>
          <w:lang w:val="en-US" w:eastAsia="zh-CN"/>
        </w:rPr>
      </w:pPr>
      <w:r>
        <w:rPr>
          <w:rFonts w:hint="default" w:ascii="宋体" w:hAnsi="宋体"/>
          <w:color w:val="auto"/>
          <w:lang w:val="en-US" w:eastAsia="zh-CN"/>
        </w:rPr>
        <w:t>JGJ 46</w:t>
      </w:r>
      <w:r>
        <w:rPr>
          <w:rFonts w:hint="eastAsia" w:ascii="宋体" w:hAnsi="宋体"/>
          <w:color w:val="auto"/>
          <w:lang w:val="en-US" w:eastAsia="zh-CN"/>
        </w:rPr>
        <w:t xml:space="preserve">  施工现场临时用电安全技术规范</w:t>
      </w:r>
    </w:p>
    <w:p w14:paraId="198DDB20">
      <w:pPr>
        <w:ind w:firstLine="420" w:firstLineChars="200"/>
        <w:rPr>
          <w:rFonts w:hint="eastAsia" w:ascii="宋体" w:hAnsi="宋体"/>
          <w:color w:val="auto"/>
          <w:lang w:val="en-US" w:eastAsia="zh-CN"/>
        </w:rPr>
      </w:pPr>
      <w:r>
        <w:rPr>
          <w:rFonts w:hint="default" w:ascii="宋体" w:hAnsi="宋体"/>
          <w:color w:val="auto"/>
          <w:lang w:val="en-US" w:eastAsia="zh-CN"/>
        </w:rPr>
        <w:t>LB/T 046</w:t>
      </w:r>
      <w:r>
        <w:rPr>
          <w:rFonts w:hint="eastAsia" w:ascii="宋体" w:hAnsi="宋体"/>
          <w:color w:val="auto"/>
          <w:lang w:val="en-US" w:eastAsia="zh-CN"/>
        </w:rPr>
        <w:t xml:space="preserve">  温泉旅游服务质量规范</w:t>
      </w:r>
    </w:p>
    <w:p w14:paraId="2B7AE86C">
      <w:pPr>
        <w:ind w:firstLine="420" w:firstLineChars="200"/>
        <w:rPr>
          <w:rFonts w:hint="eastAsia" w:ascii="宋体" w:hAnsi="宋体"/>
          <w:color w:val="auto"/>
          <w:lang w:val="en-US" w:eastAsia="zh-CN"/>
        </w:rPr>
      </w:pPr>
      <w:r>
        <w:rPr>
          <w:rFonts w:hint="default" w:ascii="宋体" w:hAnsi="宋体"/>
          <w:color w:val="auto"/>
          <w:lang w:val="en-US" w:eastAsia="zh-CN"/>
        </w:rPr>
        <w:t>NY/T 1276</w:t>
      </w:r>
      <w:r>
        <w:rPr>
          <w:rFonts w:hint="eastAsia" w:ascii="宋体" w:hAnsi="宋体"/>
          <w:color w:val="auto"/>
          <w:lang w:val="en-US" w:eastAsia="zh-CN"/>
        </w:rPr>
        <w:t xml:space="preserve">  农药安全使用规范总则</w:t>
      </w:r>
    </w:p>
    <w:p w14:paraId="793A9E21">
      <w:pPr>
        <w:ind w:firstLine="420" w:firstLineChars="200"/>
        <w:rPr>
          <w:rFonts w:hint="eastAsia" w:ascii="宋体" w:hAnsi="宋体"/>
          <w:color w:val="auto"/>
          <w:lang w:val="en-US" w:eastAsia="zh-CN"/>
        </w:rPr>
      </w:pPr>
      <w:r>
        <w:rPr>
          <w:rFonts w:hint="default" w:ascii="宋体" w:hAnsi="宋体"/>
          <w:color w:val="auto"/>
          <w:lang w:val="en-US" w:eastAsia="zh-CN"/>
        </w:rPr>
        <w:t>DB11/T 065</w:t>
      </w:r>
      <w:r>
        <w:rPr>
          <w:rFonts w:hint="eastAsia" w:ascii="宋体" w:hAnsi="宋体"/>
          <w:color w:val="auto"/>
          <w:lang w:val="en-US" w:eastAsia="zh-CN"/>
        </w:rPr>
        <w:t xml:space="preserve">  电气防火检测技术规范</w:t>
      </w:r>
    </w:p>
    <w:p w14:paraId="33630240">
      <w:pPr>
        <w:ind w:firstLine="420" w:firstLineChars="200"/>
        <w:rPr>
          <w:rFonts w:hint="eastAsia" w:ascii="宋体" w:hAnsi="宋体"/>
          <w:color w:val="auto"/>
          <w:lang w:val="en-US" w:eastAsia="zh-CN"/>
        </w:rPr>
      </w:pPr>
      <w:r>
        <w:rPr>
          <w:rFonts w:hint="default" w:ascii="宋体" w:hAnsi="宋体"/>
          <w:color w:val="auto"/>
          <w:lang w:val="en-US" w:eastAsia="zh-CN"/>
        </w:rPr>
        <w:t>DB11/T 418</w:t>
      </w:r>
      <w:r>
        <w:rPr>
          <w:rFonts w:hint="eastAsia" w:ascii="宋体" w:hAnsi="宋体"/>
          <w:color w:val="auto"/>
          <w:lang w:val="en-US" w:eastAsia="zh-CN"/>
        </w:rPr>
        <w:t xml:space="preserve">  电梯日常维护保养规则</w:t>
      </w:r>
    </w:p>
    <w:p w14:paraId="10DA420D">
      <w:pPr>
        <w:ind w:firstLine="420" w:firstLineChars="200"/>
        <w:rPr>
          <w:rFonts w:hint="eastAsia" w:ascii="宋体" w:hAnsi="宋体"/>
          <w:color w:val="auto"/>
          <w:lang w:val="en-US" w:eastAsia="zh-CN"/>
        </w:rPr>
      </w:pPr>
      <w:r>
        <w:rPr>
          <w:rFonts w:hint="default" w:ascii="宋体" w:hAnsi="宋体"/>
          <w:color w:val="auto"/>
          <w:lang w:val="en-US" w:eastAsia="zh-CN"/>
        </w:rPr>
        <w:t>DB11/T 450</w:t>
      </w:r>
      <w:r>
        <w:rPr>
          <w:rFonts w:hint="eastAsia" w:ascii="宋体" w:hAnsi="宋体"/>
          <w:color w:val="auto"/>
          <w:lang w:val="en-US" w:eastAsia="zh-CN"/>
        </w:rPr>
        <w:t xml:space="preserve">  餐饮服务单位使用瓶装液化石油气安全条件</w:t>
      </w:r>
    </w:p>
    <w:p w14:paraId="46516DDE">
      <w:pPr>
        <w:ind w:firstLine="420" w:firstLineChars="200"/>
        <w:rPr>
          <w:rFonts w:hint="eastAsia" w:ascii="宋体" w:hAnsi="宋体"/>
          <w:color w:val="auto"/>
          <w:lang w:val="en-US" w:eastAsia="zh-CN"/>
        </w:rPr>
      </w:pPr>
      <w:r>
        <w:rPr>
          <w:rFonts w:hint="default" w:ascii="宋体" w:hAnsi="宋体"/>
          <w:color w:val="auto"/>
          <w:lang w:val="en-US" w:eastAsia="zh-CN"/>
        </w:rPr>
        <w:t>DB11/T 527</w:t>
      </w:r>
      <w:r>
        <w:rPr>
          <w:rFonts w:hint="eastAsia" w:ascii="宋体" w:hAnsi="宋体"/>
          <w:color w:val="auto"/>
          <w:lang w:val="en-US" w:eastAsia="zh-CN"/>
        </w:rPr>
        <w:t xml:space="preserve">  配电室安全管理规范</w:t>
      </w:r>
    </w:p>
    <w:p w14:paraId="21351A68">
      <w:pPr>
        <w:ind w:firstLine="420" w:firstLineChars="200"/>
        <w:rPr>
          <w:rFonts w:hint="eastAsia" w:ascii="宋体" w:hAnsi="宋体"/>
          <w:color w:val="auto"/>
          <w:lang w:val="en-US" w:eastAsia="zh-CN"/>
        </w:rPr>
      </w:pPr>
      <w:r>
        <w:rPr>
          <w:rFonts w:hint="default" w:ascii="宋体" w:hAnsi="宋体"/>
          <w:color w:val="auto"/>
          <w:lang w:val="en-US" w:eastAsia="zh-CN"/>
        </w:rPr>
        <w:t>DB11/T 596</w:t>
      </w:r>
      <w:r>
        <w:rPr>
          <w:rFonts w:hint="eastAsia" w:ascii="宋体" w:hAnsi="宋体"/>
          <w:color w:val="auto"/>
          <w:lang w:val="en-US" w:eastAsia="zh-CN"/>
        </w:rPr>
        <w:t xml:space="preserve">  公园绿地改造技术规范</w:t>
      </w:r>
    </w:p>
    <w:p w14:paraId="77446C2A">
      <w:pPr>
        <w:ind w:firstLine="420" w:firstLineChars="200"/>
        <w:rPr>
          <w:rFonts w:hint="eastAsia" w:ascii="宋体" w:hAnsi="宋体"/>
          <w:color w:val="auto"/>
          <w:lang w:val="en-US" w:eastAsia="zh-CN"/>
        </w:rPr>
      </w:pPr>
      <w:r>
        <w:rPr>
          <w:rFonts w:hint="default" w:ascii="宋体" w:hAnsi="宋体"/>
          <w:color w:val="auto"/>
          <w:lang w:val="en-US" w:eastAsia="zh-CN"/>
        </w:rPr>
        <w:t>DB11/T 760</w:t>
      </w:r>
      <w:r>
        <w:rPr>
          <w:rFonts w:hint="eastAsia" w:ascii="宋体" w:hAnsi="宋体"/>
          <w:color w:val="auto"/>
          <w:lang w:val="en-US" w:eastAsia="zh-CN"/>
        </w:rPr>
        <w:t xml:space="preserve">  供热燃气热水锅炉运行技术规程</w:t>
      </w:r>
    </w:p>
    <w:p w14:paraId="45C0823C">
      <w:pPr>
        <w:ind w:firstLine="420" w:firstLineChars="200"/>
        <w:rPr>
          <w:rFonts w:hint="eastAsia" w:ascii="宋体" w:hAnsi="宋体"/>
          <w:color w:val="auto"/>
          <w:lang w:val="en-US" w:eastAsia="zh-CN"/>
        </w:rPr>
      </w:pPr>
      <w:r>
        <w:rPr>
          <w:rFonts w:hint="default" w:ascii="宋体" w:hAnsi="宋体"/>
          <w:color w:val="auto"/>
          <w:lang w:val="en-US" w:eastAsia="zh-CN"/>
        </w:rPr>
        <w:t>DB11/T 767</w:t>
      </w:r>
      <w:r>
        <w:rPr>
          <w:rFonts w:hint="eastAsia" w:ascii="宋体" w:hAnsi="宋体"/>
          <w:color w:val="auto"/>
          <w:lang w:val="en-US" w:eastAsia="zh-CN"/>
        </w:rPr>
        <w:t xml:space="preserve">  古树名木日常养护管理规范</w:t>
      </w:r>
    </w:p>
    <w:p w14:paraId="3328D70A">
      <w:pPr>
        <w:ind w:firstLine="420" w:firstLineChars="200"/>
        <w:rPr>
          <w:rFonts w:hint="default" w:ascii="宋体" w:hAnsi="宋体"/>
          <w:color w:val="auto"/>
          <w:lang w:val="en-US" w:eastAsia="zh-CN"/>
        </w:rPr>
      </w:pPr>
      <w:r>
        <w:rPr>
          <w:rFonts w:hint="eastAsia" w:ascii="宋体" w:hAnsi="宋体"/>
          <w:color w:val="auto"/>
          <w:lang w:val="en-US" w:eastAsia="zh-CN"/>
        </w:rPr>
        <w:t>DB11/</w:t>
      </w:r>
      <w:r>
        <w:rPr>
          <w:rFonts w:hint="default" w:ascii="宋体" w:hAnsi="宋体"/>
          <w:color w:val="auto"/>
          <w:lang w:val="en-US" w:eastAsia="zh-CN"/>
        </w:rPr>
        <w:t>T</w:t>
      </w:r>
      <w:r>
        <w:rPr>
          <w:rFonts w:hint="eastAsia" w:ascii="宋体" w:hAnsi="宋体"/>
          <w:color w:val="auto"/>
          <w:lang w:val="en-US" w:eastAsia="zh-CN"/>
        </w:rPr>
        <w:t xml:space="preserve"> 791  文物建筑消防设施设置规范</w:t>
      </w:r>
    </w:p>
    <w:p w14:paraId="6CF81E6C">
      <w:pPr>
        <w:ind w:firstLine="420" w:firstLineChars="200"/>
        <w:rPr>
          <w:rFonts w:hint="eastAsia" w:ascii="宋体" w:hAnsi="宋体"/>
          <w:color w:val="auto"/>
          <w:lang w:val="en-US" w:eastAsia="zh-CN"/>
        </w:rPr>
      </w:pPr>
      <w:r>
        <w:rPr>
          <w:rFonts w:hint="default" w:ascii="宋体" w:hAnsi="宋体"/>
          <w:color w:val="auto"/>
          <w:lang w:val="en-US" w:eastAsia="zh-CN"/>
        </w:rPr>
        <w:t>DB11/T 852</w:t>
      </w:r>
      <w:r>
        <w:rPr>
          <w:rFonts w:hint="eastAsia" w:ascii="宋体" w:hAnsi="宋体"/>
          <w:color w:val="auto"/>
          <w:lang w:val="en-US" w:eastAsia="zh-CN"/>
        </w:rPr>
        <w:t xml:space="preserve">  有限空间作业安全技术规范</w:t>
      </w:r>
    </w:p>
    <w:p w14:paraId="5091D45B">
      <w:pPr>
        <w:ind w:firstLine="420" w:firstLineChars="200"/>
        <w:rPr>
          <w:rFonts w:hint="eastAsia" w:ascii="宋体" w:hAnsi="宋体"/>
          <w:color w:val="auto"/>
          <w:lang w:val="en-US" w:eastAsia="zh-CN"/>
        </w:rPr>
      </w:pPr>
      <w:r>
        <w:rPr>
          <w:rFonts w:hint="default" w:ascii="宋体" w:hAnsi="宋体"/>
          <w:color w:val="auto"/>
          <w:lang w:val="en-US" w:eastAsia="zh-CN"/>
        </w:rPr>
        <w:t>DB11/T 875</w:t>
      </w:r>
      <w:r>
        <w:rPr>
          <w:rFonts w:hint="eastAsia" w:ascii="宋体" w:hAnsi="宋体"/>
          <w:color w:val="auto"/>
          <w:lang w:val="en-US" w:eastAsia="zh-CN"/>
        </w:rPr>
        <w:t xml:space="preserve">  体育场所安全运营管理规范 滑雪场所</w:t>
      </w:r>
    </w:p>
    <w:p w14:paraId="5E2E1B56">
      <w:pPr>
        <w:ind w:firstLine="420" w:firstLineChars="200"/>
        <w:rPr>
          <w:rFonts w:hint="eastAsia" w:ascii="宋体" w:hAnsi="宋体"/>
          <w:color w:val="auto"/>
          <w:lang w:val="en-US" w:eastAsia="zh-CN"/>
        </w:rPr>
      </w:pPr>
      <w:r>
        <w:rPr>
          <w:rFonts w:hint="default" w:ascii="宋体" w:hAnsi="宋体"/>
          <w:color w:val="auto"/>
          <w:lang w:val="en-US" w:eastAsia="zh-CN"/>
        </w:rPr>
        <w:t>DB11/T 1216</w:t>
      </w:r>
      <w:r>
        <w:rPr>
          <w:rFonts w:hint="eastAsia" w:ascii="宋体" w:hAnsi="宋体"/>
          <w:color w:val="auto"/>
          <w:lang w:val="en-US" w:eastAsia="zh-CN"/>
        </w:rPr>
        <w:t xml:space="preserve">  旅游饭店温泉设施与服务规范</w:t>
      </w:r>
    </w:p>
    <w:p w14:paraId="77B57707">
      <w:pPr>
        <w:ind w:firstLine="420" w:firstLineChars="200"/>
        <w:rPr>
          <w:rFonts w:hint="eastAsia" w:ascii="宋体" w:hAnsi="宋体"/>
          <w:lang w:val="en-US" w:eastAsia="zh-CN"/>
        </w:rPr>
      </w:pPr>
      <w:r>
        <w:rPr>
          <w:rFonts w:hint="default" w:ascii="宋体" w:hAnsi="宋体"/>
          <w:color w:val="auto"/>
          <w:lang w:val="en-US" w:eastAsia="zh-CN"/>
        </w:rPr>
        <w:t>DB11/T 1218</w:t>
      </w:r>
      <w:r>
        <w:rPr>
          <w:rFonts w:hint="eastAsia" w:ascii="宋体" w:hAnsi="宋体"/>
          <w:color w:val="auto"/>
          <w:lang w:val="en-US" w:eastAsia="zh-CN"/>
        </w:rPr>
        <w:t xml:space="preserve">  体育场所安全运营管理规范 游泳场所</w:t>
      </w:r>
    </w:p>
    <w:p w14:paraId="06B700D1">
      <w:pPr>
        <w:ind w:firstLine="420" w:firstLineChars="200"/>
        <w:rPr>
          <w:rFonts w:hint="eastAsia" w:ascii="宋体" w:hAnsi="宋体"/>
          <w:color w:val="auto"/>
          <w:lang w:val="en-US" w:eastAsia="zh-CN"/>
        </w:rPr>
      </w:pPr>
      <w:r>
        <w:rPr>
          <w:rFonts w:hint="eastAsia" w:ascii="宋体" w:hAnsi="宋体"/>
          <w:color w:val="auto"/>
          <w:lang w:val="en-US" w:eastAsia="zh-CN"/>
        </w:rPr>
        <w:t>DB11/T 1322.1  安全生产等级评定技术规范 第1部分：总则</w:t>
      </w:r>
    </w:p>
    <w:p w14:paraId="7F6D8CFB">
      <w:pPr>
        <w:ind w:firstLine="420" w:firstLineChars="200"/>
        <w:rPr>
          <w:rFonts w:hint="eastAsia" w:ascii="宋体" w:hAnsi="宋体"/>
          <w:color w:val="auto"/>
          <w:highlight w:val="none"/>
          <w:lang w:val="en-US" w:eastAsia="zh-CN"/>
        </w:rPr>
      </w:pPr>
      <w:r>
        <w:rPr>
          <w:rFonts w:hint="default" w:ascii="宋体" w:hAnsi="宋体"/>
          <w:color w:val="auto"/>
          <w:highlight w:val="none"/>
          <w:lang w:val="en-US" w:eastAsia="zh-CN"/>
        </w:rPr>
        <w:t>DB11/T 1322.2</w:t>
      </w:r>
      <w:r>
        <w:rPr>
          <w:rFonts w:hint="eastAsia" w:ascii="宋体" w:hAnsi="宋体"/>
          <w:color w:val="auto"/>
          <w:highlight w:val="none"/>
          <w:lang w:val="en-US" w:eastAsia="zh-CN"/>
        </w:rPr>
        <w:t xml:space="preserve">  安全生产等级评定技术规范 第2部分：安全生产通用要求</w:t>
      </w:r>
    </w:p>
    <w:p w14:paraId="2B3326A7">
      <w:pPr>
        <w:ind w:firstLine="420" w:firstLineChars="200"/>
        <w:rPr>
          <w:rFonts w:hint="eastAsia" w:ascii="宋体" w:hAnsi="宋体"/>
          <w:color w:val="auto"/>
          <w:highlight w:val="green"/>
          <w:lang w:val="en-US" w:eastAsia="zh-CN"/>
        </w:rPr>
      </w:pPr>
      <w:r>
        <w:rPr>
          <w:rFonts w:hint="default" w:ascii="宋体" w:hAnsi="宋体"/>
          <w:color w:val="auto"/>
          <w:lang w:val="en-US" w:eastAsia="zh-CN"/>
        </w:rPr>
        <w:t>DB11/T 1322.</w:t>
      </w:r>
      <w:r>
        <w:rPr>
          <w:rFonts w:hint="eastAsia" w:ascii="宋体" w:hAnsi="宋体"/>
          <w:color w:val="auto"/>
          <w:lang w:val="en-US" w:eastAsia="zh-CN"/>
        </w:rPr>
        <w:t>55  安全生产等级评定技术规范 第55部分：攀岩场所</w:t>
      </w:r>
    </w:p>
    <w:p w14:paraId="76E6F6F2">
      <w:pPr>
        <w:ind w:firstLine="420" w:firstLineChars="200"/>
        <w:rPr>
          <w:rFonts w:hint="eastAsia" w:ascii="宋体" w:hAnsi="宋体"/>
          <w:color w:val="auto"/>
          <w:lang w:val="en-US" w:eastAsia="zh-CN"/>
        </w:rPr>
      </w:pPr>
      <w:r>
        <w:rPr>
          <w:rFonts w:hint="default" w:ascii="宋体" w:hAnsi="宋体"/>
          <w:color w:val="auto"/>
          <w:lang w:val="en-US" w:eastAsia="zh-CN"/>
        </w:rPr>
        <w:t>DB11/T 1382</w:t>
      </w:r>
      <w:r>
        <w:rPr>
          <w:rFonts w:hint="eastAsia" w:ascii="宋体" w:hAnsi="宋体"/>
          <w:color w:val="auto"/>
          <w:lang w:val="en-US" w:eastAsia="zh-CN"/>
        </w:rPr>
        <w:t xml:space="preserve">  空气源热泵系统应用技术规程</w:t>
      </w:r>
    </w:p>
    <w:p w14:paraId="33DCAAB9">
      <w:pPr>
        <w:ind w:firstLine="420" w:firstLineChars="200"/>
        <w:rPr>
          <w:rFonts w:hint="eastAsia" w:ascii="宋体" w:hAnsi="宋体"/>
          <w:color w:val="auto"/>
          <w:lang w:val="en-US" w:eastAsia="zh-CN"/>
        </w:rPr>
      </w:pPr>
      <w:r>
        <w:rPr>
          <w:rFonts w:hint="default" w:ascii="宋体" w:hAnsi="宋体"/>
          <w:color w:val="auto"/>
          <w:lang w:val="en-US" w:eastAsia="zh-CN"/>
        </w:rPr>
        <w:t>DB11/T 1430</w:t>
      </w:r>
      <w:r>
        <w:rPr>
          <w:rFonts w:hint="eastAsia" w:ascii="宋体" w:hAnsi="宋体"/>
          <w:color w:val="auto"/>
          <w:lang w:val="en-US" w:eastAsia="zh-CN"/>
        </w:rPr>
        <w:t xml:space="preserve">  古树名木雷电防护技术规范</w:t>
      </w:r>
    </w:p>
    <w:p w14:paraId="4C218592">
      <w:pPr>
        <w:ind w:firstLine="420" w:firstLineChars="200"/>
        <w:rPr>
          <w:rFonts w:hint="eastAsia" w:ascii="宋体" w:hAnsi="宋体"/>
          <w:color w:val="auto"/>
          <w:lang w:val="en-US" w:eastAsia="zh-CN"/>
        </w:rPr>
      </w:pPr>
      <w:r>
        <w:rPr>
          <w:rFonts w:hint="default" w:ascii="宋体" w:hAnsi="宋体"/>
          <w:color w:val="auto"/>
          <w:lang w:val="en-US" w:eastAsia="zh-CN"/>
        </w:rPr>
        <w:t>DB11/T 1455</w:t>
      </w:r>
      <w:r>
        <w:rPr>
          <w:rFonts w:hint="eastAsia" w:ascii="宋体" w:hAnsi="宋体"/>
          <w:color w:val="auto"/>
          <w:lang w:val="en-US" w:eastAsia="zh-CN"/>
        </w:rPr>
        <w:t xml:space="preserve">  电动汽车充电基础设施规划设计标准</w:t>
      </w:r>
    </w:p>
    <w:p w14:paraId="7297562A">
      <w:pPr>
        <w:ind w:firstLine="420" w:firstLineChars="200"/>
        <w:rPr>
          <w:rFonts w:hint="default" w:ascii="宋体" w:hAnsi="宋体"/>
          <w:color w:val="auto"/>
          <w:lang w:val="en-US" w:eastAsia="zh-CN"/>
        </w:rPr>
      </w:pPr>
      <w:r>
        <w:rPr>
          <w:rFonts w:hint="eastAsia" w:ascii="宋体" w:hAnsi="宋体" w:eastAsia="宋体" w:cs="Times New Roman"/>
          <w:color w:val="auto"/>
          <w:lang w:val="en-US" w:eastAsia="zh-CN"/>
        </w:rPr>
        <w:t>DB11/T 1478</w:t>
      </w:r>
      <w:r>
        <w:rPr>
          <w:rFonts w:hint="eastAsia" w:ascii="宋体" w:hAnsi="宋体" w:cs="Times New Roman"/>
          <w:color w:val="auto"/>
          <w:lang w:val="en-US" w:eastAsia="zh-CN"/>
        </w:rPr>
        <w:t xml:space="preserve">  生产经营单位安全生产风险评估规范</w:t>
      </w:r>
    </w:p>
    <w:p w14:paraId="6D4F4B6B">
      <w:pPr>
        <w:ind w:firstLine="420" w:firstLineChars="200"/>
        <w:rPr>
          <w:rFonts w:hint="eastAsia" w:ascii="宋体" w:hAnsi="宋体"/>
          <w:color w:val="auto"/>
          <w:lang w:val="en-US" w:eastAsia="zh-CN"/>
        </w:rPr>
      </w:pPr>
      <w:r>
        <w:rPr>
          <w:rFonts w:hint="default" w:ascii="宋体" w:hAnsi="宋体"/>
          <w:color w:val="auto"/>
          <w:lang w:val="en-US" w:eastAsia="zh-CN"/>
        </w:rPr>
        <w:t>DB11/ 1624</w:t>
      </w:r>
      <w:r>
        <w:rPr>
          <w:rFonts w:hint="eastAsia" w:ascii="宋体" w:hAnsi="宋体"/>
          <w:color w:val="auto"/>
          <w:lang w:val="en-US" w:eastAsia="zh-CN"/>
        </w:rPr>
        <w:t xml:space="preserve">  电动自行车停放场所防火设计标准</w:t>
      </w:r>
    </w:p>
    <w:p w14:paraId="44484231">
      <w:pPr>
        <w:ind w:firstLine="420" w:firstLineChars="200"/>
        <w:rPr>
          <w:rFonts w:hint="eastAsia" w:ascii="宋体" w:hAnsi="宋体"/>
          <w:color w:val="auto"/>
          <w:lang w:val="en-US" w:eastAsia="zh-CN"/>
        </w:rPr>
      </w:pPr>
      <w:r>
        <w:rPr>
          <w:rFonts w:hint="default" w:ascii="宋体" w:hAnsi="宋体"/>
          <w:color w:val="auto"/>
          <w:lang w:val="en-US" w:eastAsia="zh-CN"/>
        </w:rPr>
        <w:t>DB11/T 1756</w:t>
      </w:r>
      <w:r>
        <w:rPr>
          <w:rFonts w:hint="eastAsia" w:ascii="宋体" w:hAnsi="宋体"/>
          <w:color w:val="auto"/>
          <w:lang w:val="en-US" w:eastAsia="zh-CN"/>
        </w:rPr>
        <w:t xml:space="preserve">  体育场所安全运营管理规范 滑冰场所</w:t>
      </w:r>
    </w:p>
    <w:p w14:paraId="0D085D21">
      <w:pPr>
        <w:ind w:firstLine="420" w:firstLineChars="200"/>
        <w:rPr>
          <w:rFonts w:hint="eastAsia" w:ascii="宋体" w:hAnsi="宋体"/>
          <w:color w:val="auto"/>
          <w:lang w:val="en-US" w:eastAsia="zh-CN"/>
        </w:rPr>
      </w:pPr>
      <w:r>
        <w:rPr>
          <w:rFonts w:hint="default" w:ascii="宋体" w:hAnsi="宋体"/>
          <w:color w:val="auto"/>
          <w:lang w:val="en-US" w:eastAsia="zh-CN"/>
        </w:rPr>
        <w:t>DB11/T 1771</w:t>
      </w:r>
      <w:r>
        <w:rPr>
          <w:rFonts w:hint="eastAsia" w:ascii="宋体" w:hAnsi="宋体"/>
          <w:color w:val="auto"/>
          <w:lang w:val="en-US" w:eastAsia="zh-CN"/>
        </w:rPr>
        <w:t xml:space="preserve">  地源热泵系统运行技术规范</w:t>
      </w:r>
    </w:p>
    <w:p w14:paraId="42783712">
      <w:pPr>
        <w:ind w:firstLine="420" w:firstLineChars="200"/>
        <w:rPr>
          <w:rFonts w:hint="eastAsia" w:ascii="宋体" w:hAnsi="宋体"/>
          <w:color w:val="auto"/>
          <w:lang w:val="en-US" w:eastAsia="zh-CN"/>
        </w:rPr>
      </w:pPr>
      <w:r>
        <w:rPr>
          <w:rFonts w:hint="default" w:ascii="宋体" w:hAnsi="宋体"/>
          <w:color w:val="auto"/>
          <w:lang w:val="en-US" w:eastAsia="zh-CN"/>
        </w:rPr>
        <w:t>DB11/T 2104</w:t>
      </w:r>
      <w:r>
        <w:rPr>
          <w:rFonts w:hint="eastAsia" w:ascii="宋体" w:hAnsi="宋体"/>
          <w:color w:val="auto"/>
          <w:lang w:val="en-US" w:eastAsia="zh-CN"/>
        </w:rPr>
        <w:t xml:space="preserve">  消防控制室火警处置规范</w:t>
      </w:r>
    </w:p>
    <w:p w14:paraId="74033CBD">
      <w:pPr>
        <w:ind w:firstLine="420" w:firstLineChars="200"/>
        <w:rPr>
          <w:rFonts w:hint="eastAsia" w:ascii="宋体" w:hAnsi="宋体"/>
          <w:color w:val="auto"/>
          <w:lang w:val="en-US" w:eastAsia="zh-CN"/>
        </w:rPr>
      </w:pPr>
      <w:r>
        <w:rPr>
          <w:rFonts w:hint="default" w:ascii="宋体" w:hAnsi="宋体"/>
          <w:color w:val="auto"/>
          <w:lang w:val="en-US" w:eastAsia="zh-CN"/>
        </w:rPr>
        <w:t>DB11/T 3030</w:t>
      </w:r>
      <w:r>
        <w:rPr>
          <w:rFonts w:hint="eastAsia" w:ascii="宋体" w:hAnsi="宋体"/>
          <w:color w:val="auto"/>
          <w:lang w:val="en-US" w:eastAsia="zh-CN"/>
        </w:rPr>
        <w:t xml:space="preserve">  客运索道运营使用管理和维护保养规范</w:t>
      </w:r>
    </w:p>
    <w:p w14:paraId="787C8064">
      <w:pPr>
        <w:ind w:firstLine="420" w:firstLineChars="200"/>
        <w:rPr>
          <w:rFonts w:hint="eastAsia" w:ascii="宋体" w:hAnsi="宋体"/>
          <w:color w:val="auto"/>
          <w:lang w:val="en-US" w:eastAsia="zh-CN"/>
        </w:rPr>
      </w:pPr>
      <w:r>
        <w:rPr>
          <w:rFonts w:hint="default" w:ascii="宋体" w:hAnsi="宋体"/>
          <w:color w:val="auto"/>
          <w:lang w:val="en-US" w:eastAsia="zh-CN"/>
        </w:rPr>
        <w:t>TSG 11</w:t>
      </w:r>
      <w:r>
        <w:rPr>
          <w:rFonts w:hint="eastAsia" w:ascii="宋体" w:hAnsi="宋体"/>
          <w:color w:val="auto"/>
          <w:lang w:val="en-US" w:eastAsia="zh-CN"/>
        </w:rPr>
        <w:t xml:space="preserve">  锅炉安全技术规程</w:t>
      </w:r>
    </w:p>
    <w:p w14:paraId="1F543C62">
      <w:pPr>
        <w:ind w:firstLine="420" w:firstLineChars="200"/>
        <w:rPr>
          <w:rFonts w:hint="eastAsia" w:ascii="宋体" w:hAnsi="宋体"/>
          <w:color w:val="auto"/>
          <w:lang w:val="en-US" w:eastAsia="zh-CN"/>
        </w:rPr>
      </w:pPr>
      <w:r>
        <w:rPr>
          <w:rFonts w:hint="default" w:ascii="宋体" w:hAnsi="宋体"/>
          <w:color w:val="auto"/>
          <w:lang w:val="en-US" w:eastAsia="zh-CN"/>
        </w:rPr>
        <w:t>TSG 21</w:t>
      </w:r>
      <w:r>
        <w:rPr>
          <w:rFonts w:hint="eastAsia" w:ascii="宋体" w:hAnsi="宋体"/>
          <w:color w:val="auto"/>
          <w:lang w:val="en-US" w:eastAsia="zh-CN"/>
        </w:rPr>
        <w:t xml:space="preserve">  固定式压力容器安全技术监察规程</w:t>
      </w:r>
    </w:p>
    <w:p w14:paraId="05AB606F">
      <w:pPr>
        <w:ind w:firstLine="420" w:firstLineChars="200"/>
        <w:rPr>
          <w:rFonts w:hint="eastAsia" w:ascii="宋体" w:hAnsi="宋体"/>
          <w:color w:val="auto"/>
          <w:lang w:val="en-US" w:eastAsia="zh-CN"/>
        </w:rPr>
      </w:pPr>
      <w:r>
        <w:rPr>
          <w:rFonts w:hint="default" w:ascii="宋体" w:hAnsi="宋体"/>
          <w:color w:val="auto"/>
          <w:lang w:val="en-US" w:eastAsia="zh-CN"/>
        </w:rPr>
        <w:t>TSG 23</w:t>
      </w:r>
      <w:r>
        <w:rPr>
          <w:rFonts w:hint="eastAsia" w:ascii="宋体" w:hAnsi="宋体"/>
          <w:color w:val="auto"/>
          <w:lang w:val="en-US" w:eastAsia="zh-CN"/>
        </w:rPr>
        <w:t xml:space="preserve">  气瓶安全技术规程</w:t>
      </w:r>
    </w:p>
    <w:p w14:paraId="396A38A5">
      <w:pPr>
        <w:ind w:firstLine="420" w:firstLineChars="200"/>
        <w:rPr>
          <w:rFonts w:hint="eastAsia" w:ascii="宋体" w:hAnsi="宋体"/>
          <w:color w:val="auto"/>
          <w:lang w:val="en-US" w:eastAsia="zh-CN"/>
        </w:rPr>
      </w:pPr>
      <w:r>
        <w:rPr>
          <w:rFonts w:hint="default" w:ascii="宋体" w:hAnsi="宋体"/>
          <w:color w:val="auto"/>
          <w:lang w:val="en-US" w:eastAsia="zh-CN"/>
        </w:rPr>
        <w:t>TSG 71</w:t>
      </w:r>
      <w:r>
        <w:rPr>
          <w:rFonts w:hint="eastAsia" w:ascii="宋体" w:hAnsi="宋体"/>
          <w:color w:val="auto"/>
          <w:lang w:val="en-US" w:eastAsia="zh-CN"/>
        </w:rPr>
        <w:t xml:space="preserve">  大型游乐设施安全技术规程</w:t>
      </w:r>
    </w:p>
    <w:p w14:paraId="212708BC">
      <w:pPr>
        <w:ind w:firstLine="420" w:firstLineChars="200"/>
        <w:rPr>
          <w:rFonts w:hint="eastAsia" w:ascii="宋体" w:hAnsi="宋体"/>
          <w:color w:val="auto"/>
          <w:lang w:val="en-US" w:eastAsia="zh-CN"/>
        </w:rPr>
      </w:pPr>
      <w:r>
        <w:rPr>
          <w:rFonts w:hint="default" w:ascii="宋体" w:hAnsi="宋体"/>
          <w:color w:val="auto"/>
          <w:lang w:val="en-US" w:eastAsia="zh-CN"/>
        </w:rPr>
        <w:t>TSG 81</w:t>
      </w:r>
      <w:r>
        <w:rPr>
          <w:rFonts w:hint="eastAsia" w:ascii="宋体" w:hAnsi="宋体"/>
          <w:color w:val="auto"/>
          <w:lang w:val="en-US" w:eastAsia="zh-CN"/>
        </w:rPr>
        <w:t xml:space="preserve">  场(厂)内专用机动车辆安全技术规程</w:t>
      </w:r>
    </w:p>
    <w:p w14:paraId="1E0B6578">
      <w:pPr>
        <w:ind w:firstLine="420" w:firstLineChars="200"/>
        <w:rPr>
          <w:rFonts w:hint="default" w:ascii="宋体" w:hAnsi="宋体"/>
          <w:highlight w:val="yellow"/>
          <w:lang w:val="en-US" w:eastAsia="zh-CN"/>
        </w:rPr>
      </w:pPr>
      <w:r>
        <w:rPr>
          <w:rFonts w:hint="default" w:ascii="宋体" w:hAnsi="宋体"/>
          <w:color w:val="auto"/>
          <w:highlight w:val="none"/>
          <w:lang w:val="en-US" w:eastAsia="zh-CN"/>
        </w:rPr>
        <w:t>TSG T7001</w:t>
      </w:r>
      <w:r>
        <w:rPr>
          <w:rFonts w:hint="eastAsia" w:ascii="宋体" w:hAnsi="宋体"/>
          <w:color w:val="auto"/>
          <w:highlight w:val="none"/>
          <w:lang w:val="en-US" w:eastAsia="zh-CN"/>
        </w:rPr>
        <w:t xml:space="preserve">  电梯监督检验和定期检验规则</w:t>
      </w:r>
    </w:p>
    <w:p w14:paraId="740CE89A">
      <w:pPr>
        <w:pStyle w:val="109"/>
        <w:rPr>
          <w:rFonts w:hint="eastAsia"/>
        </w:rPr>
      </w:pPr>
      <w:bookmarkStart w:id="76" w:name="_Toc482107011"/>
      <w:bookmarkEnd w:id="76"/>
      <w:bookmarkStart w:id="77" w:name="_Toc2427"/>
      <w:bookmarkStart w:id="78" w:name="_Toc6979"/>
      <w:bookmarkStart w:id="79" w:name="_Toc482198479"/>
      <w:bookmarkStart w:id="80" w:name="_Toc482175040"/>
      <w:bookmarkStart w:id="81" w:name="_Toc482169100"/>
      <w:bookmarkStart w:id="82" w:name="_Toc498325667"/>
      <w:bookmarkStart w:id="83" w:name="_Toc482174618"/>
      <w:bookmarkStart w:id="84" w:name="_Toc504594708"/>
      <w:bookmarkStart w:id="85" w:name="_Toc484965486"/>
      <w:bookmarkStart w:id="86" w:name="_Toc498337262"/>
      <w:bookmarkStart w:id="87" w:name="_Toc482172263"/>
      <w:bookmarkStart w:id="88" w:name="_Toc486261023"/>
      <w:bookmarkStart w:id="89" w:name="_Toc484958262"/>
      <w:bookmarkStart w:id="90" w:name="_Toc482172322"/>
      <w:bookmarkStart w:id="91" w:name="_Toc498348127"/>
      <w:bookmarkStart w:id="92" w:name="_Toc482174134"/>
      <w:bookmarkStart w:id="93" w:name="_Toc504931833"/>
      <w:bookmarkStart w:id="94" w:name="_Toc482114488"/>
      <w:bookmarkStart w:id="95" w:name="_Toc482189167"/>
      <w:bookmarkStart w:id="96" w:name="_Toc484965756"/>
      <w:bookmarkStart w:id="97" w:name="_Toc484984795"/>
      <w:bookmarkStart w:id="98" w:name="_Toc498286338"/>
      <w:r>
        <w:rPr>
          <w:rFonts w:hint="eastAsia"/>
          <w:lang w:val="en-US" w:eastAsia="zh-CN"/>
        </w:rPr>
        <w:t>术语和定义</w:t>
      </w:r>
      <w:bookmarkEnd w:id="77"/>
      <w:bookmarkEnd w:id="78"/>
    </w:p>
    <w:p w14:paraId="36D2BAA8">
      <w:pPr>
        <w:pStyle w:val="36"/>
        <w:rPr>
          <w:rFonts w:hint="eastAsia"/>
        </w:rPr>
      </w:pPr>
      <w:r>
        <w:rPr>
          <w:rFonts w:hint="eastAsia"/>
        </w:rPr>
        <w:t>本文件没有需要界定的术语和定义。</w:t>
      </w:r>
    </w:p>
    <w:p w14:paraId="3B6C285F">
      <w:pPr>
        <w:pStyle w:val="109"/>
        <w:rPr>
          <w:rFonts w:hint="eastAsia"/>
        </w:rPr>
      </w:pPr>
      <w:bookmarkStart w:id="99" w:name="_Toc5226"/>
      <w:bookmarkStart w:id="100" w:name="_Toc27231"/>
      <w:r>
        <w:rPr>
          <w:rFonts w:hint="eastAsia"/>
        </w:rPr>
        <w:t>评定内容</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787C25B">
      <w:pPr>
        <w:pStyle w:val="99"/>
        <w:rPr>
          <w:rFonts w:hint="eastAsia"/>
        </w:rPr>
      </w:pPr>
      <w:bookmarkStart w:id="101" w:name="_Toc482175041"/>
      <w:bookmarkStart w:id="102" w:name="_Toc484984796"/>
      <w:bookmarkStart w:id="103" w:name="_Toc482169101"/>
      <w:bookmarkStart w:id="104" w:name="_Toc498286339"/>
      <w:bookmarkStart w:id="105" w:name="_Toc482198480"/>
      <w:bookmarkStart w:id="106" w:name="_Toc482114489"/>
      <w:bookmarkStart w:id="107" w:name="_Toc504594709"/>
      <w:bookmarkStart w:id="108" w:name="_Toc486261024"/>
      <w:bookmarkStart w:id="109" w:name="_Toc498348128"/>
      <w:bookmarkStart w:id="110" w:name="_Toc482172323"/>
      <w:bookmarkStart w:id="111" w:name="_Toc482189168"/>
      <w:bookmarkStart w:id="112" w:name="_Toc482174619"/>
      <w:bookmarkStart w:id="113" w:name="_Toc484958263"/>
      <w:bookmarkStart w:id="114" w:name="_Toc498337263"/>
      <w:bookmarkStart w:id="115" w:name="_Toc484965487"/>
      <w:bookmarkStart w:id="116" w:name="_Toc498325668"/>
      <w:bookmarkStart w:id="117" w:name="_Toc482174135"/>
      <w:bookmarkStart w:id="118" w:name="_Toc484965757"/>
      <w:bookmarkStart w:id="119" w:name="_Toc504931834"/>
      <w:bookmarkStart w:id="120" w:name="_Toc482172264"/>
      <w:bookmarkStart w:id="121" w:name="_Toc12071"/>
      <w:bookmarkStart w:id="122" w:name="_Toc6500"/>
      <w:r>
        <w:rPr>
          <w:rFonts w:hint="eastAsia"/>
        </w:rPr>
        <w:t>基础管理要求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1957605E">
      <w:pPr>
        <w:pStyle w:val="110"/>
        <w:spacing w:before="156" w:after="156"/>
        <w:rPr>
          <w:rFonts w:hint="eastAsia"/>
        </w:rPr>
      </w:pPr>
      <w:r>
        <w:rPr>
          <w:rFonts w:hint="eastAsia"/>
          <w:lang w:val="en-US" w:eastAsia="zh-CN"/>
        </w:rPr>
        <w:t>一般要求</w:t>
      </w:r>
    </w:p>
    <w:p w14:paraId="1E8129D8">
      <w:pPr>
        <w:pStyle w:val="36"/>
        <w:rPr>
          <w:rFonts w:hint="eastAsia" w:hAnsi="宋体"/>
        </w:rPr>
      </w:pPr>
      <w:r>
        <w:rPr>
          <w:rFonts w:hint="eastAsia" w:hAnsi="宋体"/>
        </w:rPr>
        <w:t>基础管理要求应符合DB11/T 1322.2的规定。</w:t>
      </w:r>
    </w:p>
    <w:p w14:paraId="1989FB96">
      <w:pPr>
        <w:pStyle w:val="110"/>
        <w:spacing w:before="156" w:after="156"/>
        <w:rPr>
          <w:rFonts w:hint="eastAsia" w:hAnsi="Times New Roman" w:cs="Times New Roman"/>
          <w:lang w:val="en-US" w:eastAsia="zh-CN"/>
        </w:rPr>
      </w:pPr>
      <w:r>
        <w:rPr>
          <w:rFonts w:hint="eastAsia" w:cs="Times New Roman"/>
          <w:lang w:val="en-US" w:eastAsia="zh-CN"/>
        </w:rPr>
        <w:t>安全总监</w:t>
      </w:r>
    </w:p>
    <w:p w14:paraId="2DCBC354">
      <w:pPr>
        <w:pStyle w:val="36"/>
        <w:rPr>
          <w:rFonts w:hint="eastAsia" w:cs="Times New Roman"/>
          <w:lang w:val="en-US" w:eastAsia="zh-CN"/>
        </w:rPr>
      </w:pPr>
      <w:r>
        <w:rPr>
          <w:rFonts w:hint="eastAsia" w:cs="Times New Roman"/>
          <w:lang w:val="en-US" w:eastAsia="zh-CN"/>
        </w:rPr>
        <w:t>从业人员总数超过300人的景区宜推行安全总监制度。</w:t>
      </w:r>
    </w:p>
    <w:p w14:paraId="29F78194">
      <w:pPr>
        <w:pStyle w:val="110"/>
        <w:spacing w:before="156" w:after="156"/>
        <w:rPr>
          <w:rFonts w:hint="eastAsia" w:hAnsi="Times New Roman" w:cs="Times New Roman"/>
          <w:lang w:val="en-US" w:eastAsia="zh-CN"/>
        </w:rPr>
      </w:pPr>
      <w:r>
        <w:rPr>
          <w:rFonts w:hint="eastAsia" w:hAnsi="Times New Roman" w:cs="Times New Roman"/>
          <w:lang w:val="en-US" w:eastAsia="zh-CN"/>
        </w:rPr>
        <w:t>安全风险分级管控</w:t>
      </w:r>
    </w:p>
    <w:p w14:paraId="55417901">
      <w:pPr>
        <w:pStyle w:val="117"/>
        <w:numPr>
          <w:ilvl w:val="-1"/>
          <w:numId w:val="0"/>
        </w:numPr>
        <w:spacing w:before="0" w:beforeLines="0" w:after="0" w:afterLines="0"/>
        <w:ind w:left="0" w:firstLine="420" w:firstLineChars="200"/>
        <w:rPr>
          <w:rFonts w:hint="eastAsia" w:ascii="宋体" w:hAnsi="宋体" w:eastAsia="宋体" w:cs="Times New Roman"/>
        </w:rPr>
      </w:pPr>
      <w:r>
        <w:rPr>
          <w:rFonts w:hint="eastAsia" w:ascii="宋体" w:hAnsi="宋体" w:eastAsia="宋体" w:cs="Times New Roman"/>
          <w:lang w:val="en-US" w:eastAsia="zh-CN"/>
        </w:rPr>
        <w:t>应</w:t>
      </w:r>
      <w:r>
        <w:rPr>
          <w:rFonts w:hint="eastAsia" w:ascii="宋体" w:hAnsi="宋体" w:eastAsia="宋体" w:cs="Times New Roman"/>
        </w:rPr>
        <w:t>制定安全风险分级管控管理制度，规定组织实施的部门及职责分工，风险辨识评估的范围、内容、方法和周期，分级管控的过程管理及档案，安全风险公告等要求</w:t>
      </w:r>
      <w:r>
        <w:rPr>
          <w:rFonts w:hint="eastAsia" w:ascii="宋体" w:hAnsi="宋体" w:eastAsia="宋体" w:cs="Times New Roman"/>
          <w:lang w:eastAsia="zh-CN"/>
        </w:rPr>
        <w:t>，</w:t>
      </w:r>
      <w:r>
        <w:rPr>
          <w:rFonts w:hint="eastAsia" w:ascii="宋体" w:hAnsi="宋体" w:eastAsia="宋体" w:cs="Times New Roman"/>
          <w:lang w:val="en-US" w:eastAsia="zh-CN"/>
        </w:rPr>
        <w:t>并依据DB11/T 1478的规定开展安全风险分级管控工作。</w:t>
      </w:r>
    </w:p>
    <w:p w14:paraId="6E6F9770">
      <w:pPr>
        <w:pStyle w:val="110"/>
        <w:spacing w:before="156" w:after="156"/>
        <w:ind w:left="0"/>
      </w:pPr>
      <w:r>
        <w:rPr>
          <w:rFonts w:hint="eastAsia"/>
        </w:rPr>
        <w:t xml:space="preserve">特种设备安全  </w:t>
      </w:r>
    </w:p>
    <w:p w14:paraId="4B96E630">
      <w:pPr>
        <w:pStyle w:val="117"/>
        <w:spacing w:before="0" w:beforeLines="0" w:after="0" w:afterLines="0"/>
        <w:ind w:left="0"/>
        <w:rPr>
          <w:rFonts w:hint="eastAsia" w:ascii="宋体" w:hAnsi="宋体" w:eastAsia="宋体" w:cs="Times New Roman"/>
        </w:rPr>
      </w:pPr>
      <w:r>
        <w:rPr>
          <w:rFonts w:hint="eastAsia" w:ascii="宋体" w:hAnsi="宋体" w:eastAsia="宋体" w:cs="Times New Roman"/>
        </w:rPr>
        <w:t>特种设备使用单位应配备特种设备安全总监和安全员。</w:t>
      </w:r>
    </w:p>
    <w:p w14:paraId="5A66B1C6">
      <w:pPr>
        <w:pStyle w:val="117"/>
        <w:spacing w:before="0" w:beforeLines="0" w:after="0" w:afterLines="0"/>
        <w:ind w:left="0"/>
        <w:rPr>
          <w:rFonts w:hint="eastAsia" w:hAnsi="宋体"/>
        </w:rPr>
      </w:pPr>
      <w:r>
        <w:rPr>
          <w:rFonts w:hint="eastAsia" w:ascii="宋体" w:hAnsi="宋体" w:eastAsia="宋体" w:cs="Times New Roman"/>
        </w:rPr>
        <w:t>特种设备使用单位</w:t>
      </w:r>
      <w:r>
        <w:rPr>
          <w:rFonts w:hint="eastAsia" w:ascii="宋体" w:hAnsi="宋体" w:eastAsia="宋体" w:cs="Times New Roman"/>
          <w:lang w:val="en-US" w:eastAsia="zh-CN"/>
        </w:rPr>
        <w:t>应</w:t>
      </w:r>
      <w:r>
        <w:rPr>
          <w:rFonts w:hint="eastAsia" w:ascii="宋体" w:hAnsi="宋体" w:eastAsia="宋体" w:cs="Times New Roman"/>
        </w:rPr>
        <w:t>建立健全日管控、周排查、月调度工作机制。</w:t>
      </w:r>
    </w:p>
    <w:p w14:paraId="00A9C0D8">
      <w:pPr>
        <w:pStyle w:val="99"/>
        <w:rPr>
          <w:rFonts w:hint="eastAsia"/>
        </w:rPr>
      </w:pPr>
      <w:bookmarkStart w:id="123" w:name="_Toc498348129"/>
      <w:bookmarkStart w:id="124" w:name="_Toc484965758"/>
      <w:bookmarkStart w:id="125" w:name="_Toc504594710"/>
      <w:bookmarkStart w:id="126" w:name="_Toc498337264"/>
      <w:bookmarkStart w:id="127" w:name="_Toc486261025"/>
      <w:bookmarkStart w:id="128" w:name="_Toc482174136"/>
      <w:bookmarkStart w:id="129" w:name="_Toc484965488"/>
      <w:bookmarkStart w:id="130" w:name="_Toc484958264"/>
      <w:bookmarkStart w:id="131" w:name="_Toc498286340"/>
      <w:bookmarkStart w:id="132" w:name="_Toc482189169"/>
      <w:bookmarkStart w:id="133" w:name="_Toc484984797"/>
      <w:bookmarkStart w:id="134" w:name="_Toc482172324"/>
      <w:bookmarkStart w:id="135" w:name="_Toc504931835"/>
      <w:bookmarkStart w:id="136" w:name="_Toc482174620"/>
      <w:bookmarkStart w:id="137" w:name="_Toc482175042"/>
      <w:bookmarkStart w:id="138" w:name="_Toc482172265"/>
      <w:bookmarkStart w:id="139" w:name="_Toc498325669"/>
      <w:bookmarkStart w:id="140" w:name="_Toc482114490"/>
      <w:bookmarkStart w:id="141" w:name="_Toc482169102"/>
      <w:bookmarkStart w:id="142" w:name="_Toc482198481"/>
      <w:bookmarkStart w:id="143" w:name="_Toc22215"/>
      <w:bookmarkStart w:id="144" w:name="_Toc10679"/>
      <w:r>
        <w:rPr>
          <w:rFonts w:hint="eastAsia"/>
        </w:rPr>
        <w:t>场所环境</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7C4E459B">
      <w:pPr>
        <w:pStyle w:val="110"/>
        <w:spacing w:before="156" w:after="156"/>
        <w:rPr>
          <w:rFonts w:hint="eastAsia"/>
        </w:rPr>
      </w:pPr>
      <w:r>
        <w:rPr>
          <w:rFonts w:hint="eastAsia"/>
        </w:rPr>
        <w:t>建筑物</w:t>
      </w:r>
    </w:p>
    <w:p w14:paraId="143E462E">
      <w:pPr>
        <w:pStyle w:val="186"/>
        <w:ind w:left="0"/>
        <w:rPr>
          <w:rFonts w:hint="eastAsia"/>
        </w:rPr>
      </w:pPr>
      <w:r>
        <w:rPr>
          <w:rFonts w:hint="eastAsia"/>
        </w:rPr>
        <w:t>不应有违法建构筑物，如发现建构筑物有安装不牢固、修饰、损坏等现象，应立即采取隔离等措施。</w:t>
      </w:r>
    </w:p>
    <w:p w14:paraId="088286B2">
      <w:pPr>
        <w:pStyle w:val="186"/>
        <w:ind w:left="0"/>
        <w:rPr>
          <w:rFonts w:hint="eastAsia"/>
        </w:rPr>
      </w:pPr>
      <w:r>
        <w:rPr>
          <w:rFonts w:hint="eastAsia"/>
          <w:lang w:val="en-US" w:eastAsia="zh-CN"/>
        </w:rPr>
        <w:t>景区内燃香场所设置应符合GB 26529的规定。</w:t>
      </w:r>
    </w:p>
    <w:p w14:paraId="052A5F81">
      <w:pPr>
        <w:pStyle w:val="186"/>
        <w:ind w:left="0"/>
        <w:rPr>
          <w:rFonts w:hint="eastAsia"/>
        </w:rPr>
      </w:pPr>
      <w:r>
        <w:rPr>
          <w:rFonts w:hint="eastAsia"/>
        </w:rPr>
        <w:t>古、危建（构）筑物应符合DB11/ 791</w:t>
      </w:r>
      <w:r>
        <w:rPr>
          <w:rFonts w:hint="eastAsia"/>
          <w:lang w:val="en-US" w:eastAsia="zh-CN"/>
        </w:rPr>
        <w:t>的规定及</w:t>
      </w:r>
      <w:r>
        <w:rPr>
          <w:rFonts w:hint="eastAsia"/>
        </w:rPr>
        <w:t>下列要求：</w:t>
      </w:r>
    </w:p>
    <w:p w14:paraId="21C374A3">
      <w:pPr>
        <w:pStyle w:val="130"/>
        <w:rPr>
          <w:rFonts w:hint="eastAsia"/>
        </w:rPr>
      </w:pPr>
      <w:r>
        <w:rPr>
          <w:rFonts w:hint="eastAsia"/>
        </w:rPr>
        <w:t>应对一切火源、电源和各种易燃、易爆物品进行管理；不应在古建筑保护范围内堆存易燃物品；不应将</w:t>
      </w:r>
      <w:r>
        <w:rPr>
          <w:rFonts w:hint="eastAsia"/>
          <w:lang w:val="en-US" w:eastAsia="zh-CN"/>
        </w:rPr>
        <w:t>燃气</w:t>
      </w:r>
      <w:r>
        <w:rPr>
          <w:rFonts w:hint="eastAsia"/>
        </w:rPr>
        <w:t>等引入古建筑物内；</w:t>
      </w:r>
    </w:p>
    <w:p w14:paraId="47FCA761">
      <w:pPr>
        <w:pStyle w:val="130"/>
        <w:rPr>
          <w:rFonts w:hint="eastAsia"/>
        </w:rPr>
      </w:pPr>
      <w:r>
        <w:rPr>
          <w:rFonts w:hint="eastAsia"/>
        </w:rPr>
        <w:t>不应将古建筑作为旅店、食堂、招待所或职工宿舍等；</w:t>
      </w:r>
    </w:p>
    <w:p w14:paraId="3C546233">
      <w:pPr>
        <w:pStyle w:val="130"/>
        <w:rPr>
          <w:rFonts w:hint="eastAsia"/>
        </w:rPr>
      </w:pPr>
      <w:r>
        <w:rPr>
          <w:rFonts w:hint="eastAsia"/>
        </w:rPr>
        <w:t>不应</w:t>
      </w:r>
      <w:r>
        <w:rPr>
          <w:rFonts w:ascii="ˎ̥" w:hAnsi="ˎ̥" w:cs="宋体"/>
          <w:color w:val="000000"/>
          <w:szCs w:val="21"/>
        </w:rPr>
        <w:t>在古建筑的主要殿堂内生产、生活用火</w:t>
      </w:r>
      <w:r>
        <w:rPr>
          <w:rFonts w:hint="eastAsia" w:ascii="ˎ̥" w:hAnsi="ˎ̥" w:cs="宋体"/>
          <w:color w:val="000000"/>
          <w:szCs w:val="21"/>
        </w:rPr>
        <w:t>，</w:t>
      </w:r>
      <w:r>
        <w:rPr>
          <w:rFonts w:ascii="ˎ̥" w:hAnsi="ˎ̥" w:cs="宋体"/>
          <w:color w:val="000000"/>
          <w:szCs w:val="21"/>
        </w:rPr>
        <w:t>在配殿、厢房、长廊、耳房等建筑物内需要安装固定生活用火设施的，</w:t>
      </w:r>
      <w:r>
        <w:rPr>
          <w:rFonts w:hint="eastAsia" w:ascii="ˎ̥" w:hAnsi="ˎ̥" w:cs="宋体"/>
          <w:color w:val="000000"/>
          <w:szCs w:val="21"/>
        </w:rPr>
        <w:t>应有防火安全措施</w:t>
      </w:r>
      <w:r>
        <w:rPr>
          <w:rFonts w:ascii="ˎ̥" w:hAnsi="ˎ̥" w:cs="宋体"/>
          <w:color w:val="000000"/>
          <w:szCs w:val="21"/>
        </w:rPr>
        <w:t>；</w:t>
      </w:r>
    </w:p>
    <w:p w14:paraId="61B05BBB">
      <w:pPr>
        <w:pStyle w:val="130"/>
        <w:rPr>
          <w:rFonts w:hint="eastAsia"/>
        </w:rPr>
      </w:pPr>
      <w:r>
        <w:rPr>
          <w:rFonts w:hint="eastAsia"/>
        </w:rPr>
        <w:t>在古建筑物内安装电灯和其他电器设备，应按规定经过批准，执行电气安全技术规程；</w:t>
      </w:r>
    </w:p>
    <w:p w14:paraId="70BA3A32">
      <w:pPr>
        <w:pStyle w:val="130"/>
        <w:rPr>
          <w:rFonts w:hint="eastAsia"/>
        </w:rPr>
      </w:pPr>
      <w:r>
        <w:rPr>
          <w:rFonts w:hint="eastAsia"/>
        </w:rPr>
        <w:t>景区内拍摄活动应审批后方可进行；</w:t>
      </w:r>
    </w:p>
    <w:p w14:paraId="6EA940DB">
      <w:pPr>
        <w:pStyle w:val="130"/>
        <w:rPr>
          <w:rFonts w:hint="eastAsia"/>
        </w:rPr>
      </w:pPr>
      <w:r>
        <w:rPr>
          <w:rFonts w:hint="eastAsia"/>
          <w:lang w:val="en-US" w:eastAsia="zh-CN"/>
        </w:rPr>
        <w:t>国家级和市级重点</w:t>
      </w:r>
      <w:r>
        <w:rPr>
          <w:rFonts w:hint="eastAsia"/>
        </w:rPr>
        <w:t>文物保护单位</w:t>
      </w:r>
      <w:r>
        <w:rPr>
          <w:rFonts w:hint="eastAsia"/>
          <w:lang w:val="en-US" w:eastAsia="zh-CN"/>
        </w:rPr>
        <w:t>的</w:t>
      </w:r>
      <w:r>
        <w:rPr>
          <w:rFonts w:hint="eastAsia"/>
        </w:rPr>
        <w:t>古建筑内不应进行电影、电视及大型活动等拍摄</w:t>
      </w:r>
      <w:r>
        <w:rPr>
          <w:rFonts w:hint="eastAsia"/>
          <w:lang w:eastAsia="zh-CN"/>
        </w:rPr>
        <w:t>，</w:t>
      </w:r>
      <w:r>
        <w:rPr>
          <w:rFonts w:hint="eastAsia"/>
          <w:lang w:val="en-US" w:eastAsia="zh-CN"/>
        </w:rPr>
        <w:t>其他</w:t>
      </w:r>
      <w:r>
        <w:rPr>
          <w:rFonts w:hint="eastAsia"/>
        </w:rPr>
        <w:t>古建筑内</w:t>
      </w:r>
      <w:r>
        <w:rPr>
          <w:rFonts w:hint="eastAsia"/>
          <w:lang w:val="en-US" w:eastAsia="zh-CN"/>
        </w:rPr>
        <w:t>开展拍摄活动时，应</w:t>
      </w:r>
      <w:r>
        <w:rPr>
          <w:rFonts w:hint="eastAsia"/>
        </w:rPr>
        <w:t>取得相关部门批准并采取措施</w:t>
      </w:r>
      <w:r>
        <w:rPr>
          <w:rFonts w:hint="eastAsia"/>
          <w:lang w:eastAsia="zh-CN"/>
        </w:rPr>
        <w:t>。</w:t>
      </w:r>
    </w:p>
    <w:p w14:paraId="4F6C29BF">
      <w:pPr>
        <w:pStyle w:val="110"/>
        <w:spacing w:before="156" w:after="156"/>
        <w:rPr>
          <w:rFonts w:hint="eastAsia"/>
        </w:rPr>
      </w:pPr>
      <w:r>
        <w:rPr>
          <w:rFonts w:hint="eastAsia"/>
        </w:rPr>
        <w:t>景区环境</w:t>
      </w:r>
    </w:p>
    <w:p w14:paraId="0DE0E013">
      <w:pPr>
        <w:pStyle w:val="186"/>
        <w:ind w:left="0"/>
        <w:rPr>
          <w:rFonts w:hint="eastAsia"/>
        </w:rPr>
      </w:pPr>
      <w:r>
        <w:rPr>
          <w:rFonts w:hint="eastAsia"/>
        </w:rPr>
        <w:t>游客容量管理应符合GB 51192的规定及下列要求：</w:t>
      </w:r>
    </w:p>
    <w:p w14:paraId="708D9EC8">
      <w:pPr>
        <w:pStyle w:val="130"/>
        <w:numPr>
          <w:ilvl w:val="0"/>
          <w:numId w:val="19"/>
        </w:numPr>
        <w:rPr>
          <w:rFonts w:hint="eastAsia"/>
        </w:rPr>
      </w:pPr>
      <w:r>
        <w:rPr>
          <w:rFonts w:hint="eastAsia"/>
        </w:rPr>
        <w:t>景区应公布景区主管部门确定的最大承载量、瞬</w:t>
      </w:r>
      <w:r>
        <w:rPr>
          <w:rFonts w:hint="eastAsia"/>
          <w:lang w:val="en-US" w:eastAsia="zh-CN"/>
        </w:rPr>
        <w:t>时承载</w:t>
      </w:r>
      <w:r>
        <w:rPr>
          <w:rFonts w:hint="eastAsia"/>
        </w:rPr>
        <w:t xml:space="preserve">量，制定和实施旅游者流量控制方案； </w:t>
      </w:r>
    </w:p>
    <w:p w14:paraId="7ABF42EF">
      <w:pPr>
        <w:pStyle w:val="130"/>
        <w:numPr>
          <w:ilvl w:val="0"/>
          <w:numId w:val="19"/>
        </w:numPr>
        <w:rPr>
          <w:rFonts w:hint="eastAsia"/>
        </w:rPr>
      </w:pPr>
      <w:r>
        <w:rPr>
          <w:rFonts w:hint="eastAsia"/>
        </w:rPr>
        <w:t>节假日、黄金周等重点时期应</w:t>
      </w:r>
      <w:r>
        <w:rPr>
          <w:rFonts w:hint="eastAsia"/>
          <w:lang w:val="en-US" w:eastAsia="zh-CN"/>
        </w:rPr>
        <w:t>采取移动护栏、疏导线等</w:t>
      </w:r>
      <w:r>
        <w:rPr>
          <w:rFonts w:hint="eastAsia"/>
        </w:rPr>
        <w:t>分流限流</w:t>
      </w:r>
      <w:r>
        <w:rPr>
          <w:rFonts w:hint="eastAsia"/>
          <w:lang w:val="en-US" w:eastAsia="zh-CN"/>
        </w:rPr>
        <w:t>措施</w:t>
      </w:r>
      <w:r>
        <w:rPr>
          <w:rFonts w:hint="eastAsia"/>
        </w:rPr>
        <w:t>；</w:t>
      </w:r>
    </w:p>
    <w:p w14:paraId="781D956A">
      <w:pPr>
        <w:pStyle w:val="130"/>
        <w:numPr>
          <w:ilvl w:val="0"/>
          <w:numId w:val="19"/>
        </w:numPr>
        <w:rPr>
          <w:rFonts w:hint="eastAsia"/>
        </w:rPr>
      </w:pPr>
      <w:r>
        <w:rPr>
          <w:rFonts w:hint="eastAsia"/>
        </w:rPr>
        <w:t>景区主要出入口外应设置游人集散广场、停车场、自行车存放处。</w:t>
      </w:r>
    </w:p>
    <w:p w14:paraId="296DACAC">
      <w:pPr>
        <w:pStyle w:val="186"/>
        <w:ind w:left="0"/>
        <w:rPr>
          <w:rFonts w:hint="eastAsia"/>
        </w:rPr>
      </w:pPr>
      <w:r>
        <w:rPr>
          <w:rFonts w:hint="eastAsia"/>
        </w:rPr>
        <w:t>道路应符合GB 51192的规定及下列要求：</w:t>
      </w:r>
    </w:p>
    <w:p w14:paraId="017C00A4">
      <w:pPr>
        <w:pStyle w:val="130"/>
        <w:numPr>
          <w:ilvl w:val="0"/>
          <w:numId w:val="20"/>
        </w:numPr>
        <w:rPr>
          <w:rFonts w:hint="eastAsia"/>
        </w:rPr>
      </w:pPr>
      <w:r>
        <w:rPr>
          <w:rFonts w:hint="eastAsia"/>
        </w:rPr>
        <w:t>道路路基应牢固，平坦，无坑沟；盖板齐全，坡度适当；排水管网畅通，路面无积水、积油；</w:t>
      </w:r>
    </w:p>
    <w:p w14:paraId="74BF472E">
      <w:pPr>
        <w:pStyle w:val="130"/>
        <w:numPr>
          <w:ilvl w:val="0"/>
          <w:numId w:val="20"/>
        </w:numPr>
        <w:rPr>
          <w:rFonts w:hint="eastAsia"/>
        </w:rPr>
      </w:pPr>
      <w:r>
        <w:rPr>
          <w:rFonts w:hint="eastAsia"/>
        </w:rPr>
        <w:t xml:space="preserve">道路上不应堆放物品，允许停置车辆或其他设施的位置应有标志；不应在转弯处或通道两侧停置车辆或其他设施； </w:t>
      </w:r>
    </w:p>
    <w:p w14:paraId="6D23CC4C">
      <w:pPr>
        <w:pStyle w:val="130"/>
        <w:numPr>
          <w:ilvl w:val="0"/>
          <w:numId w:val="20"/>
        </w:numPr>
        <w:rPr>
          <w:rFonts w:hint="eastAsia"/>
        </w:rPr>
      </w:pPr>
      <w:r>
        <w:rPr>
          <w:rFonts w:hint="eastAsia"/>
        </w:rPr>
        <w:t>游览线路应有明显的区域标志，开放时间，</w:t>
      </w:r>
      <w:r>
        <w:rPr>
          <w:rFonts w:hint="eastAsia"/>
          <w:lang w:val="en-US" w:eastAsia="zh-CN"/>
        </w:rPr>
        <w:t>外部</w:t>
      </w:r>
      <w:r>
        <w:rPr>
          <w:rFonts w:hint="eastAsia"/>
        </w:rPr>
        <w:t>机动车辆不应进入游览区域；</w:t>
      </w:r>
    </w:p>
    <w:p w14:paraId="02E8AC50">
      <w:pPr>
        <w:pStyle w:val="130"/>
        <w:numPr>
          <w:ilvl w:val="0"/>
          <w:numId w:val="20"/>
        </w:numPr>
        <w:rPr>
          <w:rFonts w:hint="eastAsia"/>
        </w:rPr>
      </w:pPr>
      <w:r>
        <w:t>危险路段应有保障游客安全的护栏及警示牌</w:t>
      </w:r>
      <w:r>
        <w:rPr>
          <w:rFonts w:hint="eastAsia"/>
        </w:rPr>
        <w:t>；</w:t>
      </w:r>
    </w:p>
    <w:p w14:paraId="09856817">
      <w:pPr>
        <w:pStyle w:val="130"/>
        <w:numPr>
          <w:ilvl w:val="0"/>
          <w:numId w:val="20"/>
        </w:numPr>
        <w:rPr>
          <w:rFonts w:hint="eastAsia"/>
        </w:rPr>
      </w:pPr>
      <w:r>
        <w:rPr>
          <w:rFonts w:hint="eastAsia"/>
        </w:rPr>
        <w:t>非游览区域的主干道应有明显的人、车分隔线或设置人行道；跨越道路上空的构建筑物距离路面的最小净高,应按行驶车辆的最大高度或车辆装载物料后的最大高度另加(0.5～1)m的安全间距采用</w:t>
      </w:r>
      <w:r>
        <w:rPr>
          <w:rFonts w:hint="eastAsia"/>
          <w:lang w:eastAsia="zh-CN"/>
        </w:rPr>
        <w:t>，</w:t>
      </w:r>
      <w:r>
        <w:rPr>
          <w:rFonts w:hint="eastAsia"/>
        </w:rPr>
        <w:t>并不宜小于5 m。</w:t>
      </w:r>
    </w:p>
    <w:p w14:paraId="2D75EB5E">
      <w:pPr>
        <w:pStyle w:val="186"/>
        <w:ind w:left="0"/>
        <w:rPr>
          <w:rFonts w:hint="eastAsia"/>
        </w:rPr>
      </w:pPr>
      <w:r>
        <w:rPr>
          <w:rFonts w:hint="eastAsia"/>
        </w:rPr>
        <w:t>建立安全信息发布系统，通过有线广播、安全须知、宣传手册等形式，及时向游客提供准确、规范的安全信息。</w:t>
      </w:r>
    </w:p>
    <w:p w14:paraId="294B00A7">
      <w:pPr>
        <w:pStyle w:val="186"/>
        <w:ind w:left="0"/>
        <w:rPr>
          <w:rFonts w:hint="eastAsia"/>
        </w:rPr>
      </w:pPr>
      <w:r>
        <w:rPr>
          <w:rFonts w:hint="eastAsia"/>
        </w:rPr>
        <w:t>景区内夜间游览区域应配备足量、有效的照明设施；无人值守的危险地段，其安全警示标志应有夜间照明</w:t>
      </w:r>
      <w:r>
        <w:rPr>
          <w:rFonts w:hint="eastAsia"/>
          <w:lang w:val="en-US" w:eastAsia="zh-CN"/>
        </w:rPr>
        <w:t>功能。</w:t>
      </w:r>
    </w:p>
    <w:p w14:paraId="0298A857">
      <w:pPr>
        <w:pStyle w:val="186"/>
        <w:ind w:left="0"/>
        <w:rPr>
          <w:rFonts w:hint="eastAsia"/>
        </w:rPr>
      </w:pPr>
      <w:r>
        <w:rPr>
          <w:rFonts w:hint="eastAsia"/>
        </w:rPr>
        <w:t>水域和湿地等危险区域应配置专人负责管理和巡查</w:t>
      </w:r>
      <w:r>
        <w:rPr>
          <w:rFonts w:hint="eastAsia"/>
          <w:lang w:eastAsia="zh-CN"/>
        </w:rPr>
        <w:t>，</w:t>
      </w:r>
      <w:r>
        <w:rPr>
          <w:rFonts w:hint="eastAsia"/>
        </w:rPr>
        <w:t>易发生淹溺</w:t>
      </w:r>
      <w:r>
        <w:rPr>
          <w:rFonts w:hint="eastAsia"/>
          <w:lang w:eastAsia="zh-CN"/>
        </w:rPr>
        <w:t>、</w:t>
      </w:r>
      <w:r>
        <w:rPr>
          <w:rFonts w:hint="eastAsia"/>
          <w:lang w:val="en-US" w:eastAsia="zh-CN"/>
        </w:rPr>
        <w:t>高处坠落</w:t>
      </w:r>
      <w:r>
        <w:rPr>
          <w:rFonts w:hint="eastAsia"/>
        </w:rPr>
        <w:t>等人身事故的地段</w:t>
      </w:r>
      <w:r>
        <w:rPr>
          <w:rFonts w:hint="eastAsia"/>
          <w:lang w:eastAsia="zh-CN"/>
        </w:rPr>
        <w:t>，</w:t>
      </w:r>
      <w:r>
        <w:rPr>
          <w:rFonts w:hint="eastAsia"/>
        </w:rPr>
        <w:t>应设置护栏</w:t>
      </w:r>
      <w:r>
        <w:rPr>
          <w:rFonts w:hint="eastAsia"/>
          <w:lang w:val="en-US" w:eastAsia="zh-CN"/>
        </w:rPr>
        <w:t>和安全警示标志，护栏应符合</w:t>
      </w:r>
      <w:r>
        <w:rPr>
          <w:rFonts w:hint="eastAsia"/>
        </w:rPr>
        <w:t>GB 51192</w:t>
      </w:r>
      <w:r>
        <w:rPr>
          <w:rFonts w:hint="eastAsia"/>
          <w:lang w:val="en-US" w:eastAsia="zh-CN"/>
        </w:rPr>
        <w:t>的规定</w:t>
      </w:r>
      <w:r>
        <w:rPr>
          <w:rFonts w:hint="eastAsia"/>
        </w:rPr>
        <w:t>。</w:t>
      </w:r>
    </w:p>
    <w:p w14:paraId="721FEDEA">
      <w:pPr>
        <w:pStyle w:val="186"/>
        <w:ind w:left="0"/>
        <w:rPr>
          <w:rFonts w:hint="eastAsia"/>
        </w:rPr>
      </w:pPr>
      <w:r>
        <w:rPr>
          <w:rFonts w:hint="eastAsia"/>
        </w:rPr>
        <w:t>山地和林区应符合下列要求：</w:t>
      </w:r>
    </w:p>
    <w:p w14:paraId="0AAA6D30">
      <w:pPr>
        <w:pStyle w:val="130"/>
        <w:numPr>
          <w:ilvl w:val="0"/>
          <w:numId w:val="21"/>
        </w:numPr>
        <w:rPr>
          <w:rFonts w:hint="eastAsia"/>
        </w:rPr>
      </w:pPr>
      <w:r>
        <w:rPr>
          <w:rFonts w:hint="eastAsia"/>
        </w:rPr>
        <w:t>山地攀登道路</w:t>
      </w:r>
      <w:r>
        <w:t>坡度较陡峭的步行路段应设置台阶或安装扶手</w:t>
      </w:r>
      <w:r>
        <w:rPr>
          <w:rFonts w:hint="eastAsia"/>
        </w:rPr>
        <w:t>；</w:t>
      </w:r>
    </w:p>
    <w:p w14:paraId="7145FB15">
      <w:pPr>
        <w:pStyle w:val="130"/>
        <w:numPr>
          <w:ilvl w:val="0"/>
          <w:numId w:val="21"/>
        </w:numPr>
        <w:rPr>
          <w:rFonts w:hint="eastAsia"/>
        </w:rPr>
      </w:pPr>
      <w:r>
        <w:rPr>
          <w:rFonts w:hint="eastAsia"/>
        </w:rPr>
        <w:t>应规定山地攀登道路的最大人员容量，并设置专人负责对山地攀登道路进行监控和疏散、救援；</w:t>
      </w:r>
    </w:p>
    <w:p w14:paraId="12B28422">
      <w:pPr>
        <w:pStyle w:val="130"/>
        <w:numPr>
          <w:ilvl w:val="0"/>
          <w:numId w:val="21"/>
        </w:numPr>
        <w:rPr>
          <w:rFonts w:hint="eastAsia"/>
        </w:rPr>
      </w:pPr>
      <w:r>
        <w:rPr>
          <w:rFonts w:hint="eastAsia"/>
        </w:rPr>
        <w:t>景区入口处应设置“严禁游客携带火种”的提醒，并设置火源收纳处；</w:t>
      </w:r>
    </w:p>
    <w:p w14:paraId="68AC7DC7">
      <w:pPr>
        <w:pStyle w:val="130"/>
        <w:numPr>
          <w:ilvl w:val="0"/>
          <w:numId w:val="21"/>
        </w:numPr>
        <w:rPr>
          <w:rFonts w:hint="eastAsia"/>
        </w:rPr>
      </w:pPr>
      <w:r>
        <w:rPr>
          <w:rFonts w:hint="eastAsia"/>
        </w:rPr>
        <w:t>森林防火期内，在林区作业和通过林区的各种机动车辆，应安装防火装置；</w:t>
      </w:r>
    </w:p>
    <w:p w14:paraId="43E3D610">
      <w:pPr>
        <w:pStyle w:val="130"/>
        <w:numPr>
          <w:ilvl w:val="0"/>
          <w:numId w:val="21"/>
        </w:numPr>
        <w:rPr>
          <w:rFonts w:hint="eastAsia"/>
        </w:rPr>
      </w:pPr>
      <w:r>
        <w:rPr>
          <w:rFonts w:hint="eastAsia"/>
        </w:rPr>
        <w:t>森林防火期内，未经批准不应在森林防火区野外用火；</w:t>
      </w:r>
    </w:p>
    <w:p w14:paraId="2E49752A">
      <w:pPr>
        <w:pStyle w:val="130"/>
        <w:numPr>
          <w:ilvl w:val="0"/>
          <w:numId w:val="21"/>
        </w:numPr>
        <w:rPr>
          <w:rFonts w:hint="eastAsia"/>
        </w:rPr>
      </w:pPr>
      <w:r>
        <w:rPr>
          <w:rFonts w:hint="eastAsia"/>
        </w:rPr>
        <w:t>森林高火险期内，在森林高火险区不应进行野外用火；</w:t>
      </w:r>
    </w:p>
    <w:p w14:paraId="3453714A">
      <w:pPr>
        <w:pStyle w:val="130"/>
        <w:numPr>
          <w:ilvl w:val="0"/>
          <w:numId w:val="21"/>
        </w:numPr>
        <w:rPr>
          <w:rFonts w:hint="eastAsia"/>
        </w:rPr>
      </w:pPr>
      <w:r>
        <w:rPr>
          <w:rFonts w:hint="eastAsia"/>
        </w:rPr>
        <w:t>非防火期内，</w:t>
      </w:r>
      <w:r>
        <w:rPr>
          <w:rFonts w:hint="eastAsia"/>
          <w:lang w:val="en-US" w:eastAsia="zh-CN"/>
        </w:rPr>
        <w:t>遇五级及以上</w:t>
      </w:r>
      <w:r>
        <w:rPr>
          <w:rFonts w:hint="eastAsia"/>
        </w:rPr>
        <w:t>风力时，不应进行明火作业；</w:t>
      </w:r>
    </w:p>
    <w:p w14:paraId="7D743D73">
      <w:pPr>
        <w:pStyle w:val="130"/>
        <w:numPr>
          <w:ilvl w:val="0"/>
          <w:numId w:val="21"/>
        </w:numPr>
        <w:rPr>
          <w:rFonts w:hint="eastAsia"/>
        </w:rPr>
      </w:pPr>
      <w:r>
        <w:rPr>
          <w:rFonts w:hint="eastAsia"/>
        </w:rPr>
        <w:t>在林区应配备灭火弹、二号工具</w:t>
      </w:r>
      <w:r>
        <w:rPr>
          <w:rFonts w:hint="eastAsia"/>
          <w:lang w:eastAsia="zh-CN"/>
        </w:rPr>
        <w:t>、</w:t>
      </w:r>
      <w:r>
        <w:rPr>
          <w:rFonts w:hint="eastAsia"/>
          <w:lang w:val="en-US" w:eastAsia="zh-CN"/>
        </w:rPr>
        <w:t>风力灭火机</w:t>
      </w:r>
      <w:r>
        <w:rPr>
          <w:rFonts w:hint="eastAsia"/>
        </w:rPr>
        <w:t>等防火设施</w:t>
      </w:r>
      <w:r>
        <w:rPr>
          <w:rFonts w:hint="eastAsia"/>
          <w:lang w:eastAsia="zh-CN"/>
        </w:rPr>
        <w:t>，</w:t>
      </w:r>
      <w:r>
        <w:rPr>
          <w:rFonts w:hint="eastAsia"/>
          <w:lang w:val="en-US" w:eastAsia="zh-CN"/>
        </w:rPr>
        <w:t>设置</w:t>
      </w:r>
      <w:r>
        <w:rPr>
          <w:rFonts w:hint="eastAsia"/>
          <w:lang w:eastAsia="zh-CN"/>
        </w:rPr>
        <w:t>防火隔离带</w:t>
      </w:r>
      <w:r>
        <w:rPr>
          <w:rFonts w:hint="eastAsia"/>
        </w:rPr>
        <w:t>；</w:t>
      </w:r>
    </w:p>
    <w:p w14:paraId="4BCBCCE3">
      <w:pPr>
        <w:pStyle w:val="130"/>
        <w:numPr>
          <w:ilvl w:val="0"/>
          <w:numId w:val="21"/>
        </w:numPr>
        <w:rPr>
          <w:rFonts w:hint="eastAsia"/>
        </w:rPr>
      </w:pPr>
      <w:r>
        <w:rPr>
          <w:rFonts w:hint="eastAsia"/>
        </w:rPr>
        <w:t>应配套建设火情瞭望监控设施设备；</w:t>
      </w:r>
    </w:p>
    <w:p w14:paraId="2B43934A">
      <w:pPr>
        <w:pStyle w:val="130"/>
        <w:numPr>
          <w:ilvl w:val="0"/>
          <w:numId w:val="21"/>
        </w:numPr>
        <w:rPr>
          <w:rFonts w:hint="eastAsia"/>
        </w:rPr>
      </w:pPr>
      <w:r>
        <w:rPr>
          <w:rFonts w:hint="eastAsia"/>
        </w:rPr>
        <w:t>冬季停业时，景区应留有足够数量的护林员进行防火巡查</w:t>
      </w:r>
      <w:r>
        <w:rPr>
          <w:rFonts w:hint="eastAsia"/>
          <w:lang w:eastAsia="zh-CN"/>
        </w:rPr>
        <w:t>；</w:t>
      </w:r>
    </w:p>
    <w:p w14:paraId="2E02D97F">
      <w:pPr>
        <w:pStyle w:val="130"/>
        <w:numPr>
          <w:ilvl w:val="0"/>
          <w:numId w:val="21"/>
        </w:numPr>
        <w:rPr>
          <w:rFonts w:hint="eastAsia"/>
        </w:rPr>
      </w:pPr>
      <w:r>
        <w:rPr>
          <w:rFonts w:hint="eastAsia"/>
        </w:rPr>
        <w:t>春季杨柳飞絮时期、极端天气（高温、大风等），应采取湿化等措施。</w:t>
      </w:r>
    </w:p>
    <w:p w14:paraId="3C5AB2BA">
      <w:pPr>
        <w:pStyle w:val="186"/>
        <w:ind w:left="0"/>
        <w:rPr>
          <w:rFonts w:hint="eastAsia"/>
        </w:rPr>
      </w:pPr>
      <w:r>
        <w:rPr>
          <w:rFonts w:hint="eastAsia"/>
        </w:rPr>
        <w:t>未开发区域应符合下列要求：</w:t>
      </w:r>
    </w:p>
    <w:p w14:paraId="2754087E">
      <w:pPr>
        <w:pStyle w:val="130"/>
        <w:numPr>
          <w:ilvl w:val="0"/>
          <w:numId w:val="22"/>
        </w:numPr>
        <w:rPr>
          <w:rFonts w:hint="eastAsia"/>
        </w:rPr>
      </w:pPr>
      <w:r>
        <w:rPr>
          <w:rFonts w:hint="eastAsia"/>
        </w:rPr>
        <w:t>未开发区域用在导游图或游客须知中应加以标注；</w:t>
      </w:r>
    </w:p>
    <w:p w14:paraId="1988C923">
      <w:pPr>
        <w:pStyle w:val="130"/>
        <w:numPr>
          <w:ilvl w:val="0"/>
          <w:numId w:val="22"/>
        </w:numPr>
        <w:rPr>
          <w:rFonts w:hint="eastAsia"/>
        </w:rPr>
      </w:pPr>
      <w:r>
        <w:rPr>
          <w:rFonts w:hint="eastAsia"/>
          <w:lang w:val="en-US" w:eastAsia="zh-CN"/>
        </w:rPr>
        <w:t>未开发区域应采取护栏、门锁、告知等进行明示；</w:t>
      </w:r>
    </w:p>
    <w:p w14:paraId="24497EE1">
      <w:pPr>
        <w:pStyle w:val="130"/>
        <w:numPr>
          <w:ilvl w:val="0"/>
          <w:numId w:val="22"/>
        </w:numPr>
        <w:rPr>
          <w:rFonts w:hint="eastAsia"/>
        </w:rPr>
      </w:pPr>
      <w:r>
        <w:rPr>
          <w:rFonts w:hint="eastAsia"/>
        </w:rPr>
        <w:t>景区巡逻人员应对未开发区域进行巡查。</w:t>
      </w:r>
    </w:p>
    <w:p w14:paraId="15B557F0">
      <w:pPr>
        <w:pStyle w:val="186"/>
        <w:ind w:left="0"/>
        <w:rPr>
          <w:rFonts w:hint="eastAsia"/>
        </w:rPr>
      </w:pPr>
      <w:r>
        <w:rPr>
          <w:rFonts w:hint="eastAsia"/>
        </w:rPr>
        <w:t>施工现场用地范围的周边应</w:t>
      </w:r>
      <w:r>
        <w:rPr>
          <w:rFonts w:hint="eastAsia"/>
          <w:lang w:val="en-US" w:eastAsia="zh-CN"/>
        </w:rPr>
        <w:t>设置</w:t>
      </w:r>
      <w:r>
        <w:rPr>
          <w:rFonts w:hint="eastAsia"/>
        </w:rPr>
        <w:t>硬质围挡，围挡设置高度不</w:t>
      </w:r>
      <w:r>
        <w:rPr>
          <w:rFonts w:hint="eastAsia"/>
          <w:lang w:val="en-US" w:eastAsia="zh-CN"/>
        </w:rPr>
        <w:t>应</w:t>
      </w:r>
      <w:r>
        <w:rPr>
          <w:rFonts w:hint="eastAsia"/>
        </w:rPr>
        <w:t>低于1.8 m；对可能影响行人安全的，应在工程险要处采取有效的安全保障措施；施工结束后，应恢复原貌。</w:t>
      </w:r>
    </w:p>
    <w:p w14:paraId="77E32186">
      <w:pPr>
        <w:pStyle w:val="110"/>
        <w:spacing w:before="156" w:after="156"/>
        <w:rPr>
          <w:rFonts w:hint="eastAsia"/>
          <w:highlight w:val="none"/>
        </w:rPr>
      </w:pPr>
      <w:bookmarkStart w:id="145" w:name="_Toc420924332"/>
      <w:r>
        <w:rPr>
          <w:rFonts w:hint="eastAsia"/>
          <w:highlight w:val="none"/>
        </w:rPr>
        <w:t>库房</w:t>
      </w:r>
    </w:p>
    <w:p w14:paraId="6ECFC4C8">
      <w:pPr>
        <w:pStyle w:val="186"/>
        <w:numPr>
          <w:ilvl w:val="0"/>
          <w:numId w:val="0"/>
        </w:numPr>
        <w:ind w:left="0" w:firstLine="420" w:firstLineChars="200"/>
        <w:rPr>
          <w:rFonts w:hint="eastAsia"/>
          <w:highlight w:val="none"/>
        </w:rPr>
      </w:pPr>
      <w:r>
        <w:rPr>
          <w:rFonts w:hint="eastAsia"/>
          <w:highlight w:val="none"/>
        </w:rPr>
        <w:t>库房的安全要求应符合</w:t>
      </w:r>
      <w:r>
        <w:rPr>
          <w:rFonts w:hint="eastAsia"/>
          <w:highlight w:val="none"/>
          <w:lang w:val="en-US" w:eastAsia="zh-CN"/>
        </w:rPr>
        <w:t>GB 37487和</w:t>
      </w:r>
      <w:r>
        <w:rPr>
          <w:rFonts w:hint="eastAsia"/>
          <w:highlight w:val="none"/>
        </w:rPr>
        <w:t>XF 1131的规定。</w:t>
      </w:r>
    </w:p>
    <w:bookmarkEnd w:id="145"/>
    <w:p w14:paraId="3A81A261">
      <w:pPr>
        <w:pStyle w:val="110"/>
        <w:spacing w:before="156" w:after="156"/>
        <w:rPr>
          <w:rFonts w:hint="eastAsia"/>
        </w:rPr>
      </w:pPr>
      <w:r>
        <w:rPr>
          <w:rFonts w:hint="eastAsia"/>
        </w:rPr>
        <w:t>安全警示标志</w:t>
      </w:r>
    </w:p>
    <w:p w14:paraId="7070FC69">
      <w:pPr>
        <w:pStyle w:val="186"/>
        <w:ind w:left="0"/>
        <w:rPr>
          <w:rFonts w:hint="eastAsia"/>
        </w:rPr>
      </w:pPr>
      <w:r>
        <w:rPr>
          <w:rFonts w:hint="eastAsia"/>
        </w:rPr>
        <w:t>危险路段应设置限速标牌和警示标牌；观光车行驶速度不应超过10 km/h，非游览区道路汽车行驶速度不应超过30 km/h；景区出入口处车辆最高车速宜规定为5 km/h。</w:t>
      </w:r>
    </w:p>
    <w:p w14:paraId="2325A226">
      <w:pPr>
        <w:pStyle w:val="186"/>
        <w:ind w:left="0"/>
      </w:pPr>
      <w:r>
        <w:rPr>
          <w:rFonts w:hint="eastAsia"/>
        </w:rPr>
        <w:t>下列区域</w:t>
      </w:r>
      <w:r>
        <w:rPr>
          <w:rFonts w:hint="eastAsia"/>
          <w:lang w:eastAsia="zh-CN"/>
        </w:rPr>
        <w:t>、</w:t>
      </w:r>
      <w:r>
        <w:rPr>
          <w:rFonts w:hint="eastAsia"/>
          <w:lang w:val="en-US" w:eastAsia="zh-CN"/>
        </w:rPr>
        <w:t>设施</w:t>
      </w:r>
      <w:r>
        <w:rPr>
          <w:rFonts w:hint="eastAsia"/>
        </w:rPr>
        <w:t>应设置禁止烟火等标志：</w:t>
      </w:r>
      <w:r>
        <w:t xml:space="preserve"> </w:t>
      </w:r>
    </w:p>
    <w:p w14:paraId="149B23EC">
      <w:pPr>
        <w:pStyle w:val="130"/>
        <w:numPr>
          <w:ilvl w:val="0"/>
          <w:numId w:val="23"/>
        </w:numPr>
      </w:pPr>
      <w:r>
        <w:rPr>
          <w:rFonts w:hint="eastAsia"/>
        </w:rPr>
        <w:t>存放和使用汽油、柴油、燃气、乙炔和氧气瓶等易燃易爆物品的场所；</w:t>
      </w:r>
    </w:p>
    <w:p w14:paraId="61CCAC00">
      <w:pPr>
        <w:pStyle w:val="130"/>
        <w:numPr>
          <w:ilvl w:val="0"/>
          <w:numId w:val="23"/>
        </w:numPr>
        <w:rPr>
          <w:rFonts w:hint="eastAsia"/>
        </w:rPr>
      </w:pPr>
      <w:r>
        <w:rPr>
          <w:rFonts w:hint="eastAsia"/>
        </w:rPr>
        <w:t>变配电室、锅炉房、林区等消防重点部位；</w:t>
      </w:r>
    </w:p>
    <w:p w14:paraId="302256B6">
      <w:pPr>
        <w:pStyle w:val="130"/>
        <w:numPr>
          <w:ilvl w:val="0"/>
          <w:numId w:val="23"/>
        </w:numPr>
      </w:pPr>
      <w:r>
        <w:rPr>
          <w:rFonts w:hint="eastAsia"/>
        </w:rPr>
        <w:t>游览船</w:t>
      </w:r>
      <w:r>
        <w:t>客舱内</w:t>
      </w:r>
      <w:r>
        <w:rPr>
          <w:rFonts w:hint="eastAsia"/>
        </w:rPr>
        <w:t>、带箱斗的游乐设施；</w:t>
      </w:r>
    </w:p>
    <w:p w14:paraId="6B83BBDC">
      <w:pPr>
        <w:pStyle w:val="130"/>
        <w:numPr>
          <w:ilvl w:val="0"/>
          <w:numId w:val="23"/>
        </w:numPr>
        <w:rPr>
          <w:rFonts w:hint="eastAsia"/>
        </w:rPr>
      </w:pPr>
      <w:r>
        <w:rPr>
          <w:rFonts w:hint="eastAsia"/>
        </w:rPr>
        <w:t>其他存放和使用易燃易爆液体、气体的场所。</w:t>
      </w:r>
    </w:p>
    <w:p w14:paraId="05E8A309">
      <w:pPr>
        <w:pStyle w:val="186"/>
        <w:ind w:left="0"/>
        <w:rPr>
          <w:rFonts w:hint="eastAsia"/>
        </w:rPr>
      </w:pPr>
      <w:r>
        <w:rPr>
          <w:rFonts w:hint="eastAsia"/>
        </w:rPr>
        <w:t>安全警示标志设置应符合下列要求：</w:t>
      </w:r>
    </w:p>
    <w:p w14:paraId="16B33066">
      <w:pPr>
        <w:pStyle w:val="130"/>
        <w:numPr>
          <w:ilvl w:val="0"/>
          <w:numId w:val="24"/>
        </w:numPr>
        <w:rPr>
          <w:rFonts w:hint="eastAsia"/>
        </w:rPr>
      </w:pPr>
      <w:r>
        <w:rPr>
          <w:rFonts w:hint="eastAsia"/>
        </w:rPr>
        <w:t>在有较大危险因素的场所和设施、设备上，</w:t>
      </w:r>
      <w:r>
        <w:rPr>
          <w:rFonts w:hint="eastAsia"/>
          <w:lang w:val="en-US" w:eastAsia="zh-CN"/>
        </w:rPr>
        <w:t>应</w:t>
      </w:r>
      <w:r>
        <w:rPr>
          <w:rFonts w:hint="eastAsia"/>
        </w:rPr>
        <w:t>设置明显的安全警示标志</w:t>
      </w:r>
      <w:r>
        <w:rPr>
          <w:rFonts w:hint="eastAsia"/>
          <w:lang w:eastAsia="zh-CN"/>
        </w:rPr>
        <w:t>；</w:t>
      </w:r>
    </w:p>
    <w:p w14:paraId="21D164E4">
      <w:pPr>
        <w:pStyle w:val="130"/>
        <w:numPr>
          <w:ilvl w:val="0"/>
          <w:numId w:val="24"/>
        </w:numPr>
        <w:rPr>
          <w:rFonts w:hint="eastAsia"/>
        </w:rPr>
      </w:pPr>
      <w:r>
        <w:rPr>
          <w:rFonts w:hint="eastAsia"/>
        </w:rPr>
        <w:t>对可能影响行人安全的施工现场、水域、湿地应设置安全警示标志；</w:t>
      </w:r>
    </w:p>
    <w:p w14:paraId="60A6DB09">
      <w:pPr>
        <w:pStyle w:val="130"/>
        <w:numPr>
          <w:ilvl w:val="0"/>
          <w:numId w:val="24"/>
        </w:numPr>
        <w:rPr>
          <w:rFonts w:hint="eastAsia"/>
        </w:rPr>
      </w:pPr>
      <w:r>
        <w:rPr>
          <w:rFonts w:hint="eastAsia"/>
        </w:rPr>
        <w:t>有自然山体或人造假山的，不允许攀登的部位应封闭并张贴禁止攀登的安全警示标志，可以攀登的部位应有安全提示标识；</w:t>
      </w:r>
    </w:p>
    <w:p w14:paraId="42C42B8E">
      <w:pPr>
        <w:pStyle w:val="130"/>
        <w:numPr>
          <w:ilvl w:val="0"/>
          <w:numId w:val="24"/>
        </w:numPr>
        <w:rPr>
          <w:rFonts w:hint="eastAsia"/>
        </w:rPr>
      </w:pPr>
      <w:r>
        <w:rPr>
          <w:rFonts w:hint="eastAsia"/>
        </w:rPr>
        <w:t>未开发区域应有区域标识或围栏，并设置游客不应入内的安全警示标志；</w:t>
      </w:r>
    </w:p>
    <w:p w14:paraId="29A84A71">
      <w:pPr>
        <w:pStyle w:val="130"/>
        <w:numPr>
          <w:ilvl w:val="0"/>
          <w:numId w:val="24"/>
        </w:numPr>
        <w:rPr>
          <w:rFonts w:hint="eastAsia"/>
        </w:rPr>
      </w:pPr>
      <w:r>
        <w:rPr>
          <w:rFonts w:hint="eastAsia"/>
        </w:rPr>
        <w:t>森林防火期内，林区应设置森林防火警示宣传标志</w:t>
      </w:r>
      <w:r>
        <w:rPr>
          <w:rFonts w:hint="eastAsia"/>
          <w:lang w:eastAsia="zh-CN"/>
        </w:rPr>
        <w:t>；</w:t>
      </w:r>
    </w:p>
    <w:p w14:paraId="0428C788">
      <w:pPr>
        <w:pStyle w:val="130"/>
        <w:numPr>
          <w:ilvl w:val="0"/>
          <w:numId w:val="24"/>
        </w:numPr>
        <w:rPr>
          <w:rFonts w:hint="eastAsia"/>
        </w:rPr>
      </w:pPr>
      <w:r>
        <w:rPr>
          <w:rFonts w:hint="eastAsia"/>
        </w:rPr>
        <w:t>营业区域内落地式的玻璃门、玻璃窗、玻璃墙应设置警示标志。</w:t>
      </w:r>
    </w:p>
    <w:p w14:paraId="66A688D8">
      <w:pPr>
        <w:pStyle w:val="186"/>
        <w:ind w:left="0"/>
      </w:pPr>
      <w:r>
        <w:rPr>
          <w:rFonts w:hint="eastAsia"/>
        </w:rPr>
        <w:t>应对安全警示标志进行日常管理和维护</w:t>
      </w:r>
      <w:r>
        <w:rPr>
          <w:rFonts w:hint="eastAsia"/>
          <w:lang w:eastAsia="zh-CN"/>
        </w:rPr>
        <w:t>，应</w:t>
      </w:r>
      <w:r>
        <w:rPr>
          <w:rFonts w:hint="eastAsia"/>
          <w:lang w:val="en-US" w:eastAsia="zh-CN"/>
        </w:rPr>
        <w:t>固定</w:t>
      </w:r>
      <w:r>
        <w:rPr>
          <w:rFonts w:hint="eastAsia"/>
          <w:lang w:eastAsia="zh-CN"/>
        </w:rPr>
        <w:t>牢固，不应破损、变形、褪色</w:t>
      </w:r>
      <w:r>
        <w:rPr>
          <w:rFonts w:hint="eastAsia"/>
        </w:rPr>
        <w:t>。</w:t>
      </w:r>
    </w:p>
    <w:p w14:paraId="337D68F9">
      <w:pPr>
        <w:pStyle w:val="110"/>
        <w:spacing w:before="156" w:after="156"/>
        <w:rPr>
          <w:rFonts w:hint="eastAsia"/>
        </w:rPr>
      </w:pPr>
      <w:r>
        <w:rPr>
          <w:rFonts w:hint="eastAsia"/>
          <w:lang w:val="en-US" w:eastAsia="zh-CN"/>
        </w:rPr>
        <w:t>防</w:t>
      </w:r>
      <w:r>
        <w:rPr>
          <w:rFonts w:hint="eastAsia"/>
        </w:rPr>
        <w:t>雷</w:t>
      </w:r>
    </w:p>
    <w:p w14:paraId="6752AEB9">
      <w:pPr>
        <w:pStyle w:val="186"/>
        <w:ind w:left="0"/>
      </w:pPr>
      <w:r>
        <w:rPr>
          <w:rFonts w:hint="eastAsia"/>
        </w:rPr>
        <w:t>防雷装置应完好有效，镀层或涂漆、标识应完好，各处明装导体无锈蚀或者因机械力的损伤而折断的情况，其设置应符合 GB 50057 和 GB 51348 的规定。</w:t>
      </w:r>
    </w:p>
    <w:p w14:paraId="3330AE18">
      <w:pPr>
        <w:pStyle w:val="186"/>
        <w:ind w:left="0"/>
        <w:rPr>
          <w:highlight w:val="none"/>
        </w:rPr>
      </w:pPr>
      <w:r>
        <w:rPr>
          <w:rFonts w:hint="eastAsia"/>
          <w:highlight w:val="none"/>
          <w:lang w:val="en-US" w:eastAsia="zh-CN"/>
        </w:rPr>
        <w:t>古树名木防雷应符合GB 51192、DB11/T 1430和DB11/T 767的规定。</w:t>
      </w:r>
    </w:p>
    <w:p w14:paraId="23466331">
      <w:pPr>
        <w:pStyle w:val="186"/>
        <w:ind w:left="0"/>
        <w:rPr>
          <w:rFonts w:hint="eastAsia"/>
        </w:rPr>
      </w:pPr>
      <w:r>
        <w:rPr>
          <w:rFonts w:hint="eastAsia"/>
        </w:rPr>
        <w:t>每年应在雷雨季节前由具有检测资质的机构对防雷装置进行检测，检测结果应符合</w:t>
      </w:r>
      <w:r>
        <w:rPr>
          <w:rFonts w:hint="eastAsia"/>
          <w:lang w:val="en-US" w:eastAsia="zh-CN"/>
        </w:rPr>
        <w:t>要求</w:t>
      </w:r>
      <w:r>
        <w:rPr>
          <w:rFonts w:hint="eastAsia"/>
        </w:rPr>
        <w:t>。</w:t>
      </w:r>
    </w:p>
    <w:p w14:paraId="72E73290">
      <w:pPr>
        <w:pStyle w:val="99"/>
        <w:rPr>
          <w:rFonts w:hint="eastAsia"/>
        </w:rPr>
      </w:pPr>
      <w:bookmarkStart w:id="146" w:name="_Toc504931836"/>
      <w:bookmarkStart w:id="147" w:name="_Toc484958265"/>
      <w:bookmarkStart w:id="148" w:name="_Toc482174137"/>
      <w:bookmarkStart w:id="149" w:name="_Toc482189170"/>
      <w:bookmarkStart w:id="150" w:name="_Toc498337265"/>
      <w:bookmarkStart w:id="151" w:name="_Toc498348130"/>
      <w:bookmarkStart w:id="152" w:name="_Toc482198482"/>
      <w:bookmarkStart w:id="153" w:name="_Toc484965489"/>
      <w:bookmarkStart w:id="154" w:name="_Toc498325670"/>
      <w:bookmarkStart w:id="155" w:name="_Toc484984798"/>
      <w:bookmarkStart w:id="156" w:name="_Toc482175043"/>
      <w:bookmarkStart w:id="157" w:name="_Toc482172266"/>
      <w:bookmarkStart w:id="158" w:name="_Toc498286341"/>
      <w:bookmarkStart w:id="159" w:name="_Toc482172325"/>
      <w:bookmarkStart w:id="160" w:name="_Toc482169103"/>
      <w:bookmarkStart w:id="161" w:name="_Toc482114491"/>
      <w:bookmarkStart w:id="162" w:name="_Toc484965759"/>
      <w:bookmarkStart w:id="163" w:name="_Toc486261026"/>
      <w:bookmarkStart w:id="164" w:name="_Toc482174621"/>
      <w:bookmarkStart w:id="165" w:name="_Toc504594711"/>
      <w:bookmarkStart w:id="166" w:name="_Toc14605"/>
      <w:bookmarkStart w:id="167" w:name="_Toc2376"/>
      <w:r>
        <w:rPr>
          <w:rFonts w:hint="eastAsia"/>
        </w:rPr>
        <w:t>生产设备设施</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F9A1AB3">
      <w:pPr>
        <w:pStyle w:val="110"/>
        <w:spacing w:before="156" w:after="156"/>
        <w:rPr>
          <w:rFonts w:hint="eastAsia"/>
        </w:rPr>
      </w:pPr>
      <w:r>
        <w:rPr>
          <w:rFonts w:hint="eastAsia"/>
        </w:rPr>
        <w:t>一般要求</w:t>
      </w:r>
    </w:p>
    <w:p w14:paraId="63A6A9B6">
      <w:pPr>
        <w:pStyle w:val="186"/>
        <w:ind w:left="0"/>
      </w:pPr>
      <w:r>
        <w:t>钢直梯、钢斜梯</w:t>
      </w:r>
      <w:r>
        <w:rPr>
          <w:rFonts w:hint="eastAsia"/>
        </w:rPr>
        <w:t>的设置</w:t>
      </w:r>
      <w:r>
        <w:t>应符合GB</w:t>
      </w:r>
      <w:r>
        <w:rPr>
          <w:rFonts w:hint="eastAsia"/>
        </w:rPr>
        <w:t xml:space="preserve"> </w:t>
      </w:r>
      <w:r>
        <w:t>4053.</w:t>
      </w:r>
      <w:r>
        <w:rPr>
          <w:rFonts w:hint="eastAsia"/>
        </w:rPr>
        <w:t>1和</w:t>
      </w:r>
      <w:r>
        <w:t>GB</w:t>
      </w:r>
      <w:r>
        <w:rPr>
          <w:rFonts w:hint="eastAsia"/>
        </w:rPr>
        <w:t xml:space="preserve"> </w:t>
      </w:r>
      <w:r>
        <w:t>4053.2</w:t>
      </w:r>
      <w:r>
        <w:rPr>
          <w:rFonts w:hint="eastAsia"/>
        </w:rPr>
        <w:t>的规定。</w:t>
      </w:r>
    </w:p>
    <w:p w14:paraId="45D73706">
      <w:pPr>
        <w:pStyle w:val="186"/>
        <w:ind w:left="0"/>
        <w:rPr>
          <w:rFonts w:hint="eastAsia"/>
        </w:rPr>
      </w:pPr>
      <w:r>
        <w:rPr>
          <w:rFonts w:hint="eastAsia"/>
        </w:rPr>
        <w:t>走台、平台防护栏杆的设置应符合GB 4053.3的规定。</w:t>
      </w:r>
    </w:p>
    <w:p w14:paraId="4B90C4C8">
      <w:pPr>
        <w:pStyle w:val="186"/>
        <w:ind w:left="0"/>
        <w:rPr>
          <w:rFonts w:hint="eastAsia"/>
        </w:rPr>
      </w:pPr>
      <w:r>
        <w:rPr>
          <w:rFonts w:hint="eastAsia"/>
        </w:rPr>
        <w:t>充电游览船</w:t>
      </w:r>
      <w:r>
        <w:rPr>
          <w:rFonts w:hint="eastAsia"/>
          <w:lang w:eastAsia="zh-CN"/>
        </w:rPr>
        <w:t>、</w:t>
      </w:r>
      <w:r>
        <w:rPr>
          <w:rFonts w:hint="eastAsia"/>
          <w:lang w:val="en-US" w:eastAsia="zh-CN"/>
        </w:rPr>
        <w:t>工程车辆</w:t>
      </w:r>
      <w:r>
        <w:rPr>
          <w:rFonts w:hint="eastAsia"/>
        </w:rPr>
        <w:t>等充电设施应符合GB/T 27544的规定，且充电区域应设置</w:t>
      </w:r>
      <w:r>
        <w:rPr>
          <w:rFonts w:hint="eastAsia"/>
          <w:lang w:val="en-US" w:eastAsia="zh-CN"/>
        </w:rPr>
        <w:t>禁止烟火等</w:t>
      </w:r>
      <w:r>
        <w:rPr>
          <w:rFonts w:hint="eastAsia"/>
        </w:rPr>
        <w:t>安全警示标志并配备消防器材；充电设备应保持清洁，无杂物。</w:t>
      </w:r>
    </w:p>
    <w:p w14:paraId="12B252B1">
      <w:pPr>
        <w:pStyle w:val="186"/>
        <w:ind w:left="0"/>
        <w:rPr>
          <w:rFonts w:hint="eastAsia"/>
        </w:rPr>
      </w:pPr>
      <w:r>
        <w:rPr>
          <w:rFonts w:hint="eastAsia"/>
        </w:rPr>
        <w:t>游乐设施应符合GB 8408的规定。</w:t>
      </w:r>
    </w:p>
    <w:p w14:paraId="10DC70C8">
      <w:pPr>
        <w:pStyle w:val="110"/>
        <w:spacing w:before="156" w:after="156"/>
        <w:rPr>
          <w:rFonts w:hint="eastAsia"/>
        </w:rPr>
      </w:pPr>
      <w:r>
        <w:rPr>
          <w:rFonts w:hint="eastAsia"/>
        </w:rPr>
        <w:t>餐饮设备设施</w:t>
      </w:r>
    </w:p>
    <w:p w14:paraId="0C3DF9F7">
      <w:pPr>
        <w:pStyle w:val="186"/>
        <w:ind w:left="0"/>
        <w:rPr>
          <w:rFonts w:hint="eastAsia"/>
        </w:rPr>
      </w:pPr>
      <w:r>
        <w:rPr>
          <w:rFonts w:hint="eastAsia"/>
        </w:rPr>
        <w:t>瓶装液化石油气的检查、巡视和安全信息公示等应符合DB11/ 450的规定。</w:t>
      </w:r>
    </w:p>
    <w:p w14:paraId="398A8828">
      <w:pPr>
        <w:pStyle w:val="186"/>
        <w:ind w:left="0"/>
        <w:rPr>
          <w:rFonts w:hint="eastAsia"/>
        </w:rPr>
      </w:pPr>
      <w:r>
        <w:rPr>
          <w:rFonts w:hint="eastAsia"/>
        </w:rPr>
        <w:t>炊事机械及其作业应符合下列要求：</w:t>
      </w:r>
    </w:p>
    <w:p w14:paraId="5EE5754D">
      <w:pPr>
        <w:pStyle w:val="130"/>
        <w:numPr>
          <w:ilvl w:val="0"/>
          <w:numId w:val="25"/>
        </w:numPr>
        <w:rPr>
          <w:rFonts w:hint="eastAsia"/>
        </w:rPr>
      </w:pPr>
      <w:r>
        <w:t>炊事机械电源线路应敷设在无泡浸、无高温和无压砸的沿墙壁面</w:t>
      </w:r>
      <w:r>
        <w:rPr>
          <w:rFonts w:hint="eastAsia"/>
        </w:rPr>
        <w:t>；</w:t>
      </w:r>
    </w:p>
    <w:p w14:paraId="60E978C3">
      <w:pPr>
        <w:pStyle w:val="130"/>
        <w:numPr>
          <w:ilvl w:val="0"/>
          <w:numId w:val="25"/>
        </w:numPr>
        <w:rPr>
          <w:rFonts w:hint="eastAsia"/>
        </w:rPr>
      </w:pPr>
      <w:r>
        <w:rPr>
          <w:rFonts w:hint="eastAsia"/>
        </w:rPr>
        <w:t>炊事机械电源控制开关应单机单设，且使用额定漏电动作电流不大于</w:t>
      </w:r>
      <w:r>
        <w:t>30</w:t>
      </w:r>
      <w:r>
        <w:rPr>
          <w:rFonts w:hint="eastAsia"/>
        </w:rPr>
        <w:t xml:space="preserve"> </w:t>
      </w:r>
      <w:r>
        <w:t>mA</w:t>
      </w:r>
      <w:r>
        <w:rPr>
          <w:rFonts w:hint="eastAsia"/>
        </w:rPr>
        <w:t>的剩余电流动作保护装置。对于受烟尘、雾水等因素影响较大的控制开关应有防护装置；</w:t>
      </w:r>
    </w:p>
    <w:p w14:paraId="3801FE54">
      <w:pPr>
        <w:pStyle w:val="130"/>
        <w:numPr>
          <w:ilvl w:val="0"/>
          <w:numId w:val="25"/>
        </w:numPr>
      </w:pPr>
      <w:r>
        <w:rPr>
          <w:rFonts w:hint="eastAsia"/>
        </w:rPr>
        <w:t>灶台照明应</w:t>
      </w:r>
      <w:r>
        <w:rPr>
          <w:rFonts w:hint="eastAsia"/>
          <w:lang w:val="en-US" w:eastAsia="zh-CN"/>
        </w:rPr>
        <w:t>具有</w:t>
      </w:r>
      <w:r>
        <w:rPr>
          <w:rFonts w:hint="eastAsia"/>
        </w:rPr>
        <w:t>防潮</w:t>
      </w:r>
      <w:r>
        <w:rPr>
          <w:rFonts w:hint="eastAsia"/>
          <w:lang w:val="en-US" w:eastAsia="zh-CN"/>
        </w:rPr>
        <w:t>措施</w:t>
      </w:r>
      <w:r>
        <w:rPr>
          <w:rFonts w:hint="eastAsia"/>
        </w:rPr>
        <w:t>；</w:t>
      </w:r>
    </w:p>
    <w:p w14:paraId="4F542544">
      <w:pPr>
        <w:pStyle w:val="130"/>
        <w:numPr>
          <w:ilvl w:val="0"/>
          <w:numId w:val="25"/>
        </w:numPr>
        <w:rPr>
          <w:rFonts w:hint="eastAsia"/>
        </w:rPr>
      </w:pPr>
      <w:r>
        <w:rPr>
          <w:rFonts w:hint="eastAsia"/>
          <w:lang w:val="en-US" w:eastAsia="zh-CN"/>
        </w:rPr>
        <w:t>炊事机械应有防护装置，并完好有效；</w:t>
      </w:r>
    </w:p>
    <w:p w14:paraId="5A4E8C69">
      <w:pPr>
        <w:pStyle w:val="130"/>
        <w:numPr>
          <w:ilvl w:val="0"/>
          <w:numId w:val="25"/>
        </w:numPr>
        <w:rPr>
          <w:rFonts w:hint="eastAsia"/>
        </w:rPr>
      </w:pPr>
      <w:r>
        <w:rPr>
          <w:rFonts w:hint="eastAsia"/>
        </w:rPr>
        <w:t>灶台附近应配备灭火毯、灭火器等消防器材；</w:t>
      </w:r>
    </w:p>
    <w:p w14:paraId="1EB4D4F3">
      <w:pPr>
        <w:pStyle w:val="186"/>
        <w:ind w:left="0"/>
        <w:rPr>
          <w:rFonts w:hint="eastAsia"/>
        </w:rPr>
      </w:pPr>
      <w:r>
        <w:rPr>
          <w:rFonts w:hint="eastAsia"/>
        </w:rPr>
        <w:t>燃气设施及其作业应符合下列要求：</w:t>
      </w:r>
    </w:p>
    <w:p w14:paraId="2711D299">
      <w:pPr>
        <w:pStyle w:val="130"/>
        <w:numPr>
          <w:ilvl w:val="0"/>
          <w:numId w:val="26"/>
        </w:numPr>
        <w:rPr>
          <w:rFonts w:hint="eastAsia"/>
        </w:rPr>
      </w:pPr>
      <w:r>
        <w:rPr>
          <w:rFonts w:hint="eastAsia"/>
        </w:rPr>
        <w:t>管道天然气设施应符合GB</w:t>
      </w:r>
      <w:r>
        <w:rPr>
          <w:rFonts w:hint="eastAsia"/>
          <w:lang w:val="en-US" w:eastAsia="zh-CN"/>
        </w:rPr>
        <w:t xml:space="preserve"> </w:t>
      </w:r>
      <w:r>
        <w:rPr>
          <w:rFonts w:hint="eastAsia"/>
        </w:rPr>
        <w:t>50028和CJJ/T</w:t>
      </w:r>
      <w:r>
        <w:rPr>
          <w:rFonts w:hint="eastAsia"/>
          <w:lang w:val="en-US" w:eastAsia="zh-CN"/>
        </w:rPr>
        <w:t xml:space="preserve"> </w:t>
      </w:r>
      <w:r>
        <w:rPr>
          <w:rFonts w:hint="eastAsia"/>
        </w:rPr>
        <w:t>146的规定；</w:t>
      </w:r>
    </w:p>
    <w:p w14:paraId="029F1AA0">
      <w:pPr>
        <w:pStyle w:val="130"/>
        <w:numPr>
          <w:ilvl w:val="0"/>
          <w:numId w:val="26"/>
        </w:numPr>
        <w:rPr>
          <w:rFonts w:hint="eastAsia"/>
        </w:rPr>
      </w:pPr>
      <w:r>
        <w:rPr>
          <w:rFonts w:hint="eastAsia"/>
        </w:rPr>
        <w:t>液化石油气瓶组气化间、供气系统、用气设备应符合DB11/ 450的规定；</w:t>
      </w:r>
    </w:p>
    <w:p w14:paraId="635E8C82">
      <w:pPr>
        <w:pStyle w:val="130"/>
        <w:numPr>
          <w:ilvl w:val="0"/>
          <w:numId w:val="26"/>
        </w:numPr>
        <w:rPr>
          <w:rFonts w:hint="eastAsia"/>
        </w:rPr>
      </w:pPr>
      <w:r>
        <w:rPr>
          <w:rFonts w:hint="eastAsia"/>
          <w:lang w:val="en-US" w:eastAsia="zh-CN"/>
        </w:rPr>
        <w:t>应</w:t>
      </w:r>
      <w:r>
        <w:rPr>
          <w:rFonts w:hint="eastAsia"/>
        </w:rPr>
        <w:t>定期对排风机、排油烟系统和管道等进行清洗、保养，操作间的集烟罩和烟道入口处1 m范围内，应每日进行清洗；中餐操作间的排油烟管道应每60</w:t>
      </w:r>
      <w:r>
        <w:rPr>
          <w:rFonts w:hint="eastAsia"/>
          <w:lang w:val="en-US" w:eastAsia="zh-CN"/>
        </w:rPr>
        <w:t xml:space="preserve"> d</w:t>
      </w:r>
      <w:r>
        <w:rPr>
          <w:rFonts w:hint="eastAsia"/>
        </w:rPr>
        <w:t>至少清理1次，清理完成后应进行检查验收，应保存记录。</w:t>
      </w:r>
    </w:p>
    <w:p w14:paraId="745704CB">
      <w:pPr>
        <w:pStyle w:val="186"/>
        <w:ind w:left="0"/>
        <w:rPr>
          <w:rFonts w:hint="eastAsia"/>
        </w:rPr>
      </w:pPr>
      <w:r>
        <w:rPr>
          <w:rFonts w:hint="eastAsia"/>
        </w:rPr>
        <w:t>食梯应符合下列要求：</w:t>
      </w:r>
    </w:p>
    <w:p w14:paraId="04AEE691">
      <w:pPr>
        <w:pStyle w:val="130"/>
        <w:numPr>
          <w:ilvl w:val="0"/>
          <w:numId w:val="27"/>
        </w:numPr>
        <w:rPr>
          <w:rFonts w:hint="eastAsia"/>
        </w:rPr>
      </w:pPr>
      <w:r>
        <w:rPr>
          <w:rFonts w:hint="eastAsia"/>
        </w:rPr>
        <w:t>专人操作，不应乘人；</w:t>
      </w:r>
    </w:p>
    <w:p w14:paraId="6BE9A4DA">
      <w:pPr>
        <w:pStyle w:val="130"/>
        <w:numPr>
          <w:ilvl w:val="0"/>
          <w:numId w:val="27"/>
        </w:numPr>
        <w:rPr>
          <w:rFonts w:hint="eastAsia"/>
        </w:rPr>
      </w:pPr>
      <w:r>
        <w:rPr>
          <w:rFonts w:hint="eastAsia"/>
          <w:lang w:val="en-US" w:eastAsia="zh-CN"/>
        </w:rPr>
        <w:t>张贴限重标识；</w:t>
      </w:r>
    </w:p>
    <w:p w14:paraId="22CFB586">
      <w:pPr>
        <w:pStyle w:val="130"/>
        <w:numPr>
          <w:ilvl w:val="0"/>
          <w:numId w:val="27"/>
        </w:numPr>
        <w:rPr>
          <w:rFonts w:hint="eastAsia"/>
        </w:rPr>
      </w:pPr>
      <w:r>
        <w:rPr>
          <w:rFonts w:hint="eastAsia"/>
        </w:rPr>
        <w:t>构成特种设备的，应定期检验，检验记录和标志在有效期内。</w:t>
      </w:r>
    </w:p>
    <w:p w14:paraId="631CBDC8">
      <w:pPr>
        <w:pStyle w:val="110"/>
        <w:spacing w:before="156" w:after="156"/>
        <w:rPr>
          <w:rFonts w:hint="eastAsia"/>
        </w:rPr>
      </w:pPr>
      <w:r>
        <w:rPr>
          <w:rFonts w:hint="eastAsia"/>
          <w:lang w:val="en-US" w:eastAsia="zh-CN"/>
        </w:rPr>
        <w:t>水上活动设备设施</w:t>
      </w:r>
    </w:p>
    <w:p w14:paraId="65636939">
      <w:pPr>
        <w:pStyle w:val="186"/>
        <w:ind w:left="0"/>
        <w:rPr>
          <w:rFonts w:hint="eastAsia"/>
        </w:rPr>
      </w:pPr>
      <w:r>
        <w:rPr>
          <w:rFonts w:hint="eastAsia"/>
        </w:rPr>
        <w:t>游览船应符合</w:t>
      </w:r>
      <w:r>
        <w:t>GB</w:t>
      </w:r>
      <w:r>
        <w:rPr>
          <w:rFonts w:hint="eastAsia"/>
        </w:rPr>
        <w:t>/</w:t>
      </w:r>
      <w:r>
        <w:t>T</w:t>
      </w:r>
      <w:r>
        <w:rPr>
          <w:rFonts w:hint="eastAsia"/>
        </w:rPr>
        <w:t xml:space="preserve"> </w:t>
      </w:r>
      <w:r>
        <w:t>18168</w:t>
      </w:r>
      <w:r>
        <w:rPr>
          <w:rFonts w:hint="eastAsia"/>
        </w:rPr>
        <w:t>和GB/</w:t>
      </w:r>
      <w:r>
        <w:t>T</w:t>
      </w:r>
      <w:r>
        <w:rPr>
          <w:rFonts w:hint="eastAsia"/>
        </w:rPr>
        <w:t xml:space="preserve"> 26365的规定</w:t>
      </w:r>
      <w:r>
        <w:rPr>
          <w:rFonts w:hint="eastAsia"/>
          <w:lang w:val="en-US" w:eastAsia="zh-CN"/>
        </w:rPr>
        <w:t>及下列要求</w:t>
      </w:r>
      <w:r>
        <w:rPr>
          <w:rFonts w:hint="eastAsia"/>
          <w:lang w:eastAsia="zh-CN"/>
        </w:rPr>
        <w:t>：</w:t>
      </w:r>
    </w:p>
    <w:p w14:paraId="3ECD94F3">
      <w:pPr>
        <w:pStyle w:val="130"/>
        <w:numPr>
          <w:ilvl w:val="0"/>
          <w:numId w:val="28"/>
        </w:numPr>
        <w:rPr>
          <w:rFonts w:hint="eastAsia"/>
        </w:rPr>
      </w:pPr>
      <w:r>
        <w:rPr>
          <w:rFonts w:hint="eastAsia"/>
        </w:rPr>
        <w:t>应规定游览船、手划船、自驾船的行驶区域</w:t>
      </w:r>
      <w:r>
        <w:rPr>
          <w:rFonts w:hint="eastAsia"/>
          <w:lang w:eastAsia="zh-CN"/>
        </w:rPr>
        <w:t>；</w:t>
      </w:r>
    </w:p>
    <w:p w14:paraId="25ECAB51">
      <w:pPr>
        <w:pStyle w:val="130"/>
        <w:numPr>
          <w:ilvl w:val="0"/>
          <w:numId w:val="28"/>
        </w:numPr>
        <w:rPr>
          <w:rFonts w:hint="eastAsia"/>
        </w:rPr>
      </w:pPr>
      <w:r>
        <w:rPr>
          <w:rFonts w:hint="eastAsia"/>
        </w:rPr>
        <w:t>应规定</w:t>
      </w:r>
      <w:r>
        <w:t>船上</w:t>
      </w:r>
      <w:r>
        <w:rPr>
          <w:rFonts w:hint="eastAsia"/>
          <w:lang w:val="en-US" w:eastAsia="zh-CN"/>
        </w:rPr>
        <w:t>游客</w:t>
      </w:r>
      <w:r>
        <w:rPr>
          <w:rFonts w:hint="eastAsia"/>
        </w:rPr>
        <w:t>的最大承载</w:t>
      </w:r>
      <w:r>
        <w:rPr>
          <w:rFonts w:hint="eastAsia"/>
          <w:lang w:val="en-US" w:eastAsia="zh-CN"/>
        </w:rPr>
        <w:t>定员</w:t>
      </w:r>
      <w:r>
        <w:rPr>
          <w:rFonts w:hint="eastAsia"/>
        </w:rPr>
        <w:t>，并</w:t>
      </w:r>
      <w:r>
        <w:rPr>
          <w:rFonts w:hint="eastAsia"/>
          <w:lang w:val="en-US" w:eastAsia="zh-CN"/>
        </w:rPr>
        <w:t>公示</w:t>
      </w:r>
      <w:r>
        <w:rPr>
          <w:rFonts w:hint="eastAsia"/>
          <w:lang w:eastAsia="zh-CN"/>
        </w:rPr>
        <w:t>；</w:t>
      </w:r>
    </w:p>
    <w:p w14:paraId="567DB849">
      <w:pPr>
        <w:pStyle w:val="130"/>
        <w:numPr>
          <w:ilvl w:val="0"/>
          <w:numId w:val="28"/>
        </w:numPr>
        <w:rPr>
          <w:rFonts w:hint="eastAsia"/>
        </w:rPr>
      </w:pPr>
      <w:r>
        <w:rPr>
          <w:rFonts w:hint="eastAsia"/>
          <w:lang w:val="en-US" w:eastAsia="zh-CN"/>
        </w:rPr>
        <w:t>按照船上最大承载定员配置足量的救生衣；</w:t>
      </w:r>
    </w:p>
    <w:p w14:paraId="658C5BA4">
      <w:pPr>
        <w:pStyle w:val="130"/>
        <w:numPr>
          <w:ilvl w:val="0"/>
          <w:numId w:val="28"/>
        </w:numPr>
        <w:rPr>
          <w:rFonts w:hint="eastAsia"/>
        </w:rPr>
      </w:pPr>
      <w:r>
        <w:t>应有游客上下船安全设备和措施</w:t>
      </w:r>
      <w:r>
        <w:rPr>
          <w:rFonts w:hint="eastAsia"/>
        </w:rPr>
        <w:t>。</w:t>
      </w:r>
      <w:r>
        <w:t>应有禁止游客携带危险品的宣传</w:t>
      </w:r>
      <w:r>
        <w:rPr>
          <w:rFonts w:hint="eastAsia"/>
        </w:rPr>
        <w:t>看板或标识、相应</w:t>
      </w:r>
      <w:r>
        <w:t>措施</w:t>
      </w:r>
      <w:r>
        <w:rPr>
          <w:rFonts w:hint="eastAsia"/>
          <w:lang w:eastAsia="zh-CN"/>
        </w:rPr>
        <w:t>；</w:t>
      </w:r>
    </w:p>
    <w:p w14:paraId="30972E21">
      <w:pPr>
        <w:pStyle w:val="130"/>
        <w:numPr>
          <w:ilvl w:val="0"/>
          <w:numId w:val="28"/>
        </w:numPr>
        <w:rPr>
          <w:rFonts w:hint="eastAsia"/>
        </w:rPr>
      </w:pPr>
      <w:r>
        <w:rPr>
          <w:rFonts w:hint="eastAsia"/>
        </w:rPr>
        <w:t>应在码头等地张贴游览船安全注意事项和应急措施告知</w:t>
      </w:r>
      <w:r>
        <w:rPr>
          <w:rFonts w:hint="eastAsia"/>
          <w:lang w:eastAsia="zh-CN"/>
        </w:rPr>
        <w:t>；</w:t>
      </w:r>
    </w:p>
    <w:p w14:paraId="5244D21B">
      <w:pPr>
        <w:pStyle w:val="130"/>
        <w:numPr>
          <w:ilvl w:val="0"/>
          <w:numId w:val="28"/>
        </w:numPr>
        <w:rPr>
          <w:rFonts w:hint="eastAsia"/>
        </w:rPr>
      </w:pPr>
      <w:r>
        <w:rPr>
          <w:rFonts w:hint="eastAsia"/>
        </w:rPr>
        <w:t>应按</w:t>
      </w:r>
      <w:r>
        <w:rPr>
          <w:rFonts w:hint="eastAsia"/>
          <w:lang w:val="en-US" w:eastAsia="zh-CN"/>
        </w:rPr>
        <w:t>游船</w:t>
      </w:r>
      <w:r>
        <w:rPr>
          <w:rFonts w:hint="eastAsia"/>
        </w:rPr>
        <w:t>载明的船员配备要求，为</w:t>
      </w:r>
      <w:r>
        <w:rPr>
          <w:rFonts w:hint="eastAsia"/>
          <w:lang w:val="en-US" w:eastAsia="zh-CN"/>
        </w:rPr>
        <w:t>游船</w:t>
      </w:r>
      <w:r>
        <w:rPr>
          <w:rFonts w:hint="eastAsia"/>
        </w:rPr>
        <w:t>配备合格的船员</w:t>
      </w:r>
      <w:r>
        <w:rPr>
          <w:rFonts w:hint="eastAsia"/>
          <w:lang w:eastAsia="zh-CN"/>
        </w:rPr>
        <w:t>，</w:t>
      </w:r>
      <w:r>
        <w:rPr>
          <w:rFonts w:hint="eastAsia"/>
          <w:lang w:val="en-US" w:eastAsia="zh-CN"/>
        </w:rPr>
        <w:t>其中总吨位100 以下的游船至少配备1名驾驶员，并取得相应任职资格；</w:t>
      </w:r>
    </w:p>
    <w:p w14:paraId="4B3F872B">
      <w:pPr>
        <w:pStyle w:val="130"/>
        <w:numPr>
          <w:ilvl w:val="0"/>
          <w:numId w:val="28"/>
        </w:numPr>
        <w:rPr>
          <w:rFonts w:hint="eastAsia"/>
        </w:rPr>
      </w:pPr>
      <w:r>
        <w:rPr>
          <w:rFonts w:hint="eastAsia"/>
          <w:lang w:val="en-US" w:eastAsia="zh-CN"/>
        </w:rPr>
        <w:t>游船使用气瓶的，气瓶应符合特种设备要求；</w:t>
      </w:r>
    </w:p>
    <w:p w14:paraId="04A9FF6D">
      <w:pPr>
        <w:pStyle w:val="130"/>
        <w:numPr>
          <w:ilvl w:val="0"/>
          <w:numId w:val="28"/>
        </w:numPr>
        <w:rPr>
          <w:rFonts w:hint="eastAsia"/>
        </w:rPr>
      </w:pPr>
      <w:r>
        <w:rPr>
          <w:rFonts w:hint="eastAsia"/>
          <w:lang w:val="en-US" w:eastAsia="zh-CN"/>
        </w:rPr>
        <w:t>风力达到四级时，游船应停运。</w:t>
      </w:r>
    </w:p>
    <w:p w14:paraId="30F6F4D4">
      <w:pPr>
        <w:pStyle w:val="186"/>
        <w:ind w:left="0"/>
        <w:rPr>
          <w:rFonts w:hint="eastAsia"/>
        </w:rPr>
      </w:pPr>
      <w:r>
        <w:rPr>
          <w:rFonts w:hint="eastAsia"/>
        </w:rPr>
        <w:t>漂流设备设施应符合</w:t>
      </w:r>
      <w:r>
        <w:t>GB</w:t>
      </w:r>
      <w:r>
        <w:rPr>
          <w:rFonts w:hint="eastAsia"/>
        </w:rPr>
        <w:t>/</w:t>
      </w:r>
      <w:r>
        <w:t>T</w:t>
      </w:r>
      <w:r>
        <w:rPr>
          <w:rFonts w:hint="eastAsia"/>
        </w:rPr>
        <w:t xml:space="preserve"> </w:t>
      </w:r>
      <w:r>
        <w:t>18168</w:t>
      </w:r>
      <w:r>
        <w:rPr>
          <w:rFonts w:hint="eastAsia"/>
        </w:rPr>
        <w:t>和GB 19079.11的规定</w:t>
      </w:r>
      <w:r>
        <w:rPr>
          <w:rFonts w:hint="eastAsia"/>
          <w:lang w:eastAsia="zh-CN"/>
        </w:rPr>
        <w:t>，</w:t>
      </w:r>
      <w:r>
        <w:rPr>
          <w:rFonts w:hint="eastAsia"/>
        </w:rPr>
        <w:t>应有专业人员对</w:t>
      </w:r>
      <w:r>
        <w:t>漂流水域</w:t>
      </w:r>
      <w:r>
        <w:rPr>
          <w:rFonts w:hint="eastAsia"/>
        </w:rPr>
        <w:t>进行全程监视，漂流水域</w:t>
      </w:r>
      <w:r>
        <w:t>内不</w:t>
      </w:r>
      <w:r>
        <w:rPr>
          <w:rFonts w:hint="eastAsia"/>
        </w:rPr>
        <w:t>应</w:t>
      </w:r>
      <w:r>
        <w:t>留有监视盲区</w:t>
      </w:r>
      <w:r>
        <w:rPr>
          <w:rFonts w:hint="eastAsia"/>
          <w:lang w:eastAsia="zh-CN"/>
        </w:rPr>
        <w:t>，</w:t>
      </w:r>
      <w:r>
        <w:t>深水区、危险区至少设置</w:t>
      </w:r>
      <w:r>
        <w:rPr>
          <w:rFonts w:hint="eastAsia"/>
          <w:lang w:val="en-US" w:eastAsia="zh-CN"/>
        </w:rPr>
        <w:t>1</w:t>
      </w:r>
      <w:r>
        <w:t>名安全员</w:t>
      </w:r>
      <w:r>
        <w:rPr>
          <w:rFonts w:hint="eastAsia"/>
        </w:rPr>
        <w:t>负责监视</w:t>
      </w:r>
      <w:r>
        <w:rPr>
          <w:rFonts w:hint="eastAsia"/>
          <w:lang w:eastAsia="zh-CN"/>
        </w:rPr>
        <w:t>。</w:t>
      </w:r>
    </w:p>
    <w:p w14:paraId="706D0DC1">
      <w:pPr>
        <w:pStyle w:val="186"/>
        <w:ind w:left="0"/>
        <w:rPr>
          <w:rFonts w:hint="eastAsia"/>
        </w:rPr>
      </w:pPr>
      <w:r>
        <w:rPr>
          <w:rFonts w:hint="eastAsia"/>
          <w:lang w:val="en-US" w:eastAsia="zh-CN"/>
        </w:rPr>
        <w:t>游</w:t>
      </w:r>
      <w:r>
        <w:rPr>
          <w:rFonts w:hint="eastAsia"/>
        </w:rPr>
        <w:t>泳池应符合GB 19079.1、GB 37487和DB11/T 1218的规定</w:t>
      </w:r>
      <w:r>
        <w:rPr>
          <w:rFonts w:hint="eastAsia"/>
          <w:lang w:eastAsia="zh-CN"/>
        </w:rPr>
        <w:t>。</w:t>
      </w:r>
    </w:p>
    <w:p w14:paraId="7AD9C2E7">
      <w:pPr>
        <w:pStyle w:val="186"/>
        <w:ind w:left="0"/>
        <w:rPr>
          <w:rFonts w:hint="eastAsia"/>
        </w:rPr>
      </w:pPr>
      <w:r>
        <w:rPr>
          <w:rFonts w:hint="eastAsia"/>
          <w:lang w:val="en-US" w:eastAsia="zh-CN"/>
        </w:rPr>
        <w:t>其他</w:t>
      </w:r>
      <w:r>
        <w:rPr>
          <w:rFonts w:hint="eastAsia"/>
        </w:rPr>
        <w:t>水上活动设备设施应符合</w:t>
      </w:r>
      <w:r>
        <w:t>GB</w:t>
      </w:r>
      <w:r>
        <w:rPr>
          <w:rFonts w:hint="eastAsia"/>
        </w:rPr>
        <w:t>/</w:t>
      </w:r>
      <w:r>
        <w:t>T</w:t>
      </w:r>
      <w:r>
        <w:rPr>
          <w:rFonts w:hint="eastAsia"/>
        </w:rPr>
        <w:t xml:space="preserve"> </w:t>
      </w:r>
      <w:r>
        <w:t>18168</w:t>
      </w:r>
      <w:r>
        <w:rPr>
          <w:rFonts w:hint="eastAsia"/>
        </w:rPr>
        <w:t>的规定</w:t>
      </w:r>
      <w:r>
        <w:rPr>
          <w:rFonts w:hint="eastAsia"/>
          <w:lang w:eastAsia="zh-CN"/>
        </w:rPr>
        <w:t>，</w:t>
      </w:r>
      <w:r>
        <w:rPr>
          <w:rFonts w:hint="eastAsia"/>
        </w:rPr>
        <w:t>垂钓场所应与水上游乐设施、游泳场所有明确划分，并注明注意事项，周边应配备救生</w:t>
      </w:r>
      <w:r>
        <w:rPr>
          <w:rFonts w:hint="eastAsia"/>
          <w:lang w:val="en-US" w:eastAsia="zh-CN"/>
        </w:rPr>
        <w:t>器材</w:t>
      </w:r>
      <w:r>
        <w:rPr>
          <w:rFonts w:hint="eastAsia"/>
        </w:rPr>
        <w:t>。</w:t>
      </w:r>
    </w:p>
    <w:p w14:paraId="5E166C1C">
      <w:pPr>
        <w:pStyle w:val="110"/>
        <w:spacing w:before="156" w:after="156"/>
        <w:rPr>
          <w:rFonts w:hint="eastAsia"/>
        </w:rPr>
      </w:pPr>
      <w:r>
        <w:rPr>
          <w:rFonts w:hint="eastAsia"/>
        </w:rPr>
        <w:t>滑雪设备设施</w:t>
      </w:r>
    </w:p>
    <w:p w14:paraId="4AD0623B">
      <w:pPr>
        <w:pStyle w:val="36"/>
        <w:rPr>
          <w:rFonts w:hint="eastAsia"/>
        </w:rPr>
      </w:pPr>
      <w:r>
        <w:rPr>
          <w:rFonts w:hint="eastAsia"/>
        </w:rPr>
        <w:t>滑雪设备设施应符合GB 19079.6和DB11/T 875的规定。</w:t>
      </w:r>
    </w:p>
    <w:p w14:paraId="3B9B0CD1">
      <w:pPr>
        <w:pStyle w:val="110"/>
        <w:spacing w:before="156" w:after="156"/>
        <w:rPr>
          <w:rFonts w:hint="eastAsia"/>
        </w:rPr>
      </w:pPr>
      <w:r>
        <w:rPr>
          <w:rFonts w:hint="eastAsia"/>
        </w:rPr>
        <w:t>冰上活动设备设施</w:t>
      </w:r>
    </w:p>
    <w:p w14:paraId="3C21CDEB">
      <w:pPr>
        <w:pStyle w:val="186"/>
        <w:numPr>
          <w:ilvl w:val="-1"/>
          <w:numId w:val="0"/>
        </w:numPr>
        <w:ind w:left="0" w:firstLine="420" w:firstLineChars="200"/>
        <w:rPr>
          <w:rFonts w:hint="eastAsia"/>
        </w:rPr>
      </w:pPr>
      <w:r>
        <w:rPr>
          <w:rFonts w:hint="eastAsia"/>
        </w:rPr>
        <w:t>冰上活动设备设施应符合GB 19079.7和DB11/T 1756的规定。</w:t>
      </w:r>
    </w:p>
    <w:p w14:paraId="71BA0789">
      <w:pPr>
        <w:pStyle w:val="110"/>
        <w:spacing w:before="156" w:after="156"/>
        <w:rPr>
          <w:rFonts w:hint="eastAsia"/>
        </w:rPr>
      </w:pPr>
      <w:r>
        <w:rPr>
          <w:rFonts w:hint="eastAsia"/>
          <w:lang w:val="en-US" w:eastAsia="zh-CN"/>
        </w:rPr>
        <w:t>攀岩</w:t>
      </w:r>
      <w:r>
        <w:rPr>
          <w:rFonts w:hint="eastAsia"/>
        </w:rPr>
        <w:t>设备设施</w:t>
      </w:r>
    </w:p>
    <w:p w14:paraId="40C863B9">
      <w:pPr>
        <w:pStyle w:val="36"/>
        <w:rPr>
          <w:rFonts w:hint="default" w:eastAsia="宋体"/>
          <w:lang w:val="en-US" w:eastAsia="zh-CN"/>
        </w:rPr>
      </w:pPr>
      <w:r>
        <w:rPr>
          <w:rFonts w:hint="eastAsia"/>
          <w:lang w:val="en-US" w:eastAsia="zh-CN"/>
        </w:rPr>
        <w:t>攀岩活动</w:t>
      </w:r>
      <w:r>
        <w:rPr>
          <w:rFonts w:hint="eastAsia"/>
        </w:rPr>
        <w:t>设备设施应符合GB 19079.</w:t>
      </w:r>
      <w:r>
        <w:rPr>
          <w:rFonts w:hint="eastAsia"/>
          <w:lang w:val="en-US" w:eastAsia="zh-CN"/>
        </w:rPr>
        <w:t>4和DB11/T 1322.55</w:t>
      </w:r>
      <w:r>
        <w:rPr>
          <w:rFonts w:hint="eastAsia"/>
        </w:rPr>
        <w:t>的规定。</w:t>
      </w:r>
    </w:p>
    <w:p w14:paraId="71189441">
      <w:pPr>
        <w:pStyle w:val="110"/>
        <w:spacing w:before="156" w:after="156"/>
        <w:rPr>
          <w:rFonts w:hint="eastAsia"/>
        </w:rPr>
      </w:pPr>
      <w:r>
        <w:rPr>
          <w:rFonts w:hint="eastAsia"/>
        </w:rPr>
        <w:t>蹦床类活动设备设施</w:t>
      </w:r>
    </w:p>
    <w:p w14:paraId="1A7B4821">
      <w:pPr>
        <w:pStyle w:val="186"/>
        <w:numPr>
          <w:ilvl w:val="-1"/>
          <w:numId w:val="0"/>
        </w:numPr>
        <w:ind w:left="0" w:firstLine="420" w:firstLineChars="200"/>
        <w:rPr>
          <w:rFonts w:hint="eastAsia"/>
        </w:rPr>
      </w:pPr>
      <w:r>
        <w:rPr>
          <w:rFonts w:hint="eastAsia"/>
        </w:rPr>
        <w:t>蹦床活动设施应符合GB 19079.23的规定。</w:t>
      </w:r>
    </w:p>
    <w:p w14:paraId="52C9196B">
      <w:pPr>
        <w:pStyle w:val="110"/>
        <w:spacing w:before="156" w:after="156"/>
        <w:rPr>
          <w:rFonts w:hint="eastAsia"/>
        </w:rPr>
      </w:pPr>
      <w:r>
        <w:rPr>
          <w:rFonts w:hint="eastAsia"/>
        </w:rPr>
        <w:t>儿童游乐设施、健身器械</w:t>
      </w:r>
    </w:p>
    <w:p w14:paraId="3F3BCBA0">
      <w:pPr>
        <w:pStyle w:val="186"/>
        <w:ind w:left="0"/>
        <w:rPr>
          <w:rFonts w:hint="eastAsia"/>
        </w:rPr>
      </w:pPr>
      <w:r>
        <w:rPr>
          <w:rFonts w:hint="eastAsia"/>
        </w:rPr>
        <w:t>健身器材应符合 GB 19272 的规定。</w:t>
      </w:r>
    </w:p>
    <w:p w14:paraId="780145B0">
      <w:pPr>
        <w:pStyle w:val="186"/>
        <w:ind w:left="0"/>
        <w:rPr>
          <w:rFonts w:hint="eastAsia"/>
        </w:rPr>
      </w:pPr>
      <w:r>
        <w:rPr>
          <w:rFonts w:hint="eastAsia"/>
        </w:rPr>
        <w:t>应在儿童游乐设施、健身器械等周围设置安全注意事项。</w:t>
      </w:r>
    </w:p>
    <w:p w14:paraId="5574F9E9">
      <w:pPr>
        <w:pStyle w:val="186"/>
        <w:ind w:left="0"/>
        <w:rPr>
          <w:rFonts w:hint="eastAsia"/>
        </w:rPr>
      </w:pPr>
      <w:r>
        <w:rPr>
          <w:rFonts w:hint="eastAsia"/>
        </w:rPr>
        <w:t>高度较高、具有坠落危险的游乐设施应配置</w:t>
      </w:r>
      <w:r>
        <w:rPr>
          <w:rFonts w:hint="eastAsia"/>
          <w:lang w:val="en-US" w:eastAsia="zh-CN"/>
        </w:rPr>
        <w:t>缓冲</w:t>
      </w:r>
      <w:r>
        <w:rPr>
          <w:rFonts w:hint="eastAsia"/>
        </w:rPr>
        <w:t>装置及安全警示</w:t>
      </w:r>
      <w:r>
        <w:rPr>
          <w:rFonts w:hint="eastAsia"/>
          <w:lang w:val="en-US" w:eastAsia="zh-CN"/>
        </w:rPr>
        <w:t>标志</w:t>
      </w:r>
      <w:r>
        <w:rPr>
          <w:rFonts w:hint="eastAsia"/>
        </w:rPr>
        <w:t>。</w:t>
      </w:r>
    </w:p>
    <w:p w14:paraId="32D008D7">
      <w:pPr>
        <w:pStyle w:val="186"/>
        <w:ind w:left="0"/>
        <w:rPr>
          <w:rFonts w:hint="eastAsia"/>
        </w:rPr>
      </w:pPr>
      <w:r>
        <w:rPr>
          <w:rFonts w:hint="eastAsia"/>
        </w:rPr>
        <w:t>器材或场地停用或维修时应将游乐器材卸下或封存，并张贴安全警示</w:t>
      </w:r>
      <w:r>
        <w:rPr>
          <w:rFonts w:hint="eastAsia"/>
          <w:lang w:val="en-US" w:eastAsia="zh-CN"/>
        </w:rPr>
        <w:t>标志</w:t>
      </w:r>
      <w:r>
        <w:rPr>
          <w:rFonts w:hint="eastAsia"/>
        </w:rPr>
        <w:t>。</w:t>
      </w:r>
    </w:p>
    <w:p w14:paraId="7E051A7A">
      <w:pPr>
        <w:pStyle w:val="110"/>
        <w:spacing w:before="156" w:after="156"/>
        <w:rPr>
          <w:rFonts w:hint="eastAsia"/>
        </w:rPr>
      </w:pPr>
      <w:r>
        <w:rPr>
          <w:rFonts w:hint="eastAsia"/>
        </w:rPr>
        <w:t>动物设施</w:t>
      </w:r>
    </w:p>
    <w:p w14:paraId="6F875BE4">
      <w:pPr>
        <w:pStyle w:val="186"/>
        <w:ind w:left="0"/>
        <w:rPr>
          <w:rFonts w:hint="eastAsia"/>
        </w:rPr>
      </w:pPr>
      <w:r>
        <w:rPr>
          <w:rFonts w:hint="eastAsia"/>
        </w:rPr>
        <w:t>应根据动物的种类、习性采取不同圈养方式并具有防逃逸措施。</w:t>
      </w:r>
    </w:p>
    <w:p w14:paraId="3CBE2861">
      <w:pPr>
        <w:pStyle w:val="186"/>
        <w:ind w:left="0"/>
        <w:rPr>
          <w:rFonts w:hint="eastAsia"/>
        </w:rPr>
      </w:pPr>
      <w:r>
        <w:rPr>
          <w:rFonts w:hint="eastAsia"/>
        </w:rPr>
        <w:t>动物的笼舍、围栏、护网、壕沟、水体、玻璃幕墙、门锁等应完好有效</w:t>
      </w:r>
      <w:r>
        <w:rPr>
          <w:rFonts w:hint="eastAsia"/>
          <w:lang w:eastAsia="zh-CN"/>
        </w:rPr>
        <w:t>。</w:t>
      </w:r>
    </w:p>
    <w:p w14:paraId="3E83213D">
      <w:pPr>
        <w:pStyle w:val="186"/>
        <w:ind w:left="0"/>
        <w:rPr>
          <w:rFonts w:hint="eastAsia"/>
        </w:rPr>
      </w:pPr>
      <w:r>
        <w:rPr>
          <w:rFonts w:hint="eastAsia"/>
          <w:lang w:val="en-US" w:eastAsia="zh-CN"/>
        </w:rPr>
        <w:t>应</w:t>
      </w:r>
      <w:r>
        <w:rPr>
          <w:rFonts w:hint="eastAsia"/>
        </w:rPr>
        <w:t>张贴标识，提醒游客不应在园内大声喧哗、戏弄、逗喂或惊扰动物。</w:t>
      </w:r>
    </w:p>
    <w:p w14:paraId="34E9BB2A">
      <w:pPr>
        <w:pStyle w:val="186"/>
        <w:ind w:left="0"/>
        <w:rPr>
          <w:rFonts w:hint="eastAsia"/>
        </w:rPr>
      </w:pPr>
      <w:r>
        <w:rPr>
          <w:rFonts w:hint="eastAsia"/>
          <w:lang w:val="en-US" w:eastAsia="zh-CN"/>
        </w:rPr>
        <w:t>应</w:t>
      </w:r>
      <w:r>
        <w:rPr>
          <w:rFonts w:hint="eastAsia"/>
        </w:rPr>
        <w:t>设专人负责全园笼舍安全检查，每日至少组织1次自查并记录。</w:t>
      </w:r>
    </w:p>
    <w:p w14:paraId="4B238D76">
      <w:pPr>
        <w:pStyle w:val="110"/>
        <w:spacing w:before="156" w:after="156"/>
        <w:rPr>
          <w:rFonts w:hint="eastAsia"/>
        </w:rPr>
      </w:pPr>
      <w:r>
        <w:rPr>
          <w:rFonts w:hint="eastAsia"/>
        </w:rPr>
        <w:t>野生动物观览设备设施</w:t>
      </w:r>
    </w:p>
    <w:p w14:paraId="249FF962">
      <w:pPr>
        <w:pStyle w:val="186"/>
        <w:ind w:left="0"/>
        <w:rPr>
          <w:rFonts w:hint="eastAsia"/>
        </w:rPr>
      </w:pPr>
      <w:r>
        <w:rPr>
          <w:rFonts w:hint="eastAsia"/>
        </w:rPr>
        <w:t>应固定游览线路。</w:t>
      </w:r>
    </w:p>
    <w:p w14:paraId="2631BD08">
      <w:pPr>
        <w:pStyle w:val="186"/>
        <w:ind w:left="0"/>
        <w:rPr>
          <w:rFonts w:hint="eastAsia"/>
        </w:rPr>
      </w:pPr>
      <w:r>
        <w:rPr>
          <w:rFonts w:hint="eastAsia"/>
        </w:rPr>
        <w:t>应对游客进行安全告知，现场张贴游人告知牌。</w:t>
      </w:r>
    </w:p>
    <w:p w14:paraId="6BC3D336">
      <w:pPr>
        <w:pStyle w:val="186"/>
        <w:ind w:left="0"/>
        <w:rPr>
          <w:rFonts w:hint="eastAsia"/>
        </w:rPr>
      </w:pPr>
      <w:r>
        <w:rPr>
          <w:rFonts w:hint="eastAsia"/>
        </w:rPr>
        <w:t>巡逻车应配备对讲机、报警灯、绳索、灭火器，巡逻车的保险杠外侧应加装防撞杠，玻璃窗应增设防护栏。</w:t>
      </w:r>
    </w:p>
    <w:p w14:paraId="4D6654D0">
      <w:pPr>
        <w:pStyle w:val="186"/>
        <w:ind w:left="0"/>
        <w:rPr>
          <w:rFonts w:hint="eastAsia"/>
        </w:rPr>
      </w:pPr>
      <w:r>
        <w:rPr>
          <w:rFonts w:hint="eastAsia"/>
          <w:lang w:val="en-US" w:eastAsia="zh-CN"/>
        </w:rPr>
        <w:t>笼网</w:t>
      </w:r>
      <w:r>
        <w:rPr>
          <w:rFonts w:hint="eastAsia"/>
        </w:rPr>
        <w:t>观览车辆</w:t>
      </w:r>
      <w:r>
        <w:rPr>
          <w:rFonts w:hint="eastAsia"/>
          <w:lang w:val="en-US" w:eastAsia="zh-CN"/>
        </w:rPr>
        <w:t>应</w:t>
      </w:r>
      <w:r>
        <w:rPr>
          <w:rFonts w:hint="eastAsia"/>
        </w:rPr>
        <w:t>按场内机动车辆管理，防护栏、网、逃生门等齐全完好</w:t>
      </w:r>
      <w:r>
        <w:rPr>
          <w:rFonts w:hint="eastAsia"/>
          <w:lang w:eastAsia="zh-CN"/>
        </w:rPr>
        <w:t>。</w:t>
      </w:r>
    </w:p>
    <w:p w14:paraId="7F9F6DB9">
      <w:pPr>
        <w:pStyle w:val="186"/>
        <w:ind w:left="0"/>
        <w:rPr>
          <w:rFonts w:hint="eastAsia"/>
        </w:rPr>
      </w:pPr>
      <w:r>
        <w:rPr>
          <w:rFonts w:hint="eastAsia"/>
        </w:rPr>
        <w:t>自驾区游览车辆门应有锁紧装置，并应配备灭火器和对讲机</w:t>
      </w:r>
      <w:r>
        <w:rPr>
          <w:rFonts w:hint="eastAsia"/>
          <w:lang w:eastAsia="zh-CN"/>
        </w:rPr>
        <w:t>。</w:t>
      </w:r>
    </w:p>
    <w:p w14:paraId="5E9D4729">
      <w:pPr>
        <w:pStyle w:val="186"/>
        <w:ind w:left="0"/>
        <w:rPr>
          <w:rFonts w:hint="eastAsia"/>
        </w:rPr>
      </w:pPr>
      <w:r>
        <w:rPr>
          <w:rFonts w:hint="eastAsia"/>
        </w:rPr>
        <w:t>游客自驾观览的场所，应设置游客车辆观览专用通道，通道应采取隔离网、架空、强化玻璃幕墙等方式确保车辆不应与猛兽有任何接触可能。</w:t>
      </w:r>
    </w:p>
    <w:p w14:paraId="7EB1269C">
      <w:pPr>
        <w:pStyle w:val="110"/>
        <w:spacing w:before="156" w:after="156"/>
        <w:rPr>
          <w:rFonts w:hint="eastAsia"/>
        </w:rPr>
      </w:pPr>
      <w:r>
        <w:rPr>
          <w:rFonts w:hint="eastAsia"/>
        </w:rPr>
        <w:t>温泉</w:t>
      </w:r>
    </w:p>
    <w:p w14:paraId="56A66E3B">
      <w:pPr>
        <w:pStyle w:val="186"/>
        <w:numPr>
          <w:ilvl w:val="0"/>
          <w:numId w:val="0"/>
        </w:numPr>
        <w:ind w:firstLine="420" w:firstLineChars="200"/>
        <w:rPr>
          <w:rFonts w:hint="eastAsia"/>
        </w:rPr>
      </w:pPr>
      <w:r>
        <w:rPr>
          <w:rFonts w:hint="eastAsia"/>
        </w:rPr>
        <w:t>温泉</w:t>
      </w:r>
      <w:r>
        <w:rPr>
          <w:rFonts w:hint="eastAsia"/>
          <w:lang w:val="en-US" w:eastAsia="zh-CN"/>
        </w:rPr>
        <w:t>设施</w:t>
      </w:r>
      <w:r>
        <w:rPr>
          <w:rFonts w:hint="eastAsia"/>
        </w:rPr>
        <w:t>应符合LB/T 046和</w:t>
      </w:r>
      <w:r>
        <w:fldChar w:fldCharType="begin"/>
      </w:r>
      <w:r>
        <w:instrText xml:space="preserve"> HYPERLINK "http://www.csres.com/detail/271291.html" \t "_blank" </w:instrText>
      </w:r>
      <w:r>
        <w:fldChar w:fldCharType="separate"/>
      </w:r>
      <w:r>
        <w:rPr>
          <w:rFonts w:hint="eastAsia"/>
        </w:rPr>
        <w:t>DB11/T 1216</w:t>
      </w:r>
      <w:r>
        <w:fldChar w:fldCharType="end"/>
      </w:r>
      <w:r>
        <w:rPr>
          <w:rFonts w:hint="eastAsia"/>
        </w:rPr>
        <w:t>的规定。</w:t>
      </w:r>
    </w:p>
    <w:p w14:paraId="1D6D118E">
      <w:pPr>
        <w:pStyle w:val="110"/>
        <w:spacing w:before="156" w:after="156"/>
        <w:rPr>
          <w:rFonts w:hint="eastAsia"/>
        </w:rPr>
      </w:pPr>
      <w:r>
        <w:rPr>
          <w:rFonts w:hint="eastAsia"/>
        </w:rPr>
        <w:t>冷库</w:t>
      </w:r>
    </w:p>
    <w:p w14:paraId="5DF0051A">
      <w:pPr>
        <w:pStyle w:val="36"/>
        <w:rPr>
          <w:rFonts w:hint="eastAsia"/>
        </w:rPr>
      </w:pPr>
      <w:r>
        <w:rPr>
          <w:rFonts w:hint="eastAsia"/>
        </w:rPr>
        <w:t>冷库应符合GB/T 28009的规定。</w:t>
      </w:r>
    </w:p>
    <w:p w14:paraId="435F6FC5">
      <w:pPr>
        <w:pStyle w:val="99"/>
        <w:rPr>
          <w:rFonts w:hint="eastAsia" w:ascii="宋体" w:eastAsia="宋体"/>
        </w:rPr>
      </w:pPr>
      <w:bookmarkStart w:id="168" w:name="_Toc482174622"/>
      <w:bookmarkStart w:id="169" w:name="_Toc498337266"/>
      <w:bookmarkStart w:id="170" w:name="_Toc504594712"/>
      <w:bookmarkStart w:id="171" w:name="_Toc482169104"/>
      <w:bookmarkStart w:id="172" w:name="_Toc482172267"/>
      <w:bookmarkStart w:id="173" w:name="_Toc484958266"/>
      <w:bookmarkStart w:id="174" w:name="_Toc482189171"/>
      <w:bookmarkStart w:id="175" w:name="_Toc498286342"/>
      <w:bookmarkStart w:id="176" w:name="_Toc484984799"/>
      <w:bookmarkStart w:id="177" w:name="_Toc484965490"/>
      <w:bookmarkStart w:id="178" w:name="_Toc498325671"/>
      <w:bookmarkStart w:id="179" w:name="_Toc498348131"/>
      <w:bookmarkStart w:id="180" w:name="_Toc482174138"/>
      <w:bookmarkStart w:id="181" w:name="_Toc486261027"/>
      <w:bookmarkStart w:id="182" w:name="_Toc482114492"/>
      <w:bookmarkStart w:id="183" w:name="_Toc482198483"/>
      <w:bookmarkStart w:id="184" w:name="_Toc484965760"/>
      <w:bookmarkStart w:id="185" w:name="_Toc482172326"/>
      <w:bookmarkStart w:id="186" w:name="_Toc504931837"/>
      <w:bookmarkStart w:id="187" w:name="_Toc482175044"/>
      <w:bookmarkStart w:id="188" w:name="_Toc1207"/>
      <w:bookmarkStart w:id="189" w:name="_Toc16107"/>
      <w:r>
        <w:rPr>
          <w:rFonts w:hint="eastAsia"/>
        </w:rPr>
        <w:t>特种设备</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438FE8E">
      <w:pPr>
        <w:pStyle w:val="134"/>
        <w:rPr>
          <w:rFonts w:hint="eastAsia"/>
        </w:rPr>
      </w:pPr>
      <w:bookmarkStart w:id="190" w:name="_Toc427239337"/>
      <w:r>
        <w:rPr>
          <w:rFonts w:hint="eastAsia"/>
        </w:rPr>
        <w:t>特种设备应符合DB11/T 1322.2</w:t>
      </w:r>
      <w:r>
        <w:rPr>
          <w:rFonts w:hint="eastAsia"/>
          <w:lang w:eastAsia="zh-CN"/>
        </w:rPr>
        <w:t>、</w:t>
      </w:r>
      <w:r>
        <w:rPr>
          <w:rFonts w:hint="eastAsia"/>
        </w:rPr>
        <w:t>DB11/T 418</w:t>
      </w:r>
      <w:r>
        <w:rPr>
          <w:rFonts w:hint="eastAsia"/>
          <w:lang w:eastAsia="zh-CN"/>
        </w:rPr>
        <w:t>、</w:t>
      </w:r>
      <w:r>
        <w:rPr>
          <w:rFonts w:hint="eastAsia" w:ascii="宋体" w:hAnsi="Times New Roman"/>
          <w:sz w:val="21"/>
          <w:szCs w:val="21"/>
          <w:lang w:val="en-US" w:eastAsia="zh-CN"/>
        </w:rPr>
        <w:t>TSG</w:t>
      </w:r>
      <w:r>
        <w:rPr>
          <w:rFonts w:hint="eastAsia"/>
          <w:sz w:val="21"/>
          <w:szCs w:val="21"/>
          <w:lang w:val="en-US" w:eastAsia="zh-CN"/>
        </w:rPr>
        <w:t xml:space="preserve"> </w:t>
      </w:r>
      <w:r>
        <w:rPr>
          <w:rFonts w:hint="eastAsia" w:ascii="宋体" w:hAnsi="Times New Roman"/>
          <w:sz w:val="21"/>
          <w:szCs w:val="21"/>
          <w:lang w:val="en-US" w:eastAsia="zh-CN"/>
        </w:rPr>
        <w:t>11</w:t>
      </w:r>
      <w:r>
        <w:rPr>
          <w:rFonts w:hint="eastAsia" w:hAnsi="Times New Roman"/>
          <w:sz w:val="21"/>
          <w:szCs w:val="21"/>
          <w:lang w:val="en-US" w:eastAsia="zh-CN"/>
        </w:rPr>
        <w:t>、TSG</w:t>
      </w:r>
      <w:r>
        <w:rPr>
          <w:rFonts w:hint="eastAsia"/>
          <w:sz w:val="21"/>
          <w:szCs w:val="21"/>
          <w:lang w:val="en-US" w:eastAsia="zh-CN"/>
        </w:rPr>
        <w:t xml:space="preserve"> </w:t>
      </w:r>
      <w:r>
        <w:rPr>
          <w:rFonts w:hint="eastAsia" w:hAnsi="Times New Roman"/>
          <w:sz w:val="21"/>
          <w:szCs w:val="21"/>
          <w:lang w:val="en-US" w:eastAsia="zh-CN"/>
        </w:rPr>
        <w:t>23</w:t>
      </w:r>
      <w:r>
        <w:rPr>
          <w:rFonts w:hint="eastAsia"/>
        </w:rPr>
        <w:t>和</w:t>
      </w:r>
      <w:r>
        <w:rPr>
          <w:rFonts w:hint="eastAsia" w:hAnsi="Times New Roman"/>
          <w:kern w:val="0"/>
          <w:szCs w:val="21"/>
        </w:rPr>
        <w:t>TSG</w:t>
      </w:r>
      <w:r>
        <w:rPr>
          <w:rFonts w:hint="eastAsia" w:hAnsi="Times New Roman"/>
          <w:kern w:val="0"/>
          <w:szCs w:val="21"/>
          <w:lang w:val="en-US" w:eastAsia="zh-CN"/>
        </w:rPr>
        <w:t xml:space="preserve"> </w:t>
      </w:r>
      <w:r>
        <w:rPr>
          <w:rFonts w:hint="eastAsia" w:hAnsi="Times New Roman"/>
          <w:kern w:val="0"/>
          <w:szCs w:val="21"/>
        </w:rPr>
        <w:t>T7001</w:t>
      </w:r>
      <w:r>
        <w:rPr>
          <w:rFonts w:hint="eastAsia"/>
        </w:rPr>
        <w:t>的规定。</w:t>
      </w:r>
    </w:p>
    <w:p w14:paraId="6B3E2BBC">
      <w:pPr>
        <w:pStyle w:val="134"/>
        <w:rPr>
          <w:rFonts w:hint="eastAsia"/>
        </w:rPr>
      </w:pPr>
      <w:r>
        <w:rPr>
          <w:rFonts w:hint="eastAsia"/>
        </w:rPr>
        <w:t>简单压力容器应符合T</w:t>
      </w:r>
      <w:r>
        <w:t>SG</w:t>
      </w:r>
      <w:r>
        <w:rPr>
          <w:rFonts w:hint="eastAsia"/>
        </w:rPr>
        <w:t xml:space="preserve"> </w:t>
      </w:r>
      <w:r>
        <w:t>21</w:t>
      </w:r>
      <w:r>
        <w:rPr>
          <w:rFonts w:hint="eastAsia"/>
        </w:rPr>
        <w:t>的规定。</w:t>
      </w:r>
    </w:p>
    <w:bookmarkEnd w:id="190"/>
    <w:p w14:paraId="268F4D4C">
      <w:pPr>
        <w:pStyle w:val="134"/>
        <w:rPr>
          <w:rFonts w:hint="eastAsia"/>
        </w:rPr>
      </w:pPr>
      <w:bookmarkStart w:id="191" w:name="_Toc427239341"/>
      <w:r>
        <w:rPr>
          <w:rFonts w:hint="eastAsia"/>
        </w:rPr>
        <w:t>客运索道、大型游乐设施日常管理应符合GB</w:t>
      </w:r>
      <w:r>
        <w:rPr>
          <w:rFonts w:hint="eastAsia"/>
          <w:lang w:val="en-US" w:eastAsia="zh-CN"/>
        </w:rPr>
        <w:t xml:space="preserve"> </w:t>
      </w:r>
      <w:r>
        <w:rPr>
          <w:rFonts w:hint="eastAsia"/>
        </w:rPr>
        <w:t>18158</w:t>
      </w:r>
      <w:r>
        <w:rPr>
          <w:rFonts w:hint="eastAsia"/>
          <w:lang w:eastAsia="zh-CN"/>
        </w:rPr>
        <w:t>、GB</w:t>
      </w:r>
      <w:r>
        <w:rPr>
          <w:rFonts w:hint="eastAsia"/>
          <w:lang w:val="en-US" w:eastAsia="zh-CN"/>
        </w:rPr>
        <w:t xml:space="preserve"> </w:t>
      </w:r>
      <w:r>
        <w:rPr>
          <w:rFonts w:hint="eastAsia"/>
          <w:lang w:eastAsia="zh-CN"/>
        </w:rPr>
        <w:t>18159、GB</w:t>
      </w:r>
      <w:r>
        <w:rPr>
          <w:rFonts w:hint="eastAsia"/>
          <w:lang w:val="en-US" w:eastAsia="zh-CN"/>
        </w:rPr>
        <w:t xml:space="preserve"> </w:t>
      </w:r>
      <w:r>
        <w:rPr>
          <w:rFonts w:hint="eastAsia"/>
          <w:lang w:eastAsia="zh-CN"/>
        </w:rPr>
        <w:t>18161、GB</w:t>
      </w:r>
      <w:r>
        <w:rPr>
          <w:rFonts w:hint="eastAsia"/>
          <w:lang w:val="en-US" w:eastAsia="zh-CN"/>
        </w:rPr>
        <w:t xml:space="preserve"> </w:t>
      </w:r>
      <w:r>
        <w:rPr>
          <w:rFonts w:hint="eastAsia"/>
          <w:lang w:eastAsia="zh-CN"/>
        </w:rPr>
        <w:t>18164、</w:t>
      </w:r>
      <w:r>
        <w:rPr>
          <w:rFonts w:hint="eastAsia" w:ascii="宋体" w:hAnsi="Times New Roman"/>
          <w:sz w:val="21"/>
          <w:szCs w:val="21"/>
          <w:lang w:val="en-US" w:eastAsia="zh-CN"/>
        </w:rPr>
        <w:t>GB/T</w:t>
      </w:r>
      <w:r>
        <w:rPr>
          <w:rFonts w:hint="eastAsia" w:hAnsi="Times New Roman"/>
          <w:sz w:val="21"/>
          <w:szCs w:val="21"/>
          <w:lang w:val="en-US" w:eastAsia="zh-CN"/>
        </w:rPr>
        <w:t xml:space="preserve"> </w:t>
      </w:r>
      <w:r>
        <w:rPr>
          <w:rFonts w:hint="eastAsia" w:ascii="宋体" w:hAnsi="Times New Roman"/>
          <w:sz w:val="21"/>
          <w:szCs w:val="21"/>
          <w:lang w:val="en-US" w:eastAsia="zh-CN"/>
        </w:rPr>
        <w:t>18165</w:t>
      </w:r>
      <w:r>
        <w:rPr>
          <w:rFonts w:hint="eastAsia" w:hAnsi="Times New Roman"/>
          <w:sz w:val="21"/>
          <w:szCs w:val="21"/>
          <w:lang w:val="en-US" w:eastAsia="zh-CN"/>
        </w:rPr>
        <w:t>、</w:t>
      </w:r>
      <w:r>
        <w:rPr>
          <w:rFonts w:hint="eastAsia"/>
        </w:rPr>
        <w:t>GB</w:t>
      </w:r>
      <w:r>
        <w:rPr>
          <w:rFonts w:hint="eastAsia"/>
          <w:lang w:val="en-US" w:eastAsia="zh-CN"/>
        </w:rPr>
        <w:t xml:space="preserve"> </w:t>
      </w:r>
      <w:r>
        <w:rPr>
          <w:rFonts w:hint="eastAsia"/>
        </w:rPr>
        <w:t>18168</w:t>
      </w:r>
      <w:r>
        <w:rPr>
          <w:rFonts w:hint="eastAsia"/>
          <w:lang w:eastAsia="zh-CN"/>
        </w:rPr>
        <w:t>、GB/T 31257、</w:t>
      </w:r>
      <w:r>
        <w:rPr>
          <w:rFonts w:hint="eastAsia"/>
        </w:rPr>
        <w:t>DB11/T 3030</w:t>
      </w:r>
      <w:r>
        <w:rPr>
          <w:rFonts w:hint="eastAsia"/>
          <w:lang w:val="en-US" w:eastAsia="zh-CN"/>
        </w:rPr>
        <w:t>和</w:t>
      </w:r>
      <w:r>
        <w:rPr>
          <w:rFonts w:hint="eastAsia"/>
        </w:rPr>
        <w:t>TSG</w:t>
      </w:r>
      <w:r>
        <w:rPr>
          <w:rFonts w:hint="eastAsia"/>
          <w:lang w:val="en-US" w:eastAsia="zh-CN"/>
        </w:rPr>
        <w:t xml:space="preserve"> </w:t>
      </w:r>
      <w:r>
        <w:rPr>
          <w:rFonts w:hint="eastAsia"/>
        </w:rPr>
        <w:t>71</w:t>
      </w:r>
      <w:r>
        <w:rPr>
          <w:rFonts w:hint="eastAsia"/>
          <w:lang w:val="en-US" w:eastAsia="zh-CN"/>
        </w:rPr>
        <w:t>的规定</w:t>
      </w:r>
      <w:r>
        <w:rPr>
          <w:rFonts w:hint="eastAsia"/>
          <w:lang w:eastAsia="zh-CN"/>
        </w:rPr>
        <w:t>。</w:t>
      </w:r>
    </w:p>
    <w:bookmarkEnd w:id="191"/>
    <w:p w14:paraId="3CDD143D">
      <w:pPr>
        <w:pStyle w:val="134"/>
        <w:rPr>
          <w:rFonts w:hint="eastAsia"/>
        </w:rPr>
      </w:pPr>
      <w:r>
        <w:rPr>
          <w:rFonts w:hint="eastAsia"/>
        </w:rPr>
        <w:t>观光车辆应符合GB 24727</w:t>
      </w:r>
      <w:r>
        <w:rPr>
          <w:rFonts w:hint="eastAsia"/>
          <w:lang w:eastAsia="zh-CN"/>
        </w:rPr>
        <w:t>、</w:t>
      </w:r>
      <w:r>
        <w:rPr>
          <w:rFonts w:hint="eastAsia" w:ascii="宋体" w:hAnsi="Times New Roman"/>
          <w:sz w:val="21"/>
          <w:szCs w:val="21"/>
          <w:lang w:val="en-US" w:eastAsia="zh-CN"/>
        </w:rPr>
        <w:t>GB</w:t>
      </w:r>
      <w:r>
        <w:rPr>
          <w:rFonts w:hint="eastAsia"/>
          <w:sz w:val="21"/>
          <w:szCs w:val="21"/>
          <w:lang w:val="en-US" w:eastAsia="zh-CN"/>
        </w:rPr>
        <w:t xml:space="preserve"> </w:t>
      </w:r>
      <w:r>
        <w:rPr>
          <w:rFonts w:hint="eastAsia" w:ascii="宋体" w:hAnsi="Times New Roman"/>
          <w:sz w:val="21"/>
          <w:szCs w:val="21"/>
          <w:lang w:val="en-US" w:eastAsia="zh-CN"/>
        </w:rPr>
        <w:t>41097</w:t>
      </w:r>
      <w:r>
        <w:rPr>
          <w:rFonts w:hint="eastAsia" w:hAnsi="Times New Roman"/>
          <w:sz w:val="21"/>
          <w:szCs w:val="21"/>
          <w:lang w:val="en-US" w:eastAsia="zh-CN"/>
        </w:rPr>
        <w:t>和</w:t>
      </w:r>
      <w:r>
        <w:rPr>
          <w:rFonts w:hint="eastAsia" w:ascii="宋体" w:hAnsi="Times New Roman" w:eastAsia="宋体" w:cs="Times New Roman"/>
          <w:kern w:val="0"/>
          <w:szCs w:val="21"/>
        </w:rPr>
        <w:t>TSG</w:t>
      </w:r>
      <w:r>
        <w:rPr>
          <w:rFonts w:hint="eastAsia" w:ascii="宋体" w:hAnsi="Times New Roman" w:eastAsia="宋体" w:cs="Times New Roman"/>
          <w:kern w:val="0"/>
          <w:szCs w:val="21"/>
          <w:lang w:val="en-US" w:eastAsia="zh-CN"/>
        </w:rPr>
        <w:t xml:space="preserve"> </w:t>
      </w:r>
      <w:r>
        <w:rPr>
          <w:rFonts w:hint="eastAsia" w:ascii="宋体" w:hAnsi="Times New Roman" w:eastAsia="宋体" w:cs="Times New Roman"/>
          <w:kern w:val="0"/>
          <w:szCs w:val="21"/>
        </w:rPr>
        <w:t>81</w:t>
      </w:r>
      <w:r>
        <w:rPr>
          <w:rFonts w:hint="eastAsia"/>
        </w:rPr>
        <w:t>的规定。</w:t>
      </w:r>
    </w:p>
    <w:p w14:paraId="0F28C912">
      <w:pPr>
        <w:pStyle w:val="99"/>
        <w:rPr>
          <w:rFonts w:hint="eastAsia"/>
        </w:rPr>
      </w:pPr>
      <w:bookmarkStart w:id="192" w:name="_Toc498325672"/>
      <w:bookmarkStart w:id="193" w:name="_Toc482174623"/>
      <w:bookmarkStart w:id="194" w:name="_Toc482172268"/>
      <w:bookmarkStart w:id="195" w:name="_Toc482189172"/>
      <w:bookmarkStart w:id="196" w:name="_Toc504594713"/>
      <w:bookmarkStart w:id="197" w:name="_Toc484984800"/>
      <w:bookmarkStart w:id="198" w:name="_Toc484965761"/>
      <w:bookmarkStart w:id="199" w:name="_Toc498348132"/>
      <w:bookmarkStart w:id="200" w:name="_Toc482169105"/>
      <w:bookmarkStart w:id="201" w:name="_Toc482174139"/>
      <w:bookmarkStart w:id="202" w:name="_Toc482175045"/>
      <w:bookmarkStart w:id="203" w:name="_Toc486261028"/>
      <w:bookmarkStart w:id="204" w:name="_Toc484958267"/>
      <w:bookmarkStart w:id="205" w:name="_Toc504931838"/>
      <w:bookmarkStart w:id="206" w:name="_Toc482198484"/>
      <w:bookmarkStart w:id="207" w:name="_Toc498337267"/>
      <w:bookmarkStart w:id="208" w:name="_Toc482172327"/>
      <w:bookmarkStart w:id="209" w:name="_Toc484965491"/>
      <w:bookmarkStart w:id="210" w:name="_Toc498286343"/>
      <w:bookmarkStart w:id="211" w:name="_Toc482114493"/>
      <w:bookmarkStart w:id="212" w:name="_Toc4214"/>
      <w:bookmarkStart w:id="213" w:name="_Toc20270"/>
      <w:r>
        <w:rPr>
          <w:rFonts w:hint="eastAsia"/>
        </w:rPr>
        <w:t>公用辅助用房及设备设施</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54445597">
      <w:pPr>
        <w:pStyle w:val="110"/>
        <w:spacing w:before="156" w:after="156"/>
        <w:rPr>
          <w:rFonts w:hint="eastAsia"/>
        </w:rPr>
      </w:pPr>
      <w:r>
        <w:rPr>
          <w:rFonts w:hint="eastAsia"/>
        </w:rPr>
        <w:t>锅炉房</w:t>
      </w:r>
    </w:p>
    <w:p w14:paraId="7297B72D">
      <w:pPr>
        <w:pStyle w:val="186"/>
        <w:ind w:left="0"/>
      </w:pPr>
      <w:r>
        <w:rPr>
          <w:rFonts w:hint="eastAsia"/>
        </w:rPr>
        <w:t>锅炉房的安全要求应符合</w:t>
      </w:r>
      <w:r>
        <w:t>GB</w:t>
      </w:r>
      <w:r>
        <w:rPr>
          <w:rFonts w:hint="eastAsia"/>
        </w:rPr>
        <w:t xml:space="preserve"> </w:t>
      </w:r>
      <w:r>
        <w:t>50016</w:t>
      </w:r>
      <w:r>
        <w:rPr>
          <w:rFonts w:hint="eastAsia"/>
        </w:rPr>
        <w:t>和DB</w:t>
      </w:r>
      <w:r>
        <w:rPr>
          <w:rFonts w:hint="eastAsia"/>
          <w:lang w:val="en-US" w:eastAsia="zh-CN"/>
        </w:rPr>
        <w:t xml:space="preserve"> </w:t>
      </w:r>
      <w:r>
        <w:rPr>
          <w:rFonts w:hint="eastAsia"/>
        </w:rPr>
        <w:t>11/T 760的规定。燃油、燃气管道接地良好，螺</w:t>
      </w:r>
      <w:r>
        <w:rPr>
          <w:rFonts w:hint="eastAsia"/>
          <w:lang w:val="en-US" w:eastAsia="zh-CN"/>
        </w:rPr>
        <w:t>栓</w:t>
      </w:r>
      <w:r>
        <w:rPr>
          <w:rFonts w:hint="eastAsia"/>
        </w:rPr>
        <w:t>少于</w:t>
      </w:r>
      <w:r>
        <w:t>5</w:t>
      </w:r>
      <w:r>
        <w:rPr>
          <w:rFonts w:hint="eastAsia"/>
        </w:rPr>
        <w:t>个的法兰连接处跨接线应完好有效；接地电阻应每年检测1次，并保存记录。</w:t>
      </w:r>
    </w:p>
    <w:p w14:paraId="21F8C2D9">
      <w:pPr>
        <w:pStyle w:val="186"/>
        <w:ind w:left="0"/>
      </w:pPr>
      <w:r>
        <w:rPr>
          <w:rFonts w:hint="eastAsia"/>
        </w:rPr>
        <w:t>架空敷设或外露的燃气管道，应有与输送介质相一致的识别色、识别符号（介质名称和流向）和安全标识。</w:t>
      </w:r>
    </w:p>
    <w:p w14:paraId="5888EC73">
      <w:pPr>
        <w:pStyle w:val="186"/>
        <w:ind w:left="0"/>
      </w:pPr>
      <w:r>
        <w:rPr>
          <w:rFonts w:hint="eastAsia"/>
        </w:rPr>
        <w:t>锅炉房应有锅炉及附属设备的运行记录、交接班记录、水处理设备运行及水质化验记录、设备检修保养记录、设备管理人员每月1次的锅炉检查记录、事件事故记录</w:t>
      </w:r>
      <w:r>
        <w:rPr>
          <w:rFonts w:hint="eastAsia"/>
          <w:lang w:eastAsia="zh-CN"/>
        </w:rPr>
        <w:t>。</w:t>
      </w:r>
    </w:p>
    <w:p w14:paraId="7C37CF9C">
      <w:pPr>
        <w:pStyle w:val="186"/>
        <w:ind w:left="0"/>
      </w:pPr>
      <w:r>
        <w:rPr>
          <w:rFonts w:hint="eastAsia"/>
        </w:rPr>
        <w:t>锅炉房</w:t>
      </w:r>
      <w:r>
        <w:rPr>
          <w:rFonts w:hint="eastAsia"/>
          <w:lang w:val="en-US" w:eastAsia="zh-CN"/>
        </w:rPr>
        <w:t>应建立</w:t>
      </w:r>
      <w:r>
        <w:rPr>
          <w:rFonts w:hint="eastAsia"/>
        </w:rPr>
        <w:t>出入登记制度。</w:t>
      </w:r>
    </w:p>
    <w:p w14:paraId="3121A45D">
      <w:pPr>
        <w:pStyle w:val="110"/>
        <w:spacing w:before="156" w:after="156"/>
        <w:ind w:left="0"/>
        <w:rPr>
          <w:rFonts w:hint="eastAsia"/>
          <w:highlight w:val="none"/>
        </w:rPr>
      </w:pPr>
      <w:r>
        <w:rPr>
          <w:rFonts w:hint="eastAsia"/>
          <w:highlight w:val="none"/>
        </w:rPr>
        <w:t>地源热泵</w:t>
      </w:r>
    </w:p>
    <w:p w14:paraId="7DA56D3D">
      <w:pPr>
        <w:pStyle w:val="117"/>
        <w:numPr>
          <w:ilvl w:val="0"/>
          <w:numId w:val="0"/>
        </w:numPr>
        <w:spacing w:before="0" w:beforeLines="0" w:after="0" w:afterLines="0"/>
        <w:ind w:left="0" w:firstLine="420" w:firstLineChars="200"/>
        <w:rPr>
          <w:rFonts w:ascii="宋体" w:hAnsi="宋体" w:eastAsia="宋体"/>
          <w:highlight w:val="none"/>
        </w:rPr>
      </w:pPr>
      <w:r>
        <w:rPr>
          <w:rFonts w:hint="eastAsia" w:ascii="宋体" w:hAnsi="宋体" w:eastAsia="宋体"/>
          <w:highlight w:val="none"/>
        </w:rPr>
        <w:t>地源热泵的安全要求应符合</w:t>
      </w:r>
      <w:r>
        <w:rPr>
          <w:rFonts w:ascii="宋体" w:hAnsi="宋体" w:eastAsia="宋体"/>
          <w:highlight w:val="none"/>
        </w:rPr>
        <w:t>DB11</w:t>
      </w:r>
      <w:r>
        <w:rPr>
          <w:rFonts w:hint="eastAsia" w:ascii="宋体" w:hAnsi="宋体" w:eastAsia="宋体"/>
          <w:highlight w:val="none"/>
        </w:rPr>
        <w:t>/</w:t>
      </w:r>
      <w:r>
        <w:rPr>
          <w:rFonts w:ascii="宋体" w:hAnsi="宋体" w:eastAsia="宋体"/>
          <w:highlight w:val="none"/>
        </w:rPr>
        <w:t>T 1771</w:t>
      </w:r>
      <w:r>
        <w:rPr>
          <w:rFonts w:hint="eastAsia" w:ascii="宋体" w:hAnsi="宋体" w:eastAsia="宋体"/>
          <w:highlight w:val="none"/>
        </w:rPr>
        <w:t>的规定。</w:t>
      </w:r>
    </w:p>
    <w:p w14:paraId="5C4DBE76">
      <w:pPr>
        <w:pStyle w:val="110"/>
        <w:spacing w:before="156" w:after="156"/>
        <w:ind w:left="0"/>
        <w:rPr>
          <w:rFonts w:hint="eastAsia"/>
          <w:highlight w:val="none"/>
        </w:rPr>
      </w:pPr>
      <w:r>
        <w:rPr>
          <w:rFonts w:hint="eastAsia"/>
          <w:highlight w:val="none"/>
        </w:rPr>
        <w:t>空气源热泵</w:t>
      </w:r>
    </w:p>
    <w:p w14:paraId="4D6A6161">
      <w:pPr>
        <w:pStyle w:val="117"/>
        <w:numPr>
          <w:ilvl w:val="0"/>
          <w:numId w:val="0"/>
        </w:numPr>
        <w:spacing w:before="0" w:beforeLines="0" w:after="0" w:afterLines="0"/>
        <w:ind w:left="0" w:firstLine="420" w:firstLineChars="200"/>
        <w:rPr>
          <w:rFonts w:hint="eastAsia" w:ascii="宋体" w:hAnsi="宋体" w:eastAsia="宋体"/>
          <w:highlight w:val="none"/>
        </w:rPr>
      </w:pPr>
      <w:r>
        <w:rPr>
          <w:rFonts w:hint="eastAsia" w:ascii="宋体" w:hAnsi="宋体" w:eastAsia="宋体"/>
          <w:highlight w:val="none"/>
        </w:rPr>
        <w:t>空气源热泵的安全要求应符合</w:t>
      </w:r>
      <w:r>
        <w:rPr>
          <w:rFonts w:ascii="宋体" w:hAnsi="宋体" w:eastAsia="宋体"/>
          <w:highlight w:val="none"/>
        </w:rPr>
        <w:t>DB11</w:t>
      </w:r>
      <w:r>
        <w:rPr>
          <w:rFonts w:hint="eastAsia" w:ascii="宋体" w:hAnsi="宋体" w:eastAsia="宋体"/>
          <w:highlight w:val="none"/>
        </w:rPr>
        <w:t>/</w:t>
      </w:r>
      <w:r>
        <w:rPr>
          <w:rFonts w:ascii="宋体" w:hAnsi="宋体" w:eastAsia="宋体"/>
          <w:highlight w:val="none"/>
        </w:rPr>
        <w:t>T 1</w:t>
      </w:r>
      <w:r>
        <w:rPr>
          <w:rFonts w:hint="eastAsia" w:ascii="宋体" w:hAnsi="宋体" w:eastAsia="宋体"/>
          <w:highlight w:val="none"/>
        </w:rPr>
        <w:t>382的规定。</w:t>
      </w:r>
    </w:p>
    <w:p w14:paraId="6567E8C5">
      <w:pPr>
        <w:pStyle w:val="110"/>
        <w:spacing w:before="156" w:after="156"/>
      </w:pPr>
      <w:r>
        <w:rPr>
          <w:rFonts w:hint="eastAsia"/>
        </w:rPr>
        <w:t>空调系统</w:t>
      </w:r>
    </w:p>
    <w:p w14:paraId="016CCBA9">
      <w:pPr>
        <w:pStyle w:val="36"/>
        <w:rPr>
          <w:rFonts w:hint="eastAsia" w:hAnsi="宋体"/>
          <w:szCs w:val="21"/>
        </w:rPr>
      </w:pPr>
      <w:r>
        <w:rPr>
          <w:rFonts w:hint="eastAsia"/>
        </w:rPr>
        <w:t xml:space="preserve">空调系统应符合GB </w:t>
      </w:r>
      <w:r>
        <w:t>50365</w:t>
      </w:r>
      <w:r>
        <w:rPr>
          <w:rFonts w:hint="eastAsia"/>
          <w:lang w:val="en-US" w:eastAsia="zh-CN"/>
        </w:rPr>
        <w:t>和</w:t>
      </w:r>
      <w:r>
        <w:rPr>
          <w:rFonts w:hint="eastAsia" w:ascii="宋体" w:hAnsi="Times New Roman"/>
          <w:kern w:val="0"/>
          <w:sz w:val="21"/>
          <w:szCs w:val="20"/>
        </w:rPr>
        <w:t>GB</w:t>
      </w:r>
      <w:r>
        <w:rPr>
          <w:rFonts w:hint="eastAsia" w:hAnsi="Times New Roman"/>
          <w:kern w:val="0"/>
          <w:sz w:val="21"/>
          <w:szCs w:val="20"/>
          <w:lang w:val="en-US" w:eastAsia="zh-CN"/>
        </w:rPr>
        <w:t xml:space="preserve"> </w:t>
      </w:r>
      <w:r>
        <w:rPr>
          <w:rFonts w:hint="eastAsia" w:ascii="宋体" w:hAnsi="Times New Roman"/>
          <w:kern w:val="0"/>
          <w:sz w:val="21"/>
          <w:szCs w:val="20"/>
        </w:rPr>
        <w:t>9237</w:t>
      </w:r>
      <w:r>
        <w:rPr>
          <w:rFonts w:hint="eastAsia"/>
        </w:rPr>
        <w:t>的规定。</w:t>
      </w:r>
    </w:p>
    <w:p w14:paraId="235F9445">
      <w:pPr>
        <w:pStyle w:val="110"/>
        <w:spacing w:before="156" w:after="156"/>
      </w:pPr>
      <w:bookmarkStart w:id="214" w:name="_Toc440011629"/>
      <w:bookmarkStart w:id="215" w:name="_Toc427239346"/>
      <w:r>
        <w:rPr>
          <w:rFonts w:hint="eastAsia"/>
        </w:rPr>
        <w:t>维修设备</w:t>
      </w:r>
      <w:bookmarkEnd w:id="214"/>
      <w:bookmarkEnd w:id="215"/>
    </w:p>
    <w:p w14:paraId="23373D10">
      <w:pPr>
        <w:pStyle w:val="186"/>
        <w:ind w:left="0"/>
      </w:pPr>
      <w:bookmarkStart w:id="216" w:name="_Toc427239347"/>
      <w:bookmarkStart w:id="217" w:name="_Toc363769701"/>
      <w:r>
        <w:rPr>
          <w:rFonts w:hint="eastAsia"/>
        </w:rPr>
        <w:t>金属加工设备</w:t>
      </w:r>
      <w:bookmarkEnd w:id="216"/>
      <w:r>
        <w:rPr>
          <w:rFonts w:hint="eastAsia"/>
        </w:rPr>
        <w:t>应符合下列要求：</w:t>
      </w:r>
    </w:p>
    <w:p w14:paraId="1B8E560E">
      <w:pPr>
        <w:pStyle w:val="130"/>
        <w:numPr>
          <w:ilvl w:val="0"/>
          <w:numId w:val="29"/>
        </w:numPr>
      </w:pPr>
      <w:r>
        <w:rPr>
          <w:rFonts w:hint="eastAsia"/>
        </w:rPr>
        <w:t>夹具与卡具结构布局合理，零部件与连接部位应完好可靠，与卡具配套的夹具紧密协调；</w:t>
      </w:r>
    </w:p>
    <w:p w14:paraId="238EDC1E">
      <w:pPr>
        <w:pStyle w:val="130"/>
        <w:numPr>
          <w:ilvl w:val="0"/>
          <w:numId w:val="29"/>
        </w:numPr>
      </w:pPr>
      <w:r>
        <w:rPr>
          <w:rFonts w:hint="eastAsia"/>
        </w:rPr>
        <w:t>易产生松动的连接部位应有防松脱装置，各锁紧手柄齐全有效；</w:t>
      </w:r>
    </w:p>
    <w:p w14:paraId="0E7324C6">
      <w:pPr>
        <w:pStyle w:val="130"/>
        <w:numPr>
          <w:ilvl w:val="0"/>
          <w:numId w:val="29"/>
        </w:numPr>
      </w:pPr>
      <w:r>
        <w:rPr>
          <w:rFonts w:hint="eastAsia"/>
        </w:rPr>
        <w:t>夹卡刀具、工件的螺钉齐全完好，螺丝无缺失、滑扣等现象；</w:t>
      </w:r>
    </w:p>
    <w:p w14:paraId="7F3A10E5">
      <w:pPr>
        <w:pStyle w:val="130"/>
        <w:numPr>
          <w:ilvl w:val="0"/>
          <w:numId w:val="29"/>
        </w:numPr>
      </w:pPr>
      <w:r>
        <w:rPr>
          <w:rFonts w:hint="eastAsia"/>
        </w:rPr>
        <w:t>各类行程限位装置、过载保护装置、顺序动作电气与机械连锁装置、事故联锁装置、紧急制动装置、机械与电气自锁或互锁装置、音响信号报警装置、光电等自动保护装置、指示信号装置等应灵敏可靠；</w:t>
      </w:r>
    </w:p>
    <w:p w14:paraId="06E687F3">
      <w:pPr>
        <w:pStyle w:val="130"/>
        <w:numPr>
          <w:ilvl w:val="0"/>
          <w:numId w:val="29"/>
        </w:numPr>
      </w:pPr>
      <w:r>
        <w:rPr>
          <w:rFonts w:hint="eastAsia"/>
        </w:rPr>
        <w:t>限位装置应安全可靠、位置准确，运动机构的行程限制在规定的范围之内；</w:t>
      </w:r>
    </w:p>
    <w:p w14:paraId="76C65041">
      <w:pPr>
        <w:pStyle w:val="130"/>
        <w:numPr>
          <w:ilvl w:val="0"/>
          <w:numId w:val="29"/>
        </w:numPr>
      </w:pPr>
      <w:r>
        <w:rPr>
          <w:rFonts w:hint="eastAsia"/>
        </w:rPr>
        <w:t>操作手柄档位分明、图文标示相符、定位可靠，操纵杆不应因振动和齿轮磨损而脱位；</w:t>
      </w:r>
    </w:p>
    <w:p w14:paraId="4C417E01">
      <w:pPr>
        <w:pStyle w:val="130"/>
        <w:numPr>
          <w:ilvl w:val="0"/>
          <w:numId w:val="29"/>
        </w:numPr>
      </w:pPr>
      <w:r>
        <w:rPr>
          <w:rFonts w:hint="eastAsia"/>
        </w:rPr>
        <w:t>应配备拉屑钩、夹屑钳、扒屑铲、毛刷等清屑专用工具；</w:t>
      </w:r>
    </w:p>
    <w:p w14:paraId="08F2C078">
      <w:pPr>
        <w:pStyle w:val="130"/>
        <w:numPr>
          <w:ilvl w:val="0"/>
          <w:numId w:val="29"/>
        </w:numPr>
      </w:pPr>
      <w:r>
        <w:rPr>
          <w:rFonts w:hint="eastAsia"/>
        </w:rPr>
        <w:t>设备清扫和维护时应停机作业。</w:t>
      </w:r>
    </w:p>
    <w:p w14:paraId="1EF1C483">
      <w:pPr>
        <w:pStyle w:val="186"/>
        <w:ind w:left="0"/>
        <w:rPr>
          <w:rFonts w:hint="eastAsia"/>
        </w:rPr>
      </w:pPr>
      <w:bookmarkStart w:id="218" w:name="_Toc427239348"/>
      <w:r>
        <w:rPr>
          <w:rFonts w:hint="eastAsia"/>
        </w:rPr>
        <w:t>砂轮机</w:t>
      </w:r>
      <w:bookmarkEnd w:id="218"/>
      <w:r>
        <w:rPr>
          <w:rFonts w:hint="eastAsia"/>
        </w:rPr>
        <w:t>的防护罩、砂轮卡盘、托架等应符合GB 4674的规定。</w:t>
      </w:r>
    </w:p>
    <w:p w14:paraId="0BEC0F9D">
      <w:pPr>
        <w:pStyle w:val="186"/>
        <w:ind w:left="0"/>
      </w:pPr>
      <w:bookmarkStart w:id="219" w:name="_Toc427239356"/>
      <w:bookmarkStart w:id="220" w:name="_Toc427239349"/>
      <w:r>
        <w:rPr>
          <w:rFonts w:hint="eastAsia"/>
        </w:rPr>
        <w:t>电焊机</w:t>
      </w:r>
      <w:bookmarkEnd w:id="219"/>
      <w:r>
        <w:rPr>
          <w:rFonts w:hint="eastAsia"/>
        </w:rPr>
        <w:t>应符合GB 9448</w:t>
      </w:r>
      <w:r>
        <w:rPr>
          <w:rFonts w:hint="eastAsia"/>
          <w:lang w:val="en-US" w:eastAsia="zh-CN"/>
        </w:rPr>
        <w:t>的规定</w:t>
      </w:r>
      <w:r>
        <w:rPr>
          <w:rFonts w:hint="eastAsia"/>
          <w:lang w:eastAsia="zh-CN"/>
        </w:rPr>
        <w:t>。</w:t>
      </w:r>
    </w:p>
    <w:bookmarkEnd w:id="220"/>
    <w:p w14:paraId="27D97153">
      <w:pPr>
        <w:pStyle w:val="186"/>
        <w:ind w:left="0"/>
        <w:rPr>
          <w:rFonts w:hint="eastAsia"/>
        </w:rPr>
      </w:pPr>
      <w:r>
        <w:rPr>
          <w:rFonts w:hint="eastAsia"/>
          <w:lang w:val="en-US" w:eastAsia="zh-CN"/>
        </w:rPr>
        <w:t>应建立</w:t>
      </w:r>
      <w:r>
        <w:rPr>
          <w:rFonts w:hint="eastAsia"/>
        </w:rPr>
        <w:t>电动工具台账，登记种类、数量、</w:t>
      </w:r>
      <w:r>
        <w:rPr>
          <w:rFonts w:hint="eastAsia"/>
          <w:lang w:val="en-US" w:eastAsia="zh-CN"/>
        </w:rPr>
        <w:t>责任</w:t>
      </w:r>
      <w:r>
        <w:rPr>
          <w:rFonts w:hint="eastAsia"/>
        </w:rPr>
        <w:t>人、绝缘电阻检测情况等，并符合GB/T 3787的规定</w:t>
      </w:r>
      <w:r>
        <w:rPr>
          <w:rFonts w:hint="eastAsia"/>
          <w:lang w:eastAsia="zh-CN"/>
        </w:rPr>
        <w:t>。</w:t>
      </w:r>
    </w:p>
    <w:p w14:paraId="139BEE03">
      <w:pPr>
        <w:pStyle w:val="186"/>
        <w:ind w:left="0"/>
        <w:rPr>
          <w:rFonts w:hint="eastAsia"/>
        </w:rPr>
      </w:pPr>
      <w:r>
        <w:rPr>
          <w:rFonts w:hint="eastAsia"/>
        </w:rPr>
        <w:t>升降平台应符合GB/T 17888.3和GB 40160的规定。</w:t>
      </w:r>
    </w:p>
    <w:p w14:paraId="11D24856">
      <w:pPr>
        <w:pStyle w:val="110"/>
        <w:spacing w:before="156" w:after="156"/>
        <w:rPr>
          <w:rFonts w:hint="eastAsia"/>
        </w:rPr>
      </w:pPr>
      <w:r>
        <w:rPr>
          <w:rFonts w:hint="eastAsia"/>
        </w:rPr>
        <w:t>停车</w:t>
      </w:r>
      <w:bookmarkEnd w:id="217"/>
      <w:r>
        <w:rPr>
          <w:rFonts w:hint="eastAsia"/>
        </w:rPr>
        <w:t>场所和车辆充电场所</w:t>
      </w:r>
    </w:p>
    <w:p w14:paraId="672E7D46">
      <w:pPr>
        <w:pStyle w:val="186"/>
        <w:ind w:left="0"/>
        <w:rPr>
          <w:rFonts w:hint="eastAsia"/>
        </w:rPr>
      </w:pPr>
      <w:r>
        <w:rPr>
          <w:rFonts w:hint="eastAsia"/>
        </w:rPr>
        <w:t>停车场所应符合GB 50067和DB11/T 596的规定。</w:t>
      </w:r>
      <w:bookmarkStart w:id="221" w:name="_Toc420924271"/>
    </w:p>
    <w:p w14:paraId="7DA594F8">
      <w:pPr>
        <w:pStyle w:val="186"/>
        <w:ind w:left="0"/>
        <w:rPr>
          <w:rFonts w:hint="eastAsia"/>
        </w:rPr>
      </w:pPr>
      <w:r>
        <w:rPr>
          <w:rFonts w:hint="eastAsia"/>
        </w:rPr>
        <w:t>设置电动自行车停放、充电场所，不应在建筑物内违规停放电动自行车或者为电动自行车充电，电动自行车停放、充电场所应符合DB11/ 1624的规定。</w:t>
      </w:r>
    </w:p>
    <w:p w14:paraId="037F6365">
      <w:pPr>
        <w:pStyle w:val="186"/>
        <w:ind w:left="0"/>
        <w:rPr>
          <w:rFonts w:hint="eastAsia"/>
        </w:rPr>
      </w:pPr>
      <w:r>
        <w:rPr>
          <w:rFonts w:hint="eastAsia"/>
        </w:rPr>
        <w:t>电动汽车充电应符合DB 11/T 1455的规定。</w:t>
      </w:r>
    </w:p>
    <w:bookmarkEnd w:id="221"/>
    <w:p w14:paraId="3EFFAD02">
      <w:pPr>
        <w:pStyle w:val="110"/>
        <w:spacing w:before="156" w:after="156"/>
        <w:rPr>
          <w:rFonts w:hint="eastAsia"/>
        </w:rPr>
      </w:pPr>
      <w:bookmarkStart w:id="222" w:name="_Toc420924315"/>
      <w:r>
        <w:rPr>
          <w:rFonts w:hint="eastAsia"/>
        </w:rPr>
        <w:t>绿化</w:t>
      </w:r>
      <w:bookmarkEnd w:id="222"/>
    </w:p>
    <w:p w14:paraId="66E3A7EE">
      <w:pPr>
        <w:pStyle w:val="186"/>
        <w:ind w:left="0"/>
        <w:rPr>
          <w:rFonts w:hint="eastAsia"/>
        </w:rPr>
      </w:pPr>
      <w:r>
        <w:rPr>
          <w:rFonts w:hint="eastAsia"/>
        </w:rPr>
        <w:t>绿化机械转动部位的皮带轮、齿轮、链轮与链条、联轴器等应加防护罩或防护盖；保护镜、肩背带、刀片罩等辅助防护设施齐全、有效。</w:t>
      </w:r>
    </w:p>
    <w:p w14:paraId="49241E23">
      <w:pPr>
        <w:pStyle w:val="186"/>
        <w:ind w:left="0"/>
        <w:rPr>
          <w:rFonts w:hint="eastAsia"/>
        </w:rPr>
      </w:pPr>
      <w:r>
        <w:rPr>
          <w:rFonts w:hint="eastAsia"/>
        </w:rPr>
        <w:t>农药储存、使用应符合GB 12475和NY/T 1276的规定</w:t>
      </w:r>
      <w:r>
        <w:rPr>
          <w:rFonts w:hint="eastAsia"/>
          <w:lang w:eastAsia="zh-CN"/>
        </w:rPr>
        <w:t>。</w:t>
      </w:r>
    </w:p>
    <w:p w14:paraId="6044FF21">
      <w:pPr>
        <w:pStyle w:val="110"/>
        <w:spacing w:before="156" w:after="156"/>
      </w:pPr>
      <w:bookmarkStart w:id="223" w:name="_Toc440011628"/>
      <w:bookmarkStart w:id="224" w:name="_Toc427239345"/>
      <w:r>
        <w:rPr>
          <w:rFonts w:hint="eastAsia"/>
        </w:rPr>
        <w:t>污水处理</w:t>
      </w:r>
      <w:bookmarkEnd w:id="223"/>
      <w:bookmarkEnd w:id="224"/>
      <w:r>
        <w:rPr>
          <w:rFonts w:hint="eastAsia"/>
        </w:rPr>
        <w:t>系统</w:t>
      </w:r>
    </w:p>
    <w:p w14:paraId="0AFE31B2">
      <w:pPr>
        <w:pStyle w:val="186"/>
        <w:ind w:left="0"/>
      </w:pPr>
      <w:r>
        <w:rPr>
          <w:rFonts w:hint="eastAsia"/>
          <w:lang w:val="en-US" w:eastAsia="zh-CN"/>
        </w:rPr>
        <w:t>应符合GB/T 28742的规定。</w:t>
      </w:r>
    </w:p>
    <w:p w14:paraId="3AB384ED">
      <w:pPr>
        <w:pStyle w:val="186"/>
        <w:ind w:left="0"/>
      </w:pPr>
      <w:r>
        <w:rPr>
          <w:rFonts w:hint="eastAsia"/>
        </w:rPr>
        <w:t>净化池应配备防坠落网或救生设备。</w:t>
      </w:r>
    </w:p>
    <w:p w14:paraId="068F8A32">
      <w:pPr>
        <w:pStyle w:val="186"/>
        <w:ind w:left="0"/>
      </w:pPr>
      <w:r>
        <w:rPr>
          <w:rFonts w:hint="eastAsia"/>
        </w:rPr>
        <w:t>室内的处理装置区域应设置局部通风，气浮池应设置排气设施。</w:t>
      </w:r>
    </w:p>
    <w:p w14:paraId="72713215">
      <w:pPr>
        <w:pStyle w:val="186"/>
        <w:ind w:left="0"/>
      </w:pPr>
      <w:r>
        <w:rPr>
          <w:rFonts w:hint="eastAsia"/>
        </w:rPr>
        <w:t>污水处理池的四周应设置防护栏，防护栏应完好；池周边应设置无关人员不应入内等安全警示标志；有台阶或可能导致人员跌落的部位，应设置防止跌落的安全警示标志</w:t>
      </w:r>
      <w:r>
        <w:rPr>
          <w:rFonts w:hint="eastAsia"/>
          <w:lang w:eastAsia="zh-CN"/>
        </w:rPr>
        <w:t>。</w:t>
      </w:r>
    </w:p>
    <w:p w14:paraId="43D34B99">
      <w:pPr>
        <w:pStyle w:val="110"/>
        <w:rPr>
          <w:rFonts w:hint="eastAsia"/>
        </w:rPr>
      </w:pPr>
      <w:r>
        <w:rPr>
          <w:rFonts w:hint="eastAsia"/>
          <w:lang w:val="en-US" w:eastAsia="zh-CN"/>
        </w:rPr>
        <w:t>视频监控</w:t>
      </w:r>
    </w:p>
    <w:p w14:paraId="631AAA5D">
      <w:pPr>
        <w:pStyle w:val="186"/>
        <w:ind w:left="0"/>
        <w:rPr>
          <w:rFonts w:hint="eastAsia"/>
        </w:rPr>
      </w:pPr>
      <w:r>
        <w:rPr>
          <w:rFonts w:hint="eastAsia"/>
        </w:rPr>
        <w:t>应设置视频监控系统，景区进出口和相关人员密集场所</w:t>
      </w:r>
      <w:r>
        <w:rPr>
          <w:rFonts w:hint="eastAsia"/>
          <w:lang w:eastAsia="zh-CN"/>
        </w:rPr>
        <w:t>，</w:t>
      </w:r>
      <w:r>
        <w:rPr>
          <w:rFonts w:hint="eastAsia"/>
        </w:rPr>
        <w:t>重要物资储存部位等要害部位</w:t>
      </w:r>
      <w:r>
        <w:rPr>
          <w:rFonts w:hint="eastAsia"/>
          <w:lang w:eastAsia="zh-CN"/>
        </w:rPr>
        <w:t>，</w:t>
      </w:r>
      <w:r>
        <w:rPr>
          <w:rFonts w:hint="eastAsia"/>
        </w:rPr>
        <w:t>历史文物、古迹和重要文化场所</w:t>
      </w:r>
      <w:r>
        <w:rPr>
          <w:rFonts w:hint="eastAsia"/>
          <w:lang w:val="en-US" w:eastAsia="zh-CN"/>
        </w:rPr>
        <w:t>和其他</w:t>
      </w:r>
      <w:r>
        <w:rPr>
          <w:rFonts w:hint="eastAsia"/>
        </w:rPr>
        <w:t>安全风险较大的场所应设置监视摄像头</w:t>
      </w:r>
      <w:r>
        <w:rPr>
          <w:rFonts w:hint="eastAsia"/>
          <w:lang w:eastAsia="zh-CN"/>
        </w:rPr>
        <w:t>。</w:t>
      </w:r>
    </w:p>
    <w:p w14:paraId="4DA3D1B6">
      <w:pPr>
        <w:pStyle w:val="186"/>
        <w:ind w:left="0"/>
        <w:rPr>
          <w:rFonts w:hint="eastAsia"/>
        </w:rPr>
      </w:pPr>
      <w:r>
        <w:rPr>
          <w:rFonts w:hint="eastAsia"/>
        </w:rPr>
        <w:t>应定期对各部位设置的摄像头进行保养、检查</w:t>
      </w:r>
      <w:r>
        <w:rPr>
          <w:rFonts w:hint="eastAsia"/>
          <w:lang w:eastAsia="zh-CN"/>
        </w:rPr>
        <w:t>。</w:t>
      </w:r>
    </w:p>
    <w:p w14:paraId="2162A978">
      <w:pPr>
        <w:pStyle w:val="186"/>
        <w:ind w:left="0"/>
        <w:rPr>
          <w:rFonts w:hint="eastAsia"/>
        </w:rPr>
      </w:pPr>
      <w:r>
        <w:rPr>
          <w:rFonts w:hint="eastAsia"/>
        </w:rPr>
        <w:t>视频监控系统终端应设置在控制室内，对监视图像进行24</w:t>
      </w:r>
      <w:r>
        <w:rPr>
          <w:rFonts w:hint="eastAsia"/>
          <w:lang w:val="en-US" w:eastAsia="zh-CN"/>
        </w:rPr>
        <w:t xml:space="preserve"> </w:t>
      </w:r>
      <w:r>
        <w:rPr>
          <w:rFonts w:hint="eastAsia"/>
        </w:rPr>
        <w:t>h监视，录像资料应保存至少30</w:t>
      </w:r>
      <w:r>
        <w:rPr>
          <w:rFonts w:hint="eastAsia"/>
          <w:lang w:val="en-US" w:eastAsia="zh-CN"/>
        </w:rPr>
        <w:t xml:space="preserve"> d</w:t>
      </w:r>
      <w:r>
        <w:rPr>
          <w:rFonts w:hint="eastAsia"/>
        </w:rPr>
        <w:t>备查</w:t>
      </w:r>
      <w:r>
        <w:rPr>
          <w:rFonts w:hint="eastAsia"/>
          <w:lang w:eastAsia="zh-CN"/>
        </w:rPr>
        <w:t>。</w:t>
      </w:r>
    </w:p>
    <w:p w14:paraId="65DA6B50">
      <w:pPr>
        <w:pStyle w:val="186"/>
        <w:ind w:left="0"/>
        <w:rPr>
          <w:rFonts w:hint="eastAsia"/>
        </w:rPr>
      </w:pPr>
      <w:r>
        <w:rPr>
          <w:rFonts w:hint="eastAsia"/>
        </w:rPr>
        <w:t>建立视频监控系统设置清单或图表，标明位置、种类和功能、检查检测周期和结果等</w:t>
      </w:r>
      <w:r>
        <w:rPr>
          <w:rFonts w:hint="eastAsia"/>
          <w:lang w:eastAsia="zh-CN"/>
        </w:rPr>
        <w:t>。</w:t>
      </w:r>
    </w:p>
    <w:p w14:paraId="4AD5542A">
      <w:pPr>
        <w:pStyle w:val="186"/>
        <w:numPr>
          <w:ilvl w:val="3"/>
          <w:numId w:val="3"/>
        </w:numPr>
        <w:adjustRightInd w:val="0"/>
        <w:snapToGrid w:val="0"/>
        <w:ind w:left="0"/>
        <w:rPr>
          <w:rFonts w:hint="eastAsia"/>
        </w:rPr>
      </w:pPr>
      <w:r>
        <w:rPr>
          <w:rFonts w:hint="eastAsia"/>
        </w:rPr>
        <w:t>视频监控系统的主电源应采用消防电源</w:t>
      </w:r>
      <w:r>
        <w:rPr>
          <w:rFonts w:hint="eastAsia"/>
          <w:lang w:eastAsia="zh-CN"/>
        </w:rPr>
        <w:t>。</w:t>
      </w:r>
    </w:p>
    <w:p w14:paraId="5A93CC35">
      <w:pPr>
        <w:pStyle w:val="186"/>
        <w:adjustRightInd w:val="0"/>
        <w:snapToGrid w:val="0"/>
        <w:ind w:left="0"/>
      </w:pPr>
      <w:r>
        <w:rPr>
          <w:rFonts w:hint="eastAsia"/>
        </w:rPr>
        <w:t>设</w:t>
      </w:r>
      <w:r>
        <w:t>置</w:t>
      </w:r>
      <w:r>
        <w:rPr>
          <w:rFonts w:hint="eastAsia"/>
        </w:rPr>
        <w:t>监视摄像头的部位</w:t>
      </w:r>
      <w:r>
        <w:t>，应设置</w:t>
      </w:r>
      <w:r>
        <w:rPr>
          <w:rFonts w:hint="eastAsia"/>
          <w:lang w:val="en-US" w:eastAsia="zh-CN"/>
        </w:rPr>
        <w:t>标识</w:t>
      </w:r>
      <w:r>
        <w:rPr>
          <w:rFonts w:hint="eastAsia"/>
        </w:rPr>
        <w:t>。</w:t>
      </w:r>
    </w:p>
    <w:p w14:paraId="6DD7FDB6">
      <w:pPr>
        <w:pStyle w:val="110"/>
        <w:spacing w:before="156" w:after="156"/>
      </w:pPr>
      <w:r>
        <w:rPr>
          <w:rFonts w:hint="eastAsia"/>
        </w:rPr>
        <w:t>其他设备</w:t>
      </w:r>
    </w:p>
    <w:p w14:paraId="4DDDBFC3">
      <w:pPr>
        <w:spacing w:line="276" w:lineRule="auto"/>
        <w:ind w:firstLine="420" w:firstLineChars="200"/>
        <w:rPr>
          <w:rFonts w:ascii="黑体" w:hAnsi="宋体" w:eastAsia="黑体"/>
          <w:szCs w:val="21"/>
        </w:rPr>
      </w:pPr>
      <w:r>
        <w:rPr>
          <w:rFonts w:hint="eastAsia"/>
        </w:rPr>
        <w:t>不属于特种设备的常压锅炉、小型储气罐、管道、电动葫芦等设备分别参照锅炉、压力容器、压力管道、起重机械等进行日常管理和定期检查，设备的安全阀和压力表等安全附件应定期检测。</w:t>
      </w:r>
    </w:p>
    <w:p w14:paraId="65045EE7">
      <w:pPr>
        <w:pStyle w:val="99"/>
        <w:rPr>
          <w:rFonts w:hint="eastAsia"/>
        </w:rPr>
      </w:pPr>
      <w:bookmarkStart w:id="225" w:name="_Toc498348133"/>
      <w:bookmarkStart w:id="226" w:name="_Toc482174140"/>
      <w:bookmarkStart w:id="227" w:name="_Toc484984801"/>
      <w:bookmarkStart w:id="228" w:name="_Toc476507798"/>
      <w:bookmarkStart w:id="229" w:name="_Toc482114494"/>
      <w:bookmarkStart w:id="230" w:name="_Toc484965492"/>
      <w:bookmarkStart w:id="231" w:name="_Toc482172328"/>
      <w:bookmarkStart w:id="232" w:name="_Toc504594714"/>
      <w:bookmarkStart w:id="233" w:name="_Toc486261029"/>
      <w:bookmarkStart w:id="234" w:name="_Toc498325673"/>
      <w:bookmarkStart w:id="235" w:name="_Toc504931839"/>
      <w:bookmarkStart w:id="236" w:name="_Toc482172269"/>
      <w:bookmarkStart w:id="237" w:name="_Toc482175046"/>
      <w:bookmarkStart w:id="238" w:name="_Toc482174624"/>
      <w:bookmarkStart w:id="239" w:name="_Toc484965762"/>
      <w:bookmarkStart w:id="240" w:name="_Toc482169106"/>
      <w:bookmarkStart w:id="241" w:name="_Toc482189173"/>
      <w:bookmarkStart w:id="242" w:name="_Toc498286344"/>
      <w:bookmarkStart w:id="243" w:name="_Toc482198485"/>
      <w:bookmarkStart w:id="244" w:name="_Toc484958268"/>
      <w:bookmarkStart w:id="245" w:name="_Toc498337268"/>
      <w:bookmarkStart w:id="246" w:name="_Toc3700"/>
      <w:bookmarkStart w:id="247" w:name="_Toc16458"/>
      <w:bookmarkStart w:id="248" w:name="_Toc420924278"/>
      <w:r>
        <w:rPr>
          <w:rFonts w:hint="eastAsia"/>
        </w:rPr>
        <w:t>用电</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0378BDF0">
      <w:pPr>
        <w:pStyle w:val="134"/>
      </w:pPr>
      <w:r>
        <w:rPr>
          <w:rFonts w:hint="eastAsia"/>
        </w:rPr>
        <w:t>用电应符合DB11/T 1322.2</w:t>
      </w:r>
      <w:r>
        <w:rPr>
          <w:rFonts w:hint="eastAsia"/>
          <w:lang w:eastAsia="zh-CN"/>
        </w:rPr>
        <w:t>、</w:t>
      </w:r>
      <w:r>
        <w:rPr>
          <w:rFonts w:hint="eastAsia"/>
        </w:rPr>
        <w:t>GB 2099.3、GB 50053</w:t>
      </w:r>
      <w:r>
        <w:rPr>
          <w:rFonts w:hint="eastAsia"/>
          <w:lang w:eastAsia="zh-CN"/>
        </w:rPr>
        <w:t>、GB 50617、</w:t>
      </w:r>
      <w:r>
        <w:rPr>
          <w:rFonts w:hint="eastAsia"/>
        </w:rPr>
        <w:t>GB 51348</w:t>
      </w:r>
      <w:r>
        <w:rPr>
          <w:rFonts w:hint="eastAsia"/>
          <w:lang w:eastAsia="zh-CN"/>
        </w:rPr>
        <w:t>、</w:t>
      </w:r>
      <w:r>
        <w:rPr>
          <w:rFonts w:hint="eastAsia"/>
        </w:rPr>
        <w:t>GB 55024</w:t>
      </w:r>
      <w:r>
        <w:rPr>
          <w:rFonts w:hint="eastAsia"/>
          <w:lang w:eastAsia="zh-CN"/>
        </w:rPr>
        <w:t>、</w:t>
      </w:r>
      <w:r>
        <w:rPr>
          <w:rFonts w:hint="default" w:ascii="宋体" w:hAnsi="宋体"/>
          <w:lang w:val="en-US" w:eastAsia="zh-CN"/>
        </w:rPr>
        <w:t>GB 7000.218</w:t>
      </w:r>
      <w:r>
        <w:rPr>
          <w:rFonts w:hint="eastAsia" w:hAnsi="宋体"/>
          <w:lang w:val="en-US" w:eastAsia="zh-CN"/>
        </w:rPr>
        <w:t>、</w:t>
      </w:r>
      <w:r>
        <w:rPr>
          <w:rFonts w:hint="eastAsia"/>
        </w:rPr>
        <w:t>DB11/T 065的规定</w:t>
      </w:r>
      <w:r>
        <w:rPr>
          <w:rFonts w:hint="eastAsia"/>
          <w:lang w:eastAsia="zh-CN"/>
        </w:rPr>
        <w:t>，</w:t>
      </w:r>
      <w:r>
        <w:rPr>
          <w:rFonts w:hint="eastAsia"/>
          <w:lang w:val="en-US" w:eastAsia="zh-CN"/>
        </w:rPr>
        <w:t>电力</w:t>
      </w:r>
      <w:r>
        <w:rPr>
          <w:rFonts w:hint="eastAsia"/>
        </w:rPr>
        <w:t>安全</w:t>
      </w:r>
      <w:r>
        <w:rPr>
          <w:rFonts w:hint="eastAsia"/>
          <w:lang w:val="en-US" w:eastAsia="zh-CN"/>
        </w:rPr>
        <w:t>工器具</w:t>
      </w:r>
      <w:r>
        <w:rPr>
          <w:rFonts w:hint="eastAsia"/>
        </w:rPr>
        <w:t xml:space="preserve">实物上应张贴定期检验合格标志。 </w:t>
      </w:r>
    </w:p>
    <w:bookmarkEnd w:id="248"/>
    <w:p w14:paraId="072617BF">
      <w:pPr>
        <w:pStyle w:val="134"/>
        <w:rPr>
          <w:rFonts w:hint="eastAsia"/>
        </w:rPr>
      </w:pPr>
      <w:bookmarkStart w:id="249" w:name="_Toc440011640"/>
      <w:bookmarkStart w:id="250" w:name="_Toc427239358"/>
      <w:bookmarkStart w:id="251" w:name="_Toc427626910"/>
      <w:r>
        <w:rPr>
          <w:rFonts w:hint="eastAsia"/>
        </w:rPr>
        <w:t>发电机机房</w:t>
      </w:r>
      <w:r>
        <w:rPr>
          <w:rFonts w:hint="eastAsia"/>
          <w:lang w:val="en-US" w:eastAsia="zh-CN"/>
        </w:rPr>
        <w:t>及设备管理</w:t>
      </w:r>
      <w:r>
        <w:rPr>
          <w:rFonts w:hint="eastAsia"/>
        </w:rPr>
        <w:t>应符合</w:t>
      </w:r>
      <w:r>
        <w:t>DB</w:t>
      </w:r>
      <w:r>
        <w:rPr>
          <w:rFonts w:hint="eastAsia"/>
          <w:lang w:val="en-US" w:eastAsia="zh-CN"/>
        </w:rPr>
        <w:t xml:space="preserve"> </w:t>
      </w:r>
      <w:r>
        <w:t>11/527</w:t>
      </w:r>
      <w:r>
        <w:rPr>
          <w:rFonts w:hint="eastAsia"/>
          <w:lang w:eastAsia="zh-CN"/>
        </w:rPr>
        <w:t>、</w:t>
      </w:r>
      <w:r>
        <w:rPr>
          <w:rFonts w:hint="eastAsia"/>
          <w:lang w:val="en-US" w:eastAsia="zh-CN"/>
        </w:rPr>
        <w:t xml:space="preserve">GB </w:t>
      </w:r>
      <w:r>
        <w:rPr>
          <w:rFonts w:hint="eastAsia"/>
        </w:rPr>
        <w:t>51348</w:t>
      </w:r>
      <w:r>
        <w:rPr>
          <w:rFonts w:hint="eastAsia"/>
          <w:lang w:val="en-US" w:eastAsia="zh-CN"/>
        </w:rPr>
        <w:t>、GB 55037和JGJ 46及</w:t>
      </w:r>
      <w:r>
        <w:rPr>
          <w:rFonts w:hint="eastAsia"/>
        </w:rPr>
        <w:t>下列要求：</w:t>
      </w:r>
    </w:p>
    <w:p w14:paraId="7170647B">
      <w:pPr>
        <w:pStyle w:val="130"/>
        <w:numPr>
          <w:ilvl w:val="0"/>
          <w:numId w:val="30"/>
        </w:numPr>
      </w:pPr>
      <w:r>
        <w:rPr>
          <w:rFonts w:hint="eastAsia"/>
        </w:rPr>
        <w:t>使用的油品应在室外单独设置储油桶、罐，室内仅可允许设备自带的储油装置内存放油品；</w:t>
      </w:r>
    </w:p>
    <w:p w14:paraId="7FBE9876">
      <w:pPr>
        <w:pStyle w:val="130"/>
        <w:numPr>
          <w:ilvl w:val="0"/>
          <w:numId w:val="30"/>
        </w:numPr>
      </w:pPr>
      <w:r>
        <w:rPr>
          <w:rFonts w:hint="eastAsia"/>
        </w:rPr>
        <w:t>未经许可其它人员不应进入机房；</w:t>
      </w:r>
    </w:p>
    <w:p w14:paraId="3489857D">
      <w:pPr>
        <w:pStyle w:val="130"/>
        <w:numPr>
          <w:ilvl w:val="0"/>
          <w:numId w:val="30"/>
        </w:numPr>
        <w:rPr>
          <w:rFonts w:hint="eastAsia"/>
        </w:rPr>
      </w:pPr>
      <w:r>
        <w:rPr>
          <w:rFonts w:hint="eastAsia"/>
        </w:rPr>
        <w:t>机房内不应堆放杂物；</w:t>
      </w:r>
    </w:p>
    <w:bookmarkEnd w:id="249"/>
    <w:bookmarkEnd w:id="250"/>
    <w:p w14:paraId="7DF103C1">
      <w:pPr>
        <w:pStyle w:val="130"/>
        <w:numPr>
          <w:ilvl w:val="0"/>
          <w:numId w:val="31"/>
        </w:numPr>
        <w:rPr>
          <w:rFonts w:hint="eastAsia"/>
        </w:rPr>
      </w:pPr>
      <w:r>
        <w:rPr>
          <w:rFonts w:hint="eastAsia"/>
        </w:rPr>
        <w:t>移动式发电机，使用前应将底架停放在平稳的基础上，设置临时护栏，运转时不应移动。</w:t>
      </w:r>
    </w:p>
    <w:p w14:paraId="0361AA6D">
      <w:pPr>
        <w:pStyle w:val="99"/>
        <w:rPr>
          <w:rFonts w:hint="eastAsia"/>
        </w:rPr>
      </w:pPr>
      <w:bookmarkStart w:id="252" w:name="_Toc484984802"/>
      <w:bookmarkStart w:id="253" w:name="_Toc482174625"/>
      <w:bookmarkStart w:id="254" w:name="_Toc484965493"/>
      <w:bookmarkStart w:id="255" w:name="_Toc484965763"/>
      <w:bookmarkStart w:id="256" w:name="_Toc482198486"/>
      <w:bookmarkStart w:id="257" w:name="_Toc498325674"/>
      <w:bookmarkStart w:id="258" w:name="_Toc504594715"/>
      <w:bookmarkStart w:id="259" w:name="_Toc482175047"/>
      <w:bookmarkStart w:id="260" w:name="_Toc498337269"/>
      <w:bookmarkStart w:id="261" w:name="_Toc482169107"/>
      <w:bookmarkStart w:id="262" w:name="_Toc504931840"/>
      <w:bookmarkStart w:id="263" w:name="_Toc498348134"/>
      <w:bookmarkStart w:id="264" w:name="_Toc482189174"/>
      <w:bookmarkStart w:id="265" w:name="_Toc486261030"/>
      <w:bookmarkStart w:id="266" w:name="_Toc498286345"/>
      <w:bookmarkStart w:id="267" w:name="_Toc482172270"/>
      <w:bookmarkStart w:id="268" w:name="_Toc482114495"/>
      <w:bookmarkStart w:id="269" w:name="_Toc476507799"/>
      <w:bookmarkStart w:id="270" w:name="_Toc482174141"/>
      <w:bookmarkStart w:id="271" w:name="_Toc484958269"/>
      <w:bookmarkStart w:id="272" w:name="_Toc482172329"/>
      <w:bookmarkStart w:id="273" w:name="_Toc10364"/>
      <w:bookmarkStart w:id="274" w:name="_Toc9979"/>
      <w:r>
        <w:rPr>
          <w:rFonts w:hint="eastAsia"/>
        </w:rPr>
        <w:t>消防</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7C2F302E">
      <w:pPr>
        <w:pStyle w:val="134"/>
        <w:rPr>
          <w:rFonts w:hint="eastAsia"/>
        </w:rPr>
      </w:pPr>
      <w:bookmarkStart w:id="275" w:name="_Toc420924317"/>
      <w:r>
        <w:rPr>
          <w:rFonts w:hint="eastAsia"/>
        </w:rPr>
        <w:t>消防一般要求应符合DB11/T 1322.2的规定。</w:t>
      </w:r>
    </w:p>
    <w:p w14:paraId="2AF9FEE5">
      <w:pPr>
        <w:pStyle w:val="134"/>
        <w:jc w:val="both"/>
        <w:rPr>
          <w:rFonts w:hint="eastAsia"/>
          <w:shd w:val="clear" w:color="auto" w:fill="auto"/>
        </w:rPr>
      </w:pPr>
      <w:r>
        <w:rPr>
          <w:rFonts w:hint="eastAsia"/>
          <w:shd w:val="clear" w:color="auto" w:fill="auto"/>
        </w:rPr>
        <w:t>应建立消防安全重点部位台帐或清单，</w:t>
      </w:r>
      <w:r>
        <w:rPr>
          <w:rFonts w:hint="eastAsia"/>
          <w:highlight w:val="none"/>
          <w:shd w:val="clear" w:color="auto" w:fill="auto"/>
          <w:lang w:val="en-US" w:eastAsia="zh-CN"/>
        </w:rPr>
        <w:t>并</w:t>
      </w:r>
      <w:r>
        <w:rPr>
          <w:rFonts w:hint="eastAsia"/>
          <w:shd w:val="clear" w:color="auto" w:fill="auto"/>
        </w:rPr>
        <w:t>张贴重点部位标志</w:t>
      </w:r>
      <w:r>
        <w:rPr>
          <w:rFonts w:hint="eastAsia"/>
          <w:shd w:val="clear" w:color="auto" w:fill="auto"/>
          <w:lang w:eastAsia="zh-CN"/>
        </w:rPr>
        <w:t>。</w:t>
      </w:r>
    </w:p>
    <w:p w14:paraId="32D51129">
      <w:pPr>
        <w:pStyle w:val="134"/>
        <w:jc w:val="both"/>
        <w:rPr>
          <w:highlight w:val="none"/>
        </w:rPr>
      </w:pPr>
      <w:r>
        <w:rPr>
          <w:rFonts w:hint="eastAsia"/>
          <w:highlight w:val="none"/>
          <w:lang w:val="en-US" w:eastAsia="zh-CN"/>
        </w:rPr>
        <w:t>建筑消防设施设置和管理应符合下列要求：</w:t>
      </w:r>
    </w:p>
    <w:p w14:paraId="652588A6">
      <w:pPr>
        <w:pStyle w:val="130"/>
        <w:numPr>
          <w:ilvl w:val="0"/>
          <w:numId w:val="32"/>
        </w:numPr>
        <w:jc w:val="both"/>
        <w:rPr>
          <w:rFonts w:hint="eastAsia" w:hAnsi="Times New Roman" w:eastAsia="宋体" w:cs="Times New Roman"/>
          <w:highlight w:val="none"/>
        </w:rPr>
      </w:pPr>
      <w:r>
        <w:rPr>
          <w:rFonts w:hint="eastAsia" w:hAnsi="Times New Roman" w:eastAsia="宋体" w:cs="Times New Roman"/>
          <w:highlight w:val="none"/>
          <w:lang w:val="en-US" w:eastAsia="zh-CN"/>
        </w:rPr>
        <w:t>建筑消防设施运行和检查应符合GB/T 40248和GB 55036的规定；</w:t>
      </w:r>
    </w:p>
    <w:p w14:paraId="79370182">
      <w:pPr>
        <w:pStyle w:val="130"/>
        <w:numPr>
          <w:ilvl w:val="0"/>
          <w:numId w:val="32"/>
        </w:numPr>
        <w:jc w:val="both"/>
        <w:rPr>
          <w:rFonts w:hint="eastAsia" w:hAnsi="Times New Roman" w:eastAsia="宋体" w:cs="Times New Roman"/>
          <w:highlight w:val="none"/>
        </w:rPr>
      </w:pPr>
      <w:r>
        <w:rPr>
          <w:rFonts w:hint="eastAsia" w:hAnsi="Times New Roman" w:eastAsia="宋体" w:cs="Times New Roman"/>
          <w:highlight w:val="none"/>
        </w:rPr>
        <w:t>火灾自动报警系统</w:t>
      </w:r>
      <w:r>
        <w:rPr>
          <w:rFonts w:hint="eastAsia" w:cs="Times New Roman"/>
          <w:highlight w:val="none"/>
          <w:lang w:eastAsia="zh-CN"/>
        </w:rPr>
        <w:t>、</w:t>
      </w:r>
      <w:r>
        <w:rPr>
          <w:rFonts w:hint="eastAsia" w:hAnsi="Times New Roman" w:eastAsia="宋体" w:cs="Times New Roman"/>
          <w:highlight w:val="none"/>
        </w:rPr>
        <w:t>自动灭火系统</w:t>
      </w:r>
      <w:r>
        <w:rPr>
          <w:rFonts w:hint="eastAsia" w:cs="Times New Roman"/>
          <w:highlight w:val="none"/>
          <w:lang w:val="en-US" w:eastAsia="zh-CN"/>
        </w:rPr>
        <w:t>设置应符合GB 55037的规定</w:t>
      </w:r>
      <w:r>
        <w:rPr>
          <w:rFonts w:hint="eastAsia" w:hAnsi="Times New Roman" w:eastAsia="宋体" w:cs="Times New Roman"/>
          <w:highlight w:val="none"/>
        </w:rPr>
        <w:t>；</w:t>
      </w:r>
    </w:p>
    <w:p w14:paraId="2CEA0285">
      <w:pPr>
        <w:pStyle w:val="130"/>
        <w:numPr>
          <w:ilvl w:val="0"/>
          <w:numId w:val="32"/>
        </w:numPr>
        <w:jc w:val="both"/>
        <w:rPr>
          <w:rFonts w:hint="eastAsia" w:hAnsi="Times New Roman" w:eastAsia="宋体" w:cs="Times New Roman"/>
          <w:highlight w:val="none"/>
        </w:rPr>
      </w:pPr>
      <w:r>
        <w:rPr>
          <w:rFonts w:hint="eastAsia" w:hAnsi="Times New Roman" w:eastAsia="宋体" w:cs="Times New Roman"/>
          <w:highlight w:val="none"/>
          <w:lang w:val="en-US" w:eastAsia="zh-CN"/>
        </w:rPr>
        <w:t>消火栓设置和管理应符合GB 55037</w:t>
      </w:r>
      <w:r>
        <w:rPr>
          <w:rFonts w:hint="eastAsia" w:hAnsi="Times New Roman" w:eastAsia="宋体" w:cs="Times New Roman"/>
          <w:sz w:val="21"/>
          <w:szCs w:val="20"/>
          <w:highlight w:val="none"/>
          <w:lang w:val="en-US" w:eastAsia="zh-CN"/>
        </w:rPr>
        <w:t>和</w:t>
      </w:r>
      <w:r>
        <w:rPr>
          <w:rFonts w:hint="eastAsia" w:ascii="宋体" w:hAnsi="Times New Roman" w:eastAsia="宋体" w:cs="Times New Roman"/>
          <w:sz w:val="21"/>
          <w:szCs w:val="20"/>
          <w:highlight w:val="none"/>
          <w:lang w:val="en-US" w:eastAsia="zh-CN"/>
        </w:rPr>
        <w:t>GB/T</w:t>
      </w:r>
      <w:r>
        <w:rPr>
          <w:rFonts w:hint="eastAsia" w:hAnsi="Times New Roman" w:eastAsia="宋体" w:cs="Times New Roman"/>
          <w:sz w:val="21"/>
          <w:szCs w:val="20"/>
          <w:highlight w:val="none"/>
          <w:lang w:val="en-US" w:eastAsia="zh-CN"/>
        </w:rPr>
        <w:t xml:space="preserve"> </w:t>
      </w:r>
      <w:r>
        <w:rPr>
          <w:rFonts w:hint="eastAsia" w:ascii="宋体" w:hAnsi="Times New Roman" w:eastAsia="宋体" w:cs="Times New Roman"/>
          <w:sz w:val="21"/>
          <w:szCs w:val="20"/>
          <w:highlight w:val="none"/>
          <w:lang w:val="en-US" w:eastAsia="zh-CN"/>
        </w:rPr>
        <w:t>40248</w:t>
      </w:r>
      <w:r>
        <w:rPr>
          <w:rFonts w:hint="eastAsia" w:cs="Times New Roman"/>
          <w:sz w:val="21"/>
          <w:szCs w:val="20"/>
          <w:highlight w:val="none"/>
          <w:lang w:val="en-US" w:eastAsia="zh-CN"/>
        </w:rPr>
        <w:t>的</w:t>
      </w:r>
      <w:r>
        <w:rPr>
          <w:rFonts w:hint="eastAsia" w:hAnsi="Times New Roman" w:eastAsia="宋体" w:cs="Times New Roman"/>
          <w:sz w:val="21"/>
          <w:szCs w:val="20"/>
          <w:highlight w:val="none"/>
          <w:lang w:val="en-US" w:eastAsia="zh-CN"/>
        </w:rPr>
        <w:t>规定；</w:t>
      </w:r>
    </w:p>
    <w:p w14:paraId="23A7E639">
      <w:pPr>
        <w:pStyle w:val="130"/>
        <w:numPr>
          <w:ilvl w:val="0"/>
          <w:numId w:val="32"/>
        </w:numPr>
        <w:jc w:val="both"/>
        <w:rPr>
          <w:rFonts w:hint="eastAsia" w:hAnsi="Times New Roman" w:eastAsia="宋体" w:cs="Times New Roman"/>
          <w:highlight w:val="none"/>
        </w:rPr>
      </w:pPr>
      <w:r>
        <w:rPr>
          <w:rFonts w:hint="eastAsia" w:hAnsi="Times New Roman" w:eastAsia="宋体" w:cs="Times New Roman"/>
          <w:highlight w:val="none"/>
          <w:lang w:val="en-US" w:eastAsia="zh-CN"/>
        </w:rPr>
        <w:t>灭火器配置、管理、检查、维修和报废应符合GB</w:t>
      </w:r>
      <w:r>
        <w:rPr>
          <w:rFonts w:hint="eastAsia" w:cs="Times New Roman"/>
          <w:highlight w:val="none"/>
          <w:lang w:val="en-US" w:eastAsia="zh-CN"/>
        </w:rPr>
        <w:t xml:space="preserve"> </w:t>
      </w:r>
      <w:r>
        <w:rPr>
          <w:rFonts w:hint="eastAsia" w:hAnsi="Times New Roman" w:eastAsia="宋体" w:cs="Times New Roman"/>
          <w:highlight w:val="none"/>
          <w:lang w:val="en-US" w:eastAsia="zh-CN"/>
        </w:rPr>
        <w:t>55036和GB</w:t>
      </w:r>
      <w:r>
        <w:rPr>
          <w:rFonts w:hint="eastAsia" w:cs="Times New Roman"/>
          <w:highlight w:val="none"/>
          <w:lang w:val="en-US" w:eastAsia="zh-CN"/>
        </w:rPr>
        <w:t xml:space="preserve"> </w:t>
      </w:r>
      <w:r>
        <w:rPr>
          <w:rFonts w:hint="eastAsia" w:hAnsi="Times New Roman" w:eastAsia="宋体" w:cs="Times New Roman"/>
          <w:highlight w:val="none"/>
          <w:lang w:val="en-US" w:eastAsia="zh-CN"/>
        </w:rPr>
        <w:t>4351.1的规定；</w:t>
      </w:r>
    </w:p>
    <w:p w14:paraId="54D029C2">
      <w:pPr>
        <w:pStyle w:val="130"/>
        <w:numPr>
          <w:ilvl w:val="0"/>
          <w:numId w:val="32"/>
        </w:numPr>
        <w:jc w:val="both"/>
        <w:rPr>
          <w:rFonts w:hint="eastAsia" w:hAnsi="Times New Roman" w:eastAsia="宋体" w:cs="Times New Roman"/>
          <w:highlight w:val="none"/>
        </w:rPr>
      </w:pPr>
      <w:r>
        <w:rPr>
          <w:rFonts w:hint="eastAsia"/>
          <w:highlight w:val="none"/>
          <w:shd w:val="clear" w:color="auto" w:fill="auto"/>
        </w:rPr>
        <w:t>应每月至少对消火栓、灭火器的完好情况进行1次检查，现场悬挂并保存月度检查记录</w:t>
      </w:r>
      <w:r>
        <w:rPr>
          <w:rFonts w:hint="eastAsia"/>
          <w:highlight w:val="none"/>
          <w:shd w:val="clear" w:color="auto" w:fill="auto"/>
          <w:lang w:eastAsia="zh-CN"/>
        </w:rPr>
        <w:t>；</w:t>
      </w:r>
    </w:p>
    <w:p w14:paraId="00D7E26C">
      <w:pPr>
        <w:pStyle w:val="130"/>
        <w:numPr>
          <w:ilvl w:val="0"/>
          <w:numId w:val="32"/>
        </w:numPr>
        <w:jc w:val="both"/>
        <w:rPr>
          <w:rFonts w:hint="eastAsia" w:hAnsi="Times New Roman" w:eastAsia="宋体" w:cs="Times New Roman"/>
          <w:highlight w:val="none"/>
        </w:rPr>
      </w:pPr>
      <w:r>
        <w:rPr>
          <w:rFonts w:hint="eastAsia"/>
          <w:highlight w:val="none"/>
          <w:lang w:val="en-US" w:eastAsia="zh-CN"/>
        </w:rPr>
        <w:t>应设置能够覆盖全部营业区域的应急广播，且能够使用中英文两种语言播放。</w:t>
      </w:r>
    </w:p>
    <w:p w14:paraId="730C931B">
      <w:pPr>
        <w:pStyle w:val="134"/>
        <w:jc w:val="left"/>
        <w:rPr>
          <w:highlight w:val="none"/>
        </w:rPr>
      </w:pPr>
      <w:r>
        <w:rPr>
          <w:rFonts w:hint="eastAsia" w:hAnsi="Times New Roman" w:eastAsia="宋体" w:cs="Times New Roman"/>
          <w:highlight w:val="none"/>
          <w:lang w:val="en-US" w:eastAsia="zh-CN"/>
        </w:rPr>
        <w:t>消防</w:t>
      </w:r>
      <w:r>
        <w:rPr>
          <w:rFonts w:hint="eastAsia" w:cs="Times New Roman"/>
          <w:highlight w:val="none"/>
          <w:lang w:val="en-US" w:eastAsia="zh-CN"/>
        </w:rPr>
        <w:t>供电系统、</w:t>
      </w:r>
      <w:r>
        <w:rPr>
          <w:rFonts w:hint="eastAsia" w:hAnsi="Times New Roman" w:eastAsia="宋体" w:cs="Times New Roman"/>
          <w:highlight w:val="none"/>
          <w:lang w:val="en-US" w:eastAsia="zh-CN"/>
        </w:rPr>
        <w:t>疏散照明、备用照明等消防电源应符合GB 55037和GB 50016的规定</w:t>
      </w:r>
      <w:r>
        <w:rPr>
          <w:rFonts w:hint="eastAsia" w:hAnsi="Times New Roman" w:cs="Times New Roman"/>
          <w:highlight w:val="none"/>
          <w:lang w:val="en-US" w:eastAsia="zh-CN"/>
        </w:rPr>
        <w:t>。</w:t>
      </w:r>
    </w:p>
    <w:p w14:paraId="3B83B023">
      <w:pPr>
        <w:pStyle w:val="134"/>
        <w:jc w:val="both"/>
        <w:rPr>
          <w:rFonts w:hint="eastAsia"/>
          <w:highlight w:val="none"/>
        </w:rPr>
      </w:pPr>
      <w:r>
        <w:rPr>
          <w:rFonts w:hint="eastAsia"/>
          <w:highlight w:val="none"/>
          <w:lang w:val="en-US" w:eastAsia="zh-CN"/>
        </w:rPr>
        <w:t>消防给水系统、消防水泵房应符合GB 55036和GB 55037的规定。</w:t>
      </w:r>
    </w:p>
    <w:p w14:paraId="7385318D">
      <w:pPr>
        <w:pStyle w:val="134"/>
        <w:jc w:val="both"/>
        <w:rPr>
          <w:highlight w:val="none"/>
        </w:rPr>
      </w:pPr>
      <w:r>
        <w:rPr>
          <w:rFonts w:hint="eastAsia"/>
          <w:highlight w:val="none"/>
        </w:rPr>
        <w:t>安全出口、</w:t>
      </w:r>
      <w:r>
        <w:rPr>
          <w:rFonts w:hint="eastAsia"/>
          <w:highlight w:val="none"/>
          <w:lang w:val="en-US" w:eastAsia="zh-CN"/>
        </w:rPr>
        <w:t>消防车道、</w:t>
      </w:r>
      <w:r>
        <w:rPr>
          <w:rFonts w:hint="eastAsia"/>
          <w:highlight w:val="none"/>
        </w:rPr>
        <w:t>疏散</w:t>
      </w:r>
      <w:r>
        <w:rPr>
          <w:rFonts w:hint="eastAsia"/>
          <w:highlight w:val="none"/>
          <w:lang w:val="en-US" w:eastAsia="zh-CN"/>
        </w:rPr>
        <w:t>通道</w:t>
      </w:r>
      <w:r>
        <w:rPr>
          <w:rFonts w:hint="eastAsia"/>
          <w:highlight w:val="none"/>
        </w:rPr>
        <w:t>、防火分区和防火门的</w:t>
      </w:r>
      <w:r>
        <w:rPr>
          <w:rFonts w:hint="eastAsia"/>
          <w:highlight w:val="none"/>
          <w:lang w:val="en-US" w:eastAsia="zh-CN"/>
        </w:rPr>
        <w:t>管理</w:t>
      </w:r>
      <w:r>
        <w:rPr>
          <w:highlight w:val="none"/>
        </w:rPr>
        <w:t>应符合</w:t>
      </w:r>
      <w:r>
        <w:rPr>
          <w:rFonts w:hint="eastAsia"/>
          <w:highlight w:val="none"/>
        </w:rPr>
        <w:t>GB/T</w:t>
      </w:r>
      <w:r>
        <w:rPr>
          <w:rFonts w:hint="eastAsia"/>
          <w:highlight w:val="none"/>
          <w:lang w:val="en-US" w:eastAsia="zh-CN"/>
        </w:rPr>
        <w:t xml:space="preserve"> </w:t>
      </w:r>
      <w:r>
        <w:rPr>
          <w:rFonts w:hint="eastAsia"/>
          <w:highlight w:val="none"/>
        </w:rPr>
        <w:t>40248</w:t>
      </w:r>
      <w:r>
        <w:rPr>
          <w:rFonts w:hint="eastAsia"/>
          <w:highlight w:val="none"/>
          <w:lang w:val="en-US" w:eastAsia="zh-CN"/>
        </w:rPr>
        <w:t>和</w:t>
      </w:r>
      <w:r>
        <w:rPr>
          <w:rFonts w:hint="eastAsia"/>
          <w:highlight w:val="none"/>
          <w:lang w:eastAsia="zh-CN"/>
        </w:rPr>
        <w:t>GB</w:t>
      </w:r>
      <w:r>
        <w:rPr>
          <w:rFonts w:hint="eastAsia"/>
          <w:highlight w:val="none"/>
          <w:lang w:val="en-US" w:eastAsia="zh-CN"/>
        </w:rPr>
        <w:t xml:space="preserve"> </w:t>
      </w:r>
      <w:r>
        <w:rPr>
          <w:rFonts w:hint="eastAsia"/>
          <w:highlight w:val="none"/>
          <w:lang w:eastAsia="zh-CN"/>
        </w:rPr>
        <w:t>55037</w:t>
      </w:r>
      <w:r>
        <w:rPr>
          <w:rFonts w:hint="eastAsia"/>
          <w:highlight w:val="none"/>
        </w:rPr>
        <w:t>的</w:t>
      </w:r>
      <w:r>
        <w:rPr>
          <w:highlight w:val="none"/>
        </w:rPr>
        <w:t>规定。</w:t>
      </w:r>
    </w:p>
    <w:p w14:paraId="01954B56">
      <w:pPr>
        <w:pStyle w:val="134"/>
        <w:jc w:val="both"/>
        <w:rPr>
          <w:highlight w:val="none"/>
        </w:rPr>
      </w:pPr>
      <w:r>
        <w:rPr>
          <w:rFonts w:hint="eastAsia"/>
          <w:highlight w:val="none"/>
          <w:lang w:val="en-US" w:eastAsia="zh-CN"/>
        </w:rPr>
        <w:t>消防控制室应符合GB/T 40248、</w:t>
      </w:r>
      <w:r>
        <w:rPr>
          <w:rFonts w:hint="eastAsia" w:hAnsi="Times New Roman" w:eastAsia="宋体" w:cs="Times New Roman"/>
          <w:highlight w:val="none"/>
          <w:lang w:val="en-US" w:eastAsia="zh-CN"/>
        </w:rPr>
        <w:t>GB 55036、GB 55037</w:t>
      </w:r>
      <w:r>
        <w:rPr>
          <w:rFonts w:hint="eastAsia" w:cs="Times New Roman"/>
          <w:highlight w:val="none"/>
          <w:lang w:val="en-US" w:eastAsia="zh-CN"/>
        </w:rPr>
        <w:t>和</w:t>
      </w:r>
      <w:r>
        <w:rPr>
          <w:rFonts w:hint="eastAsia"/>
          <w:highlight w:val="none"/>
          <w:lang w:val="en-US" w:eastAsia="zh-CN"/>
        </w:rPr>
        <w:t>DB11/T 2104的规定。</w:t>
      </w:r>
    </w:p>
    <w:bookmarkEnd w:id="275"/>
    <w:p w14:paraId="3A5C0416">
      <w:pPr>
        <w:pStyle w:val="99"/>
        <w:rPr>
          <w:rFonts w:hint="eastAsia"/>
        </w:rPr>
      </w:pPr>
      <w:bookmarkStart w:id="276" w:name="_Toc482174142"/>
      <w:bookmarkStart w:id="277" w:name="_Toc504594716"/>
      <w:bookmarkStart w:id="278" w:name="_Toc484958270"/>
      <w:bookmarkStart w:id="279" w:name="_Toc498286346"/>
      <w:bookmarkStart w:id="280" w:name="_Toc504931841"/>
      <w:bookmarkStart w:id="281" w:name="_Toc498337270"/>
      <w:bookmarkStart w:id="282" w:name="_Toc482175048"/>
      <w:bookmarkStart w:id="283" w:name="_Toc482172271"/>
      <w:bookmarkStart w:id="284" w:name="_Toc427626911"/>
      <w:bookmarkStart w:id="285" w:name="_Toc476507800"/>
      <w:bookmarkStart w:id="286" w:name="_Toc482189175"/>
      <w:bookmarkStart w:id="287" w:name="_Toc498325675"/>
      <w:bookmarkStart w:id="288" w:name="_Toc482169108"/>
      <w:bookmarkStart w:id="289" w:name="_Toc482114496"/>
      <w:bookmarkStart w:id="290" w:name="_Toc486261031"/>
      <w:bookmarkStart w:id="291" w:name="_Toc482172330"/>
      <w:bookmarkStart w:id="292" w:name="_Toc482198487"/>
      <w:bookmarkStart w:id="293" w:name="_Toc482174626"/>
      <w:bookmarkStart w:id="294" w:name="_Toc484984803"/>
      <w:bookmarkStart w:id="295" w:name="_Toc484965764"/>
      <w:bookmarkStart w:id="296" w:name="_Toc498348135"/>
      <w:bookmarkStart w:id="297" w:name="_Toc484965494"/>
      <w:bookmarkStart w:id="298" w:name="_Toc30543"/>
      <w:bookmarkStart w:id="299" w:name="_Toc9676"/>
      <w:r>
        <w:rPr>
          <w:rFonts w:hint="eastAsia"/>
        </w:rPr>
        <w:t>危险化学品</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4ADA75D2">
      <w:pPr>
        <w:pStyle w:val="134"/>
        <w:rPr>
          <w:rFonts w:hint="eastAsia"/>
        </w:rPr>
      </w:pPr>
      <w:r>
        <w:rPr>
          <w:rFonts w:hint="eastAsia"/>
        </w:rPr>
        <w:t>危险化学品一般要求应符合DB11/T 1322.2的规定。</w:t>
      </w:r>
    </w:p>
    <w:p w14:paraId="588D9FA0">
      <w:pPr>
        <w:pStyle w:val="134"/>
        <w:rPr>
          <w:rFonts w:hint="eastAsia"/>
        </w:rPr>
      </w:pPr>
      <w:r>
        <w:rPr>
          <w:rFonts w:hint="eastAsia"/>
        </w:rPr>
        <w:t>麻醉药品存放应符合下列要求：</w:t>
      </w:r>
    </w:p>
    <w:p w14:paraId="51DA7A25">
      <w:pPr>
        <w:pStyle w:val="130"/>
        <w:numPr>
          <w:ilvl w:val="0"/>
          <w:numId w:val="33"/>
        </w:numPr>
        <w:rPr>
          <w:rFonts w:hint="eastAsia"/>
        </w:rPr>
      </w:pPr>
      <w:r>
        <w:t>应设立专库或专柜储存麻醉药品</w:t>
      </w:r>
      <w:r>
        <w:rPr>
          <w:rFonts w:hint="eastAsia"/>
        </w:rPr>
        <w:t>，</w:t>
      </w:r>
      <w:r>
        <w:t>专库应设有防盗设施并安装报警装置；专柜应使用保险柜</w:t>
      </w:r>
      <w:r>
        <w:rPr>
          <w:rFonts w:hint="eastAsia"/>
        </w:rPr>
        <w:t>；</w:t>
      </w:r>
    </w:p>
    <w:p w14:paraId="74F87CCE">
      <w:pPr>
        <w:pStyle w:val="130"/>
        <w:rPr>
          <w:rFonts w:hint="eastAsia"/>
        </w:rPr>
      </w:pPr>
      <w:r>
        <w:t>专库和专柜应实行双人双锁管理</w:t>
      </w:r>
      <w:r>
        <w:rPr>
          <w:rFonts w:hint="eastAsia"/>
        </w:rPr>
        <w:t>。</w:t>
      </w:r>
    </w:p>
    <w:p w14:paraId="4B3EA753">
      <w:pPr>
        <w:pStyle w:val="99"/>
        <w:rPr>
          <w:rFonts w:hint="eastAsia"/>
        </w:rPr>
      </w:pPr>
      <w:bookmarkStart w:id="300" w:name="_Toc498337272"/>
      <w:bookmarkStart w:id="301" w:name="_Toc482169110"/>
      <w:bookmarkStart w:id="302" w:name="_Toc504594718"/>
      <w:bookmarkStart w:id="303" w:name="_Toc482189177"/>
      <w:bookmarkStart w:id="304" w:name="_Toc484965766"/>
      <w:bookmarkStart w:id="305" w:name="_Toc482114498"/>
      <w:bookmarkStart w:id="306" w:name="_Toc482172332"/>
      <w:bookmarkStart w:id="307" w:name="_Toc498286348"/>
      <w:bookmarkStart w:id="308" w:name="_Toc484984805"/>
      <w:bookmarkStart w:id="309" w:name="_Toc486261033"/>
      <w:bookmarkStart w:id="310" w:name="_Toc504931843"/>
      <w:bookmarkStart w:id="311" w:name="_Toc482175050"/>
      <w:bookmarkStart w:id="312" w:name="_Toc482174628"/>
      <w:bookmarkStart w:id="313" w:name="_Toc482172273"/>
      <w:bookmarkStart w:id="314" w:name="_Toc484958272"/>
      <w:bookmarkStart w:id="315" w:name="_Toc498348137"/>
      <w:bookmarkStart w:id="316" w:name="_Toc484965496"/>
      <w:bookmarkStart w:id="317" w:name="_Toc498325677"/>
      <w:bookmarkStart w:id="318" w:name="_Toc482198489"/>
      <w:bookmarkStart w:id="319" w:name="_Toc476507802"/>
      <w:bookmarkStart w:id="320" w:name="_Toc482174144"/>
      <w:bookmarkStart w:id="321" w:name="_Toc26948"/>
      <w:bookmarkStart w:id="322" w:name="_Toc11737"/>
      <w:r>
        <w:rPr>
          <w:rFonts w:hint="eastAsia"/>
        </w:rPr>
        <w:t>劳动防护用品使用</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1F0DAF24">
      <w:pPr>
        <w:pStyle w:val="134"/>
        <w:rPr>
          <w:rFonts w:hint="eastAsia"/>
        </w:rPr>
      </w:pPr>
      <w:r>
        <w:rPr>
          <w:rFonts w:hint="eastAsia"/>
        </w:rPr>
        <w:t>应按照工作环境中主要危险特征及工作条件特点，为从业人员提供劳动防护用品，并确保从业人员正确佩戴和使用劳动防护用品。</w:t>
      </w:r>
    </w:p>
    <w:p w14:paraId="2A002508">
      <w:pPr>
        <w:pStyle w:val="134"/>
        <w:rPr>
          <w:rFonts w:hint="eastAsia"/>
        </w:rPr>
      </w:pPr>
      <w:r>
        <w:rPr>
          <w:rFonts w:hint="eastAsia"/>
          <w:lang w:val="en-US" w:eastAsia="zh-CN"/>
        </w:rPr>
        <w:t>作业人员劳动防护用品配备应符合下列要求：</w:t>
      </w:r>
    </w:p>
    <w:p w14:paraId="19F9E56B">
      <w:pPr>
        <w:pStyle w:val="130"/>
        <w:numPr>
          <w:ilvl w:val="0"/>
          <w:numId w:val="34"/>
        </w:numPr>
        <w:rPr>
          <w:rFonts w:hint="eastAsia"/>
        </w:rPr>
      </w:pPr>
      <w:r>
        <w:rPr>
          <w:rFonts w:hint="eastAsia"/>
        </w:rPr>
        <w:t>水上作业时，人员进入水中作业应</w:t>
      </w:r>
      <w:r>
        <w:rPr>
          <w:rFonts w:hint="eastAsia"/>
          <w:lang w:val="en-US" w:eastAsia="zh-CN"/>
        </w:rPr>
        <w:t>穿戴</w:t>
      </w:r>
      <w:r>
        <w:rPr>
          <w:rFonts w:hint="eastAsia"/>
        </w:rPr>
        <w:t>防水服</w:t>
      </w:r>
      <w:r>
        <w:rPr>
          <w:rFonts w:hint="eastAsia"/>
          <w:lang w:eastAsia="zh-CN"/>
        </w:rPr>
        <w:t>；</w:t>
      </w:r>
    </w:p>
    <w:p w14:paraId="20BA7374">
      <w:pPr>
        <w:pStyle w:val="130"/>
        <w:numPr>
          <w:ilvl w:val="0"/>
          <w:numId w:val="34"/>
        </w:numPr>
        <w:rPr>
          <w:rFonts w:hint="eastAsia"/>
        </w:rPr>
      </w:pPr>
      <w:r>
        <w:rPr>
          <w:rFonts w:hint="eastAsia"/>
        </w:rPr>
        <w:t>电焊作业时应使用防护眼镜或面罩</w:t>
      </w:r>
      <w:r>
        <w:rPr>
          <w:rFonts w:hint="eastAsia"/>
          <w:lang w:eastAsia="zh-CN"/>
        </w:rPr>
        <w:t>；</w:t>
      </w:r>
    </w:p>
    <w:p w14:paraId="51D1085F">
      <w:pPr>
        <w:pStyle w:val="130"/>
        <w:numPr>
          <w:ilvl w:val="0"/>
          <w:numId w:val="34"/>
        </w:numPr>
        <w:rPr>
          <w:rFonts w:hint="eastAsia"/>
        </w:rPr>
      </w:pPr>
      <w:r>
        <w:rPr>
          <w:rFonts w:hint="eastAsia"/>
        </w:rPr>
        <w:t>从配药到喷撒农药杀虫的全过程，操作人员应正确佩戴橡胶安全防护手套</w:t>
      </w:r>
      <w:r>
        <w:rPr>
          <w:rFonts w:hint="eastAsia"/>
          <w:lang w:eastAsia="zh-CN"/>
        </w:rPr>
        <w:t>、</w:t>
      </w:r>
      <w:r>
        <w:rPr>
          <w:rFonts w:hint="eastAsia"/>
        </w:rPr>
        <w:t>防毒口罩</w:t>
      </w:r>
      <w:r>
        <w:rPr>
          <w:rFonts w:hint="eastAsia"/>
          <w:lang w:val="en-US" w:eastAsia="zh-CN"/>
        </w:rPr>
        <w:t>和防护眼镜等</w:t>
      </w:r>
      <w:r>
        <w:rPr>
          <w:rFonts w:hint="eastAsia"/>
        </w:rPr>
        <w:t>。</w:t>
      </w:r>
    </w:p>
    <w:p w14:paraId="5A5EAC63">
      <w:pPr>
        <w:pStyle w:val="99"/>
        <w:rPr>
          <w:rFonts w:hint="eastAsia"/>
        </w:rPr>
      </w:pPr>
      <w:bookmarkStart w:id="323" w:name="_Toc498325678"/>
      <w:bookmarkStart w:id="324" w:name="_Toc484958273"/>
      <w:bookmarkStart w:id="325" w:name="_Toc498348138"/>
      <w:bookmarkStart w:id="326" w:name="_Toc482114499"/>
      <w:bookmarkStart w:id="327" w:name="_Toc498286349"/>
      <w:bookmarkStart w:id="328" w:name="_Toc484984806"/>
      <w:bookmarkStart w:id="329" w:name="_Toc504931844"/>
      <w:bookmarkStart w:id="330" w:name="_Toc504594719"/>
      <w:bookmarkStart w:id="331" w:name="_Toc476507803"/>
      <w:bookmarkStart w:id="332" w:name="_Toc482175051"/>
      <w:bookmarkStart w:id="333" w:name="_Toc427626914"/>
      <w:bookmarkStart w:id="334" w:name="_Toc482172274"/>
      <w:bookmarkStart w:id="335" w:name="_Toc484965767"/>
      <w:bookmarkStart w:id="336" w:name="_Toc484965497"/>
      <w:bookmarkStart w:id="337" w:name="_Toc482169111"/>
      <w:bookmarkStart w:id="338" w:name="_Toc482189178"/>
      <w:bookmarkStart w:id="339" w:name="_Toc482198490"/>
      <w:bookmarkStart w:id="340" w:name="_Toc482172333"/>
      <w:bookmarkStart w:id="341" w:name="_Toc482174145"/>
      <w:bookmarkStart w:id="342" w:name="_Toc486261034"/>
      <w:bookmarkStart w:id="343" w:name="_Toc482174629"/>
      <w:bookmarkStart w:id="344" w:name="_Toc498337273"/>
      <w:bookmarkStart w:id="345" w:name="_Toc6284"/>
      <w:bookmarkStart w:id="346" w:name="_Toc28837"/>
      <w:r>
        <w:rPr>
          <w:rFonts w:hint="eastAsia"/>
        </w:rPr>
        <w:t>操作人员行为规范</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16389186">
      <w:pPr>
        <w:pStyle w:val="110"/>
        <w:spacing w:before="156" w:after="156"/>
        <w:rPr>
          <w:rFonts w:hint="eastAsia"/>
        </w:rPr>
      </w:pPr>
      <w:r>
        <w:rPr>
          <w:rFonts w:hint="eastAsia"/>
          <w:lang w:val="en-US" w:eastAsia="zh-CN"/>
        </w:rPr>
        <w:t>安全生产行为通则</w:t>
      </w:r>
    </w:p>
    <w:p w14:paraId="378EE10F">
      <w:pPr>
        <w:pStyle w:val="186"/>
        <w:ind w:left="0"/>
        <w:rPr>
          <w:rFonts w:hint="eastAsia"/>
        </w:rPr>
      </w:pPr>
      <w:r>
        <w:rPr>
          <w:rFonts w:hint="eastAsia"/>
        </w:rPr>
        <w:t>一般要求</w:t>
      </w:r>
      <w:r>
        <w:rPr>
          <w:rFonts w:hint="eastAsia"/>
          <w:lang w:val="en-US" w:eastAsia="zh-CN"/>
        </w:rPr>
        <w:t>应符合</w:t>
      </w:r>
      <w:r>
        <w:rPr>
          <w:rFonts w:hint="eastAsia"/>
        </w:rPr>
        <w:t>：</w:t>
      </w:r>
    </w:p>
    <w:p w14:paraId="097F97AD">
      <w:pPr>
        <w:pStyle w:val="130"/>
        <w:numPr>
          <w:ilvl w:val="0"/>
          <w:numId w:val="35"/>
        </w:numPr>
        <w:rPr>
          <w:rFonts w:hint="eastAsia"/>
        </w:rPr>
      </w:pPr>
      <w:r>
        <w:rPr>
          <w:rFonts w:hint="eastAsia"/>
        </w:rPr>
        <w:t>进入作业区域</w:t>
      </w:r>
      <w:r>
        <w:rPr>
          <w:rFonts w:hint="eastAsia"/>
          <w:lang w:val="en-US" w:eastAsia="zh-CN"/>
        </w:rPr>
        <w:t>应遵守</w:t>
      </w:r>
      <w:r>
        <w:rPr>
          <w:rFonts w:hint="eastAsia"/>
        </w:rPr>
        <w:t>安全操作规程的要求，佩戴劳动防护用品</w:t>
      </w:r>
      <w:r>
        <w:rPr>
          <w:rFonts w:hint="eastAsia"/>
          <w:lang w:eastAsia="zh-CN"/>
        </w:rPr>
        <w:t>，</w:t>
      </w:r>
      <w:r>
        <w:rPr>
          <w:rFonts w:hint="eastAsia"/>
          <w:lang w:val="en-US" w:eastAsia="zh-CN"/>
        </w:rPr>
        <w:t>游乐设施操作</w:t>
      </w:r>
      <w:r>
        <w:rPr>
          <w:rFonts w:hint="eastAsia"/>
        </w:rPr>
        <w:t>人员上岗应佩戴明显</w:t>
      </w:r>
      <w:r>
        <w:rPr>
          <w:rFonts w:hint="eastAsia"/>
          <w:lang w:val="en-US" w:eastAsia="zh-CN"/>
        </w:rPr>
        <w:t>标志</w:t>
      </w:r>
      <w:r>
        <w:rPr>
          <w:rFonts w:hint="eastAsia"/>
        </w:rPr>
        <w:t>；</w:t>
      </w:r>
    </w:p>
    <w:p w14:paraId="475298A0">
      <w:pPr>
        <w:pStyle w:val="130"/>
        <w:numPr>
          <w:ilvl w:val="0"/>
          <w:numId w:val="35"/>
        </w:numPr>
        <w:rPr>
          <w:rFonts w:hint="eastAsia"/>
        </w:rPr>
      </w:pPr>
      <w:r>
        <w:rPr>
          <w:rFonts w:hint="eastAsia"/>
        </w:rPr>
        <w:t>作业开始前，应按规定检查设备设施、作业环境的安全状况，发现隐患立即排除；确认无隐患后，方可按流程开始作业；</w:t>
      </w:r>
    </w:p>
    <w:p w14:paraId="5B1F155B">
      <w:pPr>
        <w:pStyle w:val="130"/>
        <w:numPr>
          <w:ilvl w:val="0"/>
          <w:numId w:val="35"/>
        </w:numPr>
        <w:rPr>
          <w:rFonts w:hint="eastAsia"/>
        </w:rPr>
      </w:pPr>
      <w:r>
        <w:rPr>
          <w:rFonts w:hint="eastAsia"/>
        </w:rPr>
        <w:t>作业过程按安全操作规程的要求进行操作、巡查等作业，不应从事与操作无关的活动；</w:t>
      </w:r>
    </w:p>
    <w:p w14:paraId="6A0FF0F8">
      <w:pPr>
        <w:pStyle w:val="130"/>
        <w:numPr>
          <w:ilvl w:val="0"/>
          <w:numId w:val="35"/>
        </w:numPr>
        <w:rPr>
          <w:rFonts w:hint="eastAsia"/>
        </w:rPr>
      </w:pPr>
      <w:r>
        <w:rPr>
          <w:rFonts w:hint="eastAsia"/>
        </w:rPr>
        <w:t>作业结束后，应切断电源等，对设备和作业环境进行检查；如有设备处在检修状态、设备故障待排除等情况，应</w:t>
      </w:r>
      <w:r>
        <w:rPr>
          <w:rFonts w:hint="eastAsia"/>
          <w:lang w:val="en-US" w:eastAsia="zh-CN"/>
        </w:rPr>
        <w:t>设置</w:t>
      </w:r>
      <w:r>
        <w:rPr>
          <w:rFonts w:hint="eastAsia"/>
        </w:rPr>
        <w:t>安全警示标志。</w:t>
      </w:r>
    </w:p>
    <w:p w14:paraId="5EBD596E">
      <w:pPr>
        <w:pStyle w:val="186"/>
        <w:ind w:left="0"/>
        <w:rPr>
          <w:rFonts w:hint="eastAsia"/>
        </w:rPr>
      </w:pPr>
      <w:r>
        <w:rPr>
          <w:rFonts w:hint="eastAsia"/>
        </w:rPr>
        <w:t>水上清淤作业应符合下列要求：</w:t>
      </w:r>
    </w:p>
    <w:p w14:paraId="554BDF21">
      <w:pPr>
        <w:pStyle w:val="130"/>
        <w:numPr>
          <w:ilvl w:val="0"/>
          <w:numId w:val="36"/>
        </w:numPr>
        <w:rPr>
          <w:rFonts w:hint="eastAsia"/>
        </w:rPr>
      </w:pPr>
      <w:r>
        <w:rPr>
          <w:rFonts w:hint="eastAsia"/>
        </w:rPr>
        <w:t>作业使用的船只应定期检查，无破损，无漏水；</w:t>
      </w:r>
    </w:p>
    <w:p w14:paraId="1AC88C92">
      <w:pPr>
        <w:pStyle w:val="130"/>
        <w:numPr>
          <w:ilvl w:val="0"/>
          <w:numId w:val="36"/>
        </w:numPr>
        <w:rPr>
          <w:rFonts w:hint="eastAsia"/>
        </w:rPr>
      </w:pPr>
      <w:r>
        <w:rPr>
          <w:rFonts w:hint="eastAsia"/>
        </w:rPr>
        <w:t>人员进入水中作业前应确认水深，超过1 m时应使用船只作业，并为作业人员配备救生衣及绳索等救生用具；</w:t>
      </w:r>
    </w:p>
    <w:p w14:paraId="0AEAC8E1">
      <w:pPr>
        <w:pStyle w:val="130"/>
        <w:numPr>
          <w:ilvl w:val="0"/>
          <w:numId w:val="36"/>
        </w:numPr>
        <w:rPr>
          <w:rFonts w:hint="eastAsia"/>
        </w:rPr>
      </w:pPr>
      <w:r>
        <w:rPr>
          <w:rFonts w:hint="eastAsia"/>
        </w:rPr>
        <w:t>在人体可能陷入的沼泽地内作业时，人员应系安全绳索，由岸上人员拉住绳索负责监护。</w:t>
      </w:r>
    </w:p>
    <w:p w14:paraId="1491552E">
      <w:pPr>
        <w:pStyle w:val="186"/>
        <w:ind w:left="0"/>
        <w:rPr>
          <w:rFonts w:hint="eastAsia"/>
        </w:rPr>
      </w:pPr>
      <w:r>
        <w:rPr>
          <w:rFonts w:hint="eastAsia"/>
        </w:rPr>
        <w:t>漂流活动应符合下列要求：</w:t>
      </w:r>
    </w:p>
    <w:p w14:paraId="47645C2C">
      <w:pPr>
        <w:pStyle w:val="130"/>
        <w:numPr>
          <w:ilvl w:val="0"/>
          <w:numId w:val="37"/>
        </w:numPr>
        <w:rPr>
          <w:rFonts w:hint="eastAsia"/>
        </w:rPr>
      </w:pPr>
      <w:r>
        <w:t>在漂流活动开始前，漂流工具操作人员</w:t>
      </w:r>
      <w:r>
        <w:rPr>
          <w:rFonts w:hint="eastAsia"/>
        </w:rPr>
        <w:t>应</w:t>
      </w:r>
      <w:r>
        <w:t>向旅游者宣讲漂流旅游安全知识，介绍漂流工具上的安全设施及使用方法，说明漂流旅游中的安全注意事项和发生意外事故后的应急办法，并公布游客安全须知</w:t>
      </w:r>
      <w:r>
        <w:rPr>
          <w:rFonts w:hint="eastAsia"/>
        </w:rPr>
        <w:t>；</w:t>
      </w:r>
      <w:r>
        <w:t>对健康条件不适合参加漂流活动的游客，应予以警告和劝阻</w:t>
      </w:r>
      <w:r>
        <w:rPr>
          <w:rFonts w:hint="eastAsia"/>
        </w:rPr>
        <w:t>；漂流过程中到达危险地段前应事先告知游客；</w:t>
      </w:r>
    </w:p>
    <w:p w14:paraId="2EAB859A">
      <w:pPr>
        <w:pStyle w:val="130"/>
        <w:numPr>
          <w:ilvl w:val="0"/>
          <w:numId w:val="37"/>
        </w:numPr>
        <w:rPr>
          <w:rFonts w:hint="eastAsia"/>
        </w:rPr>
      </w:pPr>
      <w:r>
        <w:rPr>
          <w:rFonts w:hint="eastAsia"/>
        </w:rPr>
        <w:t>不应</w:t>
      </w:r>
      <w:r>
        <w:t>在暴雨、洪水、上游泄洪情况下以及水位超过警戒线时冒险漂流</w:t>
      </w:r>
      <w:r>
        <w:rPr>
          <w:rFonts w:hint="eastAsia"/>
        </w:rPr>
        <w:t>；不应</w:t>
      </w:r>
      <w:r>
        <w:t>在风力超过</w:t>
      </w:r>
      <w:r>
        <w:rPr>
          <w:rFonts w:hint="eastAsia"/>
          <w:lang w:val="en-US" w:eastAsia="zh-CN"/>
        </w:rPr>
        <w:t>四</w:t>
      </w:r>
      <w:r>
        <w:t>级、深度超过2</w:t>
      </w:r>
      <w:r>
        <w:rPr>
          <w:rFonts w:hint="eastAsia"/>
        </w:rPr>
        <w:t xml:space="preserve"> m</w:t>
      </w:r>
      <w:r>
        <w:t>的区域漂流</w:t>
      </w:r>
      <w:r>
        <w:rPr>
          <w:rFonts w:hint="eastAsia"/>
        </w:rPr>
        <w:t>。</w:t>
      </w:r>
    </w:p>
    <w:p w14:paraId="5E10D58C">
      <w:pPr>
        <w:pStyle w:val="186"/>
        <w:ind w:left="0"/>
        <w:rPr>
          <w:rFonts w:hint="eastAsia"/>
        </w:rPr>
      </w:pPr>
      <w:r>
        <w:rPr>
          <w:rFonts w:hint="eastAsia"/>
        </w:rPr>
        <w:t>动物饲养作业应符合下列要求：</w:t>
      </w:r>
    </w:p>
    <w:p w14:paraId="4828E1A7">
      <w:pPr>
        <w:pStyle w:val="130"/>
        <w:numPr>
          <w:ilvl w:val="0"/>
          <w:numId w:val="38"/>
        </w:numPr>
        <w:rPr>
          <w:rFonts w:hint="eastAsia"/>
        </w:rPr>
      </w:pPr>
      <w:r>
        <w:rPr>
          <w:rFonts w:hint="eastAsia"/>
        </w:rPr>
        <w:t>每个笼舍应有定点的饲养员，笼舍钥匙由饲养员负责管理；</w:t>
      </w:r>
    </w:p>
    <w:p w14:paraId="74D1BAB9">
      <w:pPr>
        <w:pStyle w:val="130"/>
        <w:numPr>
          <w:ilvl w:val="0"/>
          <w:numId w:val="38"/>
        </w:numPr>
        <w:rPr>
          <w:rFonts w:hint="eastAsia"/>
        </w:rPr>
      </w:pPr>
      <w:r>
        <w:rPr>
          <w:rFonts w:hint="eastAsia"/>
        </w:rPr>
        <w:t>每日对笼舍安全度和动物身体状况进行检查，并填写相关记录；</w:t>
      </w:r>
    </w:p>
    <w:p w14:paraId="03F16F89">
      <w:pPr>
        <w:pStyle w:val="130"/>
        <w:numPr>
          <w:ilvl w:val="0"/>
          <w:numId w:val="38"/>
        </w:numPr>
        <w:rPr>
          <w:rFonts w:hint="eastAsia"/>
        </w:rPr>
      </w:pPr>
      <w:r>
        <w:rPr>
          <w:rFonts w:hint="eastAsia"/>
          <w:lang w:val="en-US" w:eastAsia="zh-CN"/>
        </w:rPr>
        <w:t>应</w:t>
      </w:r>
      <w:r>
        <w:rPr>
          <w:rFonts w:hint="eastAsia"/>
        </w:rPr>
        <w:t>建立凶猛动物清单，并按照</w:t>
      </w:r>
      <w:r>
        <w:t>凶猛程度</w:t>
      </w:r>
      <w:r>
        <w:rPr>
          <w:rFonts w:hint="eastAsia"/>
        </w:rPr>
        <w:t>进行分级，</w:t>
      </w:r>
      <w:r>
        <w:t>规定每级凶猛动物现场管理和作业安全要求</w:t>
      </w:r>
      <w:r>
        <w:rPr>
          <w:rFonts w:hint="eastAsia"/>
        </w:rPr>
        <w:t>；</w:t>
      </w:r>
    </w:p>
    <w:p w14:paraId="50B10514">
      <w:pPr>
        <w:pStyle w:val="130"/>
        <w:numPr>
          <w:ilvl w:val="0"/>
          <w:numId w:val="38"/>
        </w:numPr>
        <w:rPr>
          <w:rFonts w:hint="eastAsia"/>
        </w:rPr>
      </w:pPr>
      <w:r>
        <w:rPr>
          <w:rFonts w:hint="eastAsia"/>
        </w:rPr>
        <w:t>饲养场所应定期进行清扫、消毒；</w:t>
      </w:r>
    </w:p>
    <w:p w14:paraId="06CC6578">
      <w:pPr>
        <w:pStyle w:val="130"/>
        <w:numPr>
          <w:ilvl w:val="0"/>
          <w:numId w:val="38"/>
        </w:numPr>
        <w:rPr>
          <w:rFonts w:hint="eastAsia"/>
        </w:rPr>
      </w:pPr>
      <w:r>
        <w:rPr>
          <w:rFonts w:hint="eastAsia"/>
        </w:rPr>
        <w:t>进入可接触动物的笼舍，应持有必要的防护用具。</w:t>
      </w:r>
    </w:p>
    <w:p w14:paraId="19A00829">
      <w:pPr>
        <w:pStyle w:val="186"/>
        <w:ind w:left="0"/>
        <w:rPr>
          <w:rFonts w:hint="eastAsia"/>
        </w:rPr>
      </w:pPr>
      <w:r>
        <w:rPr>
          <w:rFonts w:hint="eastAsia"/>
        </w:rPr>
        <w:t>绿化养护作业应符合GB 12475的规定及下列要求：</w:t>
      </w:r>
    </w:p>
    <w:p w14:paraId="669E0B79">
      <w:pPr>
        <w:pStyle w:val="130"/>
        <w:numPr>
          <w:ilvl w:val="0"/>
          <w:numId w:val="39"/>
        </w:numPr>
        <w:rPr>
          <w:rFonts w:hint="eastAsia"/>
        </w:rPr>
      </w:pPr>
      <w:r>
        <w:rPr>
          <w:rFonts w:hint="eastAsia"/>
        </w:rPr>
        <w:t>枯枝死叉应及时修剪，风力达到</w:t>
      </w:r>
      <w:r>
        <w:rPr>
          <w:rFonts w:hint="eastAsia"/>
          <w:lang w:val="en-US" w:eastAsia="zh-CN"/>
        </w:rPr>
        <w:t>五</w:t>
      </w:r>
      <w:r>
        <w:rPr>
          <w:rFonts w:hint="eastAsia"/>
        </w:rPr>
        <w:t>级时不应上树作业；</w:t>
      </w:r>
      <w:r>
        <w:rPr>
          <w:rFonts w:hint="eastAsia"/>
          <w:lang w:eastAsia="zh-CN"/>
        </w:rPr>
        <w:t>（</w:t>
      </w:r>
      <w:r>
        <w:rPr>
          <w:rFonts w:hint="eastAsia"/>
          <w:lang w:val="en-US" w:eastAsia="zh-CN"/>
        </w:rPr>
        <w:t>确认一下五级是否不能作业</w:t>
      </w:r>
      <w:r>
        <w:rPr>
          <w:rFonts w:hint="eastAsia"/>
          <w:lang w:eastAsia="zh-CN"/>
        </w:rPr>
        <w:t>）</w:t>
      </w:r>
    </w:p>
    <w:p w14:paraId="15FB27A2">
      <w:pPr>
        <w:pStyle w:val="130"/>
        <w:numPr>
          <w:ilvl w:val="0"/>
          <w:numId w:val="39"/>
        </w:numPr>
        <w:rPr>
          <w:rFonts w:hint="eastAsia"/>
        </w:rPr>
      </w:pPr>
      <w:r>
        <w:rPr>
          <w:rFonts w:hint="eastAsia"/>
        </w:rPr>
        <w:t>大树修剪时应确定作业区域，设专人负责警戒</w:t>
      </w:r>
      <w:r>
        <w:rPr>
          <w:rFonts w:hint="eastAsia"/>
          <w:lang w:eastAsia="zh-CN"/>
        </w:rPr>
        <w:t>、</w:t>
      </w:r>
      <w:r>
        <w:rPr>
          <w:rFonts w:hint="eastAsia"/>
          <w:lang w:val="en-US" w:eastAsia="zh-CN"/>
        </w:rPr>
        <w:t>隔离</w:t>
      </w:r>
      <w:r>
        <w:rPr>
          <w:rFonts w:hint="eastAsia"/>
        </w:rPr>
        <w:t>和疏导交通；</w:t>
      </w:r>
    </w:p>
    <w:p w14:paraId="7D6FBE33">
      <w:pPr>
        <w:pStyle w:val="130"/>
        <w:numPr>
          <w:ilvl w:val="0"/>
          <w:numId w:val="39"/>
        </w:numPr>
        <w:rPr>
          <w:rFonts w:hint="eastAsia"/>
        </w:rPr>
      </w:pPr>
      <w:r>
        <w:rPr>
          <w:rFonts w:hint="eastAsia"/>
        </w:rPr>
        <w:t>高处修剪树枝时，安全带应拴挂于牢固的枝干上后方可作业；</w:t>
      </w:r>
    </w:p>
    <w:p w14:paraId="47ADC56E">
      <w:pPr>
        <w:pStyle w:val="130"/>
        <w:numPr>
          <w:ilvl w:val="0"/>
          <w:numId w:val="39"/>
        </w:numPr>
        <w:rPr>
          <w:rFonts w:hint="eastAsia"/>
        </w:rPr>
      </w:pPr>
      <w:r>
        <w:rPr>
          <w:rFonts w:hint="eastAsia"/>
          <w:lang w:val="en-US" w:eastAsia="zh-CN"/>
        </w:rPr>
        <w:t>景区开放期间不应</w:t>
      </w:r>
      <w:r>
        <w:rPr>
          <w:rFonts w:hint="eastAsia"/>
        </w:rPr>
        <w:t>喷撒农药</w:t>
      </w:r>
      <w:r>
        <w:rPr>
          <w:rFonts w:hint="eastAsia"/>
          <w:lang w:eastAsia="zh-CN"/>
        </w:rPr>
        <w:t>，</w:t>
      </w:r>
      <w:r>
        <w:rPr>
          <w:rFonts w:hint="eastAsia"/>
          <w:lang w:val="en-US" w:eastAsia="zh-CN"/>
        </w:rPr>
        <w:t>风力达到三级时不应喷洒农药。</w:t>
      </w:r>
    </w:p>
    <w:p w14:paraId="49A1E303">
      <w:pPr>
        <w:pStyle w:val="110"/>
        <w:spacing w:before="156" w:after="156"/>
        <w:rPr>
          <w:rFonts w:hint="eastAsia"/>
        </w:rPr>
      </w:pPr>
      <w:bookmarkStart w:id="347" w:name="_Toc427239360"/>
      <w:r>
        <w:rPr>
          <w:rFonts w:hint="eastAsia"/>
        </w:rPr>
        <w:t>危险作业</w:t>
      </w:r>
      <w:bookmarkEnd w:id="347"/>
    </w:p>
    <w:p w14:paraId="6584EF46">
      <w:pPr>
        <w:pStyle w:val="186"/>
        <w:ind w:left="0"/>
        <w:rPr>
          <w:rFonts w:hint="eastAsia"/>
        </w:rPr>
      </w:pPr>
      <w:r>
        <w:rPr>
          <w:rFonts w:hint="eastAsia"/>
        </w:rPr>
        <w:t>危险作业审批应符合下列要求：</w:t>
      </w:r>
    </w:p>
    <w:p w14:paraId="675DA78B">
      <w:pPr>
        <w:pStyle w:val="130"/>
        <w:numPr>
          <w:ilvl w:val="0"/>
          <w:numId w:val="40"/>
        </w:numPr>
      </w:pPr>
      <w:r>
        <w:rPr>
          <w:rFonts w:hint="eastAsia"/>
        </w:rPr>
        <w:t>作业前应进行审批，到现场作业时应携带危险作业审批单；</w:t>
      </w:r>
    </w:p>
    <w:p w14:paraId="25738886">
      <w:pPr>
        <w:pStyle w:val="130"/>
        <w:numPr>
          <w:ilvl w:val="0"/>
          <w:numId w:val="40"/>
        </w:numPr>
        <w:rPr>
          <w:rFonts w:hint="eastAsia"/>
        </w:rPr>
      </w:pPr>
      <w:r>
        <w:rPr>
          <w:rFonts w:hint="eastAsia"/>
        </w:rPr>
        <w:t>审批表中应规定作业地点、作业人员、作业时限、安全交底人和监护人等；</w:t>
      </w:r>
    </w:p>
    <w:p w14:paraId="468435FF">
      <w:pPr>
        <w:pStyle w:val="130"/>
        <w:numPr>
          <w:ilvl w:val="0"/>
          <w:numId w:val="40"/>
        </w:numPr>
        <w:rPr>
          <w:rFonts w:hint="eastAsia"/>
        </w:rPr>
      </w:pPr>
      <w:r>
        <w:rPr>
          <w:rFonts w:hint="eastAsia"/>
        </w:rPr>
        <w:t>审批前应对现场作业条件、作业前安全准备事项等进行验证并保存记录；</w:t>
      </w:r>
    </w:p>
    <w:p w14:paraId="294ADB8F">
      <w:pPr>
        <w:pStyle w:val="130"/>
        <w:numPr>
          <w:ilvl w:val="0"/>
          <w:numId w:val="40"/>
        </w:numPr>
        <w:rPr>
          <w:rFonts w:hint="eastAsia"/>
        </w:rPr>
      </w:pPr>
      <w:r>
        <w:rPr>
          <w:rFonts w:hint="eastAsia"/>
        </w:rPr>
        <w:t>人员更换或作业条件变动时，应重新审批。</w:t>
      </w:r>
    </w:p>
    <w:p w14:paraId="492F1AB2">
      <w:pPr>
        <w:pStyle w:val="186"/>
        <w:ind w:left="0"/>
        <w:rPr>
          <w:rFonts w:hint="eastAsia"/>
        </w:rPr>
      </w:pPr>
      <w:r>
        <w:rPr>
          <w:rFonts w:hint="eastAsia"/>
        </w:rPr>
        <w:t>危险作业交底与监护应符合下列要求：</w:t>
      </w:r>
    </w:p>
    <w:p w14:paraId="45E2A050">
      <w:pPr>
        <w:pStyle w:val="130"/>
        <w:numPr>
          <w:ilvl w:val="0"/>
          <w:numId w:val="41"/>
        </w:numPr>
        <w:rPr>
          <w:rFonts w:hint="eastAsia"/>
        </w:rPr>
      </w:pPr>
      <w:r>
        <w:rPr>
          <w:rFonts w:hint="eastAsia"/>
        </w:rPr>
        <w:t>作业前，应由安全交底人对作业人员进行现场安全告知交底，内容应包括作业存在的危险因素、作业前、作业中和作业后的安全措施、发生紧急情况时的应急措施等，并保存记录；</w:t>
      </w:r>
    </w:p>
    <w:p w14:paraId="0FBC622E">
      <w:pPr>
        <w:pStyle w:val="130"/>
        <w:numPr>
          <w:ilvl w:val="0"/>
          <w:numId w:val="41"/>
        </w:numPr>
      </w:pPr>
      <w:r>
        <w:rPr>
          <w:rFonts w:hint="eastAsia"/>
        </w:rPr>
        <w:t>监护人应在作业前、作业中、作业后对危险作业全过程进行监护。</w:t>
      </w:r>
    </w:p>
    <w:p w14:paraId="041A9696">
      <w:pPr>
        <w:pStyle w:val="186"/>
        <w:ind w:left="0"/>
        <w:rPr>
          <w:rFonts w:hint="eastAsia"/>
        </w:rPr>
      </w:pPr>
      <w:r>
        <w:rPr>
          <w:rFonts w:hint="eastAsia"/>
        </w:rPr>
        <w:t>动火作业</w:t>
      </w:r>
      <w:r>
        <w:rPr>
          <w:rFonts w:hint="eastAsia"/>
          <w:lang w:val="en-US" w:eastAsia="zh-CN"/>
        </w:rPr>
        <w:t>应符合</w:t>
      </w:r>
      <w:r>
        <w:rPr>
          <w:rFonts w:hint="eastAsia"/>
        </w:rPr>
        <w:t>下列要求：</w:t>
      </w:r>
    </w:p>
    <w:p w14:paraId="437E8D2C">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cs="Times New Roman"/>
          <w:sz w:val="21"/>
          <w:szCs w:val="20"/>
          <w:highlight w:val="none"/>
          <w:lang w:val="en-US" w:eastAsia="zh-CN"/>
        </w:rPr>
        <w:t>营业</w:t>
      </w:r>
      <w:r>
        <w:rPr>
          <w:rFonts w:hint="eastAsia" w:ascii="宋体" w:hAnsi="Times New Roman" w:eastAsia="宋体" w:cs="Times New Roman"/>
          <w:sz w:val="21"/>
          <w:szCs w:val="20"/>
          <w:highlight w:val="none"/>
          <w:lang w:val="en-US" w:eastAsia="zh-CN"/>
        </w:rPr>
        <w:t>期间不应进行动火施工；</w:t>
      </w:r>
    </w:p>
    <w:p w14:paraId="28366DEE">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lang w:val="en-US" w:eastAsia="zh-CN"/>
        </w:rPr>
        <w:t>动火现场周边应配备灭火器材；</w:t>
      </w:r>
    </w:p>
    <w:p w14:paraId="6F5E4DC4">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lang w:val="en-US" w:eastAsia="zh-CN"/>
        </w:rPr>
        <w:t>作业前应清理现场可燃物、易燃物，</w:t>
      </w:r>
      <w:r>
        <w:rPr>
          <w:rFonts w:hint="eastAsia" w:ascii="宋体" w:hAnsi="Times New Roman" w:eastAsia="宋体" w:cs="Times New Roman"/>
          <w:sz w:val="21"/>
          <w:szCs w:val="20"/>
          <w:highlight w:val="none"/>
        </w:rPr>
        <w:t>动火点周围或其下方如有可燃物、</w:t>
      </w:r>
      <w:r>
        <w:rPr>
          <w:rFonts w:hint="eastAsia" w:ascii="宋体" w:hAnsi="Times New Roman" w:eastAsia="宋体" w:cs="Times New Roman"/>
          <w:sz w:val="21"/>
          <w:szCs w:val="20"/>
          <w:highlight w:val="none"/>
          <w:lang w:val="en-US" w:eastAsia="zh-CN"/>
        </w:rPr>
        <w:t>电缆桥架、</w:t>
      </w:r>
      <w:r>
        <w:rPr>
          <w:rFonts w:hint="eastAsia" w:ascii="宋体" w:hAnsi="Times New Roman" w:eastAsia="宋体" w:cs="Times New Roman"/>
          <w:sz w:val="21"/>
          <w:szCs w:val="20"/>
          <w:highlight w:val="none"/>
        </w:rPr>
        <w:t>空洞、窨井、地沟、水封</w:t>
      </w:r>
      <w:r>
        <w:rPr>
          <w:rFonts w:hint="eastAsia" w:ascii="宋体" w:hAnsi="Times New Roman" w:eastAsia="宋体" w:cs="Times New Roman"/>
          <w:sz w:val="21"/>
          <w:szCs w:val="20"/>
          <w:highlight w:val="none"/>
          <w:lang w:val="en-US" w:eastAsia="zh-CN"/>
        </w:rPr>
        <w:t>设施</w:t>
      </w:r>
      <w:r>
        <w:rPr>
          <w:rFonts w:hint="eastAsia" w:ascii="宋体" w:hAnsi="Times New Roman" w:eastAsia="宋体" w:cs="Times New Roman"/>
          <w:sz w:val="21"/>
          <w:szCs w:val="20"/>
          <w:highlight w:val="none"/>
        </w:rPr>
        <w:t>等，应检查分析并采取清理或封盖等措施；</w:t>
      </w:r>
    </w:p>
    <w:p w14:paraId="4CDDA229">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lang w:val="en-US" w:eastAsia="zh-CN"/>
        </w:rPr>
        <w:t>需要动火作业的区域，应与营业区域进行防火分隔；</w:t>
      </w:r>
    </w:p>
    <w:p w14:paraId="248C47DA">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rPr>
        <w:t>使用气焊、气割动火作业时，乙炔瓶应直立放置，氧气瓶与之间距不应小于5 m，二者与作业地点间距不应小于10 m，并应设置防晒设施</w:t>
      </w:r>
      <w:r>
        <w:rPr>
          <w:rFonts w:hint="eastAsia" w:ascii="宋体" w:hAnsi="Times New Roman" w:eastAsia="宋体" w:cs="Times New Roman"/>
          <w:sz w:val="21"/>
          <w:szCs w:val="20"/>
          <w:highlight w:val="none"/>
          <w:lang w:val="en-US" w:eastAsia="zh-CN"/>
        </w:rPr>
        <w:t>与防倾倒措施</w:t>
      </w:r>
      <w:r>
        <w:rPr>
          <w:rFonts w:hint="eastAsia" w:ascii="宋体" w:hAnsi="Times New Roman" w:eastAsia="宋体" w:cs="Times New Roman"/>
          <w:sz w:val="21"/>
          <w:szCs w:val="20"/>
          <w:highlight w:val="none"/>
        </w:rPr>
        <w:t>；</w:t>
      </w:r>
    </w:p>
    <w:p w14:paraId="32F01DF7">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rPr>
        <w:t>作业完毕应清理现场，确认无残留火种后方可离开；</w:t>
      </w:r>
    </w:p>
    <w:p w14:paraId="3A9CFEE6">
      <w:pPr>
        <w:pStyle w:val="130"/>
        <w:numPr>
          <w:ilvl w:val="0"/>
          <w:numId w:val="42"/>
        </w:numPr>
        <w:adjustRightInd w:val="0"/>
        <w:snapToGrid w:val="0"/>
        <w:jc w:val="left"/>
        <w:rPr>
          <w:rFonts w:hint="eastAsia" w:ascii="宋体" w:hAnsi="Times New Roman" w:eastAsia="宋体" w:cs="Times New Roman"/>
          <w:sz w:val="21"/>
          <w:szCs w:val="20"/>
          <w:highlight w:val="none"/>
          <w:lang w:val="en-US" w:eastAsia="zh-CN"/>
        </w:rPr>
      </w:pPr>
      <w:r>
        <w:rPr>
          <w:rFonts w:hint="eastAsia" w:ascii="宋体" w:hAnsi="Times New Roman" w:eastAsia="宋体" w:cs="Times New Roman"/>
          <w:sz w:val="21"/>
          <w:szCs w:val="20"/>
          <w:highlight w:val="none"/>
          <w:lang w:val="en-US" w:eastAsia="zh-CN"/>
        </w:rPr>
        <w:t>动火作业审批有效期不应超过72 h，</w:t>
      </w:r>
      <w:r>
        <w:rPr>
          <w:rFonts w:hint="eastAsia" w:ascii="宋体" w:hAnsi="Times New Roman" w:eastAsia="宋体" w:cs="Times New Roman"/>
          <w:sz w:val="21"/>
          <w:szCs w:val="20"/>
          <w:highlight w:val="none"/>
        </w:rPr>
        <w:t>超过时限的应</w:t>
      </w:r>
      <w:r>
        <w:rPr>
          <w:rFonts w:hint="eastAsia" w:ascii="宋体" w:hAnsi="Times New Roman" w:eastAsia="宋体" w:cs="Times New Roman"/>
          <w:sz w:val="21"/>
          <w:szCs w:val="20"/>
          <w:highlight w:val="none"/>
          <w:lang w:val="en-US" w:eastAsia="zh-CN"/>
        </w:rPr>
        <w:t>重新办理审批</w:t>
      </w:r>
      <w:r>
        <w:rPr>
          <w:rFonts w:hint="eastAsia" w:ascii="宋体" w:hAnsi="Times New Roman" w:eastAsia="宋体" w:cs="Times New Roman"/>
          <w:sz w:val="21"/>
          <w:szCs w:val="20"/>
          <w:highlight w:val="none"/>
        </w:rPr>
        <w:t>手续</w:t>
      </w:r>
      <w:r>
        <w:rPr>
          <w:rFonts w:hint="eastAsia" w:ascii="宋体" w:hAnsi="Times New Roman" w:eastAsia="宋体" w:cs="Times New Roman"/>
          <w:sz w:val="21"/>
          <w:szCs w:val="20"/>
          <w:highlight w:val="none"/>
          <w:lang w:eastAsia="zh-CN"/>
        </w:rPr>
        <w:t>；</w:t>
      </w:r>
    </w:p>
    <w:p w14:paraId="6C8A8AC3">
      <w:pPr>
        <w:pStyle w:val="130"/>
        <w:numPr>
          <w:ilvl w:val="0"/>
          <w:numId w:val="42"/>
        </w:numPr>
        <w:adjustRightInd w:val="0"/>
        <w:snapToGrid w:val="0"/>
        <w:jc w:val="left"/>
        <w:rPr>
          <w:rFonts w:hint="eastAsia" w:hAnsi="Times New Roman" w:eastAsia="宋体" w:cs="Times New Roman"/>
          <w:highlight w:val="none"/>
        </w:rPr>
      </w:pPr>
      <w:r>
        <w:rPr>
          <w:rFonts w:hint="eastAsia" w:ascii="宋体" w:hAnsi="Times New Roman" w:eastAsia="宋体" w:cs="Times New Roman"/>
          <w:sz w:val="21"/>
          <w:szCs w:val="20"/>
          <w:highlight w:val="none"/>
          <w:lang w:val="en-US" w:eastAsia="zh-CN"/>
        </w:rPr>
        <w:t>动火作业应进行分级管理，遇节假日、重点时段或其他特殊情况，动火作业应升级管理；</w:t>
      </w:r>
    </w:p>
    <w:p w14:paraId="244627A9">
      <w:pPr>
        <w:pStyle w:val="130"/>
        <w:numPr>
          <w:ilvl w:val="0"/>
          <w:numId w:val="42"/>
        </w:numPr>
        <w:adjustRightInd w:val="0"/>
        <w:snapToGrid w:val="0"/>
        <w:jc w:val="left"/>
        <w:rPr>
          <w:rFonts w:hint="eastAsia"/>
          <w:highlight w:val="none"/>
        </w:rPr>
      </w:pPr>
      <w:r>
        <w:rPr>
          <w:rFonts w:hint="eastAsia" w:ascii="宋体" w:hAnsi="Times New Roman" w:eastAsia="宋体" w:cs="Times New Roman"/>
          <w:sz w:val="21"/>
          <w:szCs w:val="20"/>
          <w:highlight w:val="none"/>
          <w:lang w:val="en-US" w:eastAsia="zh-CN"/>
        </w:rPr>
        <w:t>遇五级</w:t>
      </w:r>
      <w:r>
        <w:rPr>
          <w:rFonts w:hint="eastAsia" w:cs="Times New Roman"/>
          <w:sz w:val="21"/>
          <w:szCs w:val="20"/>
          <w:highlight w:val="none"/>
          <w:lang w:val="en-US" w:eastAsia="zh-CN"/>
        </w:rPr>
        <w:t>及</w:t>
      </w:r>
      <w:r>
        <w:rPr>
          <w:rFonts w:hint="eastAsia" w:ascii="宋体" w:hAnsi="Times New Roman" w:eastAsia="宋体" w:cs="Times New Roman"/>
          <w:sz w:val="21"/>
          <w:szCs w:val="20"/>
          <w:highlight w:val="none"/>
          <w:lang w:val="en-US" w:eastAsia="zh-CN"/>
        </w:rPr>
        <w:t>以上</w:t>
      </w:r>
      <w:r>
        <w:rPr>
          <w:rFonts w:hint="eastAsia" w:cs="Times New Roman"/>
          <w:sz w:val="21"/>
          <w:szCs w:val="20"/>
          <w:highlight w:val="none"/>
          <w:lang w:val="en-US" w:eastAsia="zh-CN"/>
        </w:rPr>
        <w:t>大风</w:t>
      </w:r>
      <w:r>
        <w:rPr>
          <w:rFonts w:hint="eastAsia" w:ascii="宋体" w:hAnsi="Times New Roman" w:eastAsia="宋体" w:cs="Times New Roman"/>
          <w:sz w:val="21"/>
          <w:szCs w:val="20"/>
          <w:highlight w:val="none"/>
          <w:lang w:val="en-US" w:eastAsia="zh-CN"/>
        </w:rPr>
        <w:t>天气，原则上不应露天动火作业，确需动火，动火作业应升级管理</w:t>
      </w:r>
      <w:r>
        <w:rPr>
          <w:rFonts w:hint="eastAsia" w:cs="Times New Roman"/>
          <w:sz w:val="21"/>
          <w:szCs w:val="20"/>
          <w:highlight w:val="none"/>
          <w:lang w:val="en-US" w:eastAsia="zh-CN"/>
        </w:rPr>
        <w:t>；</w:t>
      </w:r>
    </w:p>
    <w:p w14:paraId="3EFB5BAB">
      <w:pPr>
        <w:pStyle w:val="130"/>
        <w:numPr>
          <w:ilvl w:val="0"/>
          <w:numId w:val="42"/>
        </w:numPr>
        <w:adjustRightInd w:val="0"/>
        <w:snapToGrid w:val="0"/>
        <w:jc w:val="left"/>
        <w:rPr>
          <w:rFonts w:hint="eastAsia"/>
          <w:highlight w:val="none"/>
        </w:rPr>
      </w:pPr>
      <w:r>
        <w:rPr>
          <w:rFonts w:hint="eastAsia"/>
          <w:highlight w:val="none"/>
        </w:rPr>
        <w:t>在古建筑内动火应按规定经过相关部门审查批准；</w:t>
      </w:r>
    </w:p>
    <w:p w14:paraId="315CA642">
      <w:pPr>
        <w:pStyle w:val="130"/>
        <w:numPr>
          <w:ilvl w:val="0"/>
          <w:numId w:val="42"/>
        </w:numPr>
        <w:adjustRightInd w:val="0"/>
        <w:snapToGrid w:val="0"/>
        <w:jc w:val="left"/>
        <w:rPr>
          <w:rFonts w:hint="eastAsia"/>
          <w:highlight w:val="none"/>
        </w:rPr>
      </w:pPr>
      <w:r>
        <w:rPr>
          <w:rFonts w:hint="eastAsia"/>
          <w:highlight w:val="none"/>
        </w:rPr>
        <w:t>古建筑需要修缮时，应由古建筑的管理与使用单位和施工单位共同制订消防安全措施，报相关管理部门批准后，方可动火</w:t>
      </w:r>
      <w:r>
        <w:rPr>
          <w:rFonts w:hint="eastAsia"/>
          <w:highlight w:val="none"/>
          <w:lang w:eastAsia="zh-CN"/>
        </w:rPr>
        <w:t>；</w:t>
      </w:r>
    </w:p>
    <w:p w14:paraId="0F0DDD55">
      <w:pPr>
        <w:pStyle w:val="130"/>
        <w:numPr>
          <w:ilvl w:val="0"/>
          <w:numId w:val="42"/>
        </w:numPr>
        <w:adjustRightInd w:val="0"/>
        <w:snapToGrid w:val="0"/>
        <w:jc w:val="left"/>
        <w:rPr>
          <w:rFonts w:hint="eastAsia"/>
          <w:highlight w:val="none"/>
        </w:rPr>
      </w:pPr>
      <w:r>
        <w:rPr>
          <w:rFonts w:hint="eastAsia"/>
          <w:highlight w:val="none"/>
        </w:rPr>
        <w:t>森林防火期外，在</w:t>
      </w:r>
      <w:r>
        <w:rPr>
          <w:rFonts w:hint="eastAsia"/>
          <w:highlight w:val="none"/>
          <w:lang w:val="en-US" w:eastAsia="zh-CN"/>
        </w:rPr>
        <w:t>涉林景区</w:t>
      </w:r>
      <w:r>
        <w:rPr>
          <w:rFonts w:hint="eastAsia"/>
          <w:highlight w:val="none"/>
        </w:rPr>
        <w:t>林地开展生产性野外用火的，应经审批，并划定活动区域，设置醒目的用火界限，公示野外用火要求和注意事项，配备森林防火设备。</w:t>
      </w:r>
    </w:p>
    <w:p w14:paraId="14CD00F0">
      <w:pPr>
        <w:pStyle w:val="186"/>
        <w:tabs>
          <w:tab w:val="left" w:pos="840"/>
        </w:tabs>
        <w:ind w:left="0"/>
        <w:rPr>
          <w:rFonts w:hint="eastAsia"/>
        </w:rPr>
      </w:pPr>
      <w:r>
        <w:rPr>
          <w:rFonts w:hint="eastAsia"/>
        </w:rPr>
        <w:t>高处作业应符合下列要求：</w:t>
      </w:r>
    </w:p>
    <w:p w14:paraId="783E5231">
      <w:pPr>
        <w:pStyle w:val="130"/>
        <w:keepNext w:val="0"/>
        <w:keepLines w:val="0"/>
        <w:pageBreakBefore w:val="0"/>
        <w:widowControl/>
        <w:numPr>
          <w:ilvl w:val="0"/>
          <w:numId w:val="43"/>
        </w:numPr>
        <w:tabs>
          <w:tab w:val="left" w:pos="0"/>
        </w:tabs>
        <w:kinsoku/>
        <w:wordWrap/>
        <w:overflowPunct/>
        <w:topLinePunct w:val="0"/>
        <w:autoSpaceDE/>
        <w:autoSpaceDN/>
        <w:bidi w:val="0"/>
        <w:adjustRightInd/>
        <w:snapToGrid/>
        <w:ind w:left="839" w:hanging="420"/>
        <w:textAlignment w:val="auto"/>
        <w:rPr>
          <w:rFonts w:hint="eastAsia"/>
        </w:rPr>
      </w:pPr>
      <w:r>
        <w:rPr>
          <w:rFonts w:hint="eastAsia"/>
        </w:rPr>
        <w:t>无固定站立部位或站立部位无防护的高处作业应使用安全带，安全带应悬挂在建筑物设施或固定装置上；</w:t>
      </w:r>
    </w:p>
    <w:p w14:paraId="7F80C0E6">
      <w:pPr>
        <w:pStyle w:val="130"/>
        <w:keepNext w:val="0"/>
        <w:keepLines w:val="0"/>
        <w:pageBreakBefore w:val="0"/>
        <w:widowControl/>
        <w:numPr>
          <w:ilvl w:val="0"/>
          <w:numId w:val="43"/>
        </w:numPr>
        <w:tabs>
          <w:tab w:val="left" w:pos="0"/>
        </w:tabs>
        <w:kinsoku/>
        <w:wordWrap/>
        <w:overflowPunct/>
        <w:topLinePunct w:val="0"/>
        <w:autoSpaceDE/>
        <w:autoSpaceDN/>
        <w:bidi w:val="0"/>
        <w:adjustRightInd/>
        <w:snapToGrid/>
        <w:ind w:left="839" w:hanging="420"/>
        <w:textAlignment w:val="auto"/>
        <w:rPr>
          <w:rFonts w:hint="eastAsia"/>
        </w:rPr>
      </w:pPr>
      <w:r>
        <w:rPr>
          <w:rFonts w:hint="eastAsia"/>
        </w:rPr>
        <w:t>梯子、升降平台使用处下方可能坠落的半径范围内，不应堆放杂物；</w:t>
      </w:r>
    </w:p>
    <w:p w14:paraId="5DAACF0C">
      <w:pPr>
        <w:pStyle w:val="130"/>
        <w:keepNext w:val="0"/>
        <w:keepLines w:val="0"/>
        <w:pageBreakBefore w:val="0"/>
        <w:widowControl/>
        <w:numPr>
          <w:ilvl w:val="0"/>
          <w:numId w:val="43"/>
        </w:numPr>
        <w:tabs>
          <w:tab w:val="left" w:pos="0"/>
        </w:tabs>
        <w:kinsoku/>
        <w:wordWrap/>
        <w:overflowPunct/>
        <w:topLinePunct w:val="0"/>
        <w:autoSpaceDE/>
        <w:autoSpaceDN/>
        <w:bidi w:val="0"/>
        <w:adjustRightInd/>
        <w:snapToGrid/>
        <w:ind w:left="839" w:hanging="420"/>
        <w:textAlignment w:val="auto"/>
        <w:rPr>
          <w:rFonts w:hint="eastAsia"/>
        </w:rPr>
      </w:pPr>
      <w:r>
        <w:rPr>
          <w:rFonts w:hint="eastAsia"/>
        </w:rPr>
        <w:t>高处作业过程中不应往下抛掷材料、工具和其他物品，作业使用的工具、材料、零件等应装入工具袋；</w:t>
      </w:r>
    </w:p>
    <w:p w14:paraId="0637D42A">
      <w:pPr>
        <w:pStyle w:val="130"/>
        <w:keepNext w:val="0"/>
        <w:keepLines w:val="0"/>
        <w:pageBreakBefore w:val="0"/>
        <w:widowControl/>
        <w:numPr>
          <w:ilvl w:val="0"/>
          <w:numId w:val="43"/>
        </w:numPr>
        <w:tabs>
          <w:tab w:val="left" w:pos="0"/>
        </w:tabs>
        <w:kinsoku/>
        <w:wordWrap/>
        <w:overflowPunct/>
        <w:topLinePunct w:val="0"/>
        <w:autoSpaceDE/>
        <w:autoSpaceDN/>
        <w:bidi w:val="0"/>
        <w:adjustRightInd/>
        <w:snapToGrid/>
        <w:ind w:left="839" w:hanging="420"/>
        <w:textAlignment w:val="auto"/>
        <w:rPr>
          <w:rFonts w:hint="eastAsia"/>
        </w:rPr>
      </w:pPr>
      <w:r>
        <w:rPr>
          <w:rFonts w:hint="eastAsia"/>
        </w:rPr>
        <w:t>雨天和雪天作业时，应采取可靠的防滑、防寒措施；遇有五级</w:t>
      </w:r>
      <w:r>
        <w:rPr>
          <w:rFonts w:hint="eastAsia"/>
          <w:lang w:val="en-US" w:eastAsia="zh-CN"/>
        </w:rPr>
        <w:t>及</w:t>
      </w:r>
      <w:r>
        <w:rPr>
          <w:rFonts w:hint="eastAsia"/>
        </w:rPr>
        <w:t>以上强风、浓雾等恶劣气候，不应进行高处作业、露天攀登与悬空高处作业；暴风雪、暴雨后，应对作业安全设施进行检查。</w:t>
      </w:r>
    </w:p>
    <w:p w14:paraId="61626BA8">
      <w:pPr>
        <w:pStyle w:val="186"/>
        <w:ind w:left="0"/>
        <w:rPr>
          <w:rFonts w:hint="eastAsia"/>
        </w:rPr>
      </w:pPr>
      <w:r>
        <w:rPr>
          <w:rFonts w:hint="eastAsia"/>
        </w:rPr>
        <w:t>有限空间作业应符合DB11/T 852及下列要求：</w:t>
      </w:r>
    </w:p>
    <w:p w14:paraId="71DEA67C">
      <w:pPr>
        <w:pStyle w:val="130"/>
        <w:numPr>
          <w:ilvl w:val="0"/>
          <w:numId w:val="44"/>
        </w:numPr>
        <w:rPr>
          <w:rFonts w:hint="eastAsia"/>
        </w:rPr>
      </w:pPr>
      <w:r>
        <w:rPr>
          <w:rFonts w:hint="eastAsia"/>
        </w:rPr>
        <w:t>应对有限空间进行辨识，建立有限空间管理台账，并及时更新；</w:t>
      </w:r>
    </w:p>
    <w:p w14:paraId="19115CFF">
      <w:pPr>
        <w:pStyle w:val="130"/>
        <w:numPr>
          <w:ilvl w:val="0"/>
          <w:numId w:val="44"/>
        </w:numPr>
        <w:rPr>
          <w:rFonts w:hint="eastAsia"/>
        </w:rPr>
      </w:pPr>
      <w:r>
        <w:rPr>
          <w:rFonts w:hint="eastAsia"/>
        </w:rPr>
        <w:t>应在有限空间出入口等醒目位置设置安全警示标志，并在具备条件的场所设置安全风险告知牌；</w:t>
      </w:r>
    </w:p>
    <w:p w14:paraId="23AE839F">
      <w:pPr>
        <w:pStyle w:val="130"/>
        <w:numPr>
          <w:ilvl w:val="0"/>
          <w:numId w:val="44"/>
        </w:numPr>
        <w:rPr>
          <w:rFonts w:hint="eastAsia"/>
        </w:rPr>
      </w:pPr>
      <w:r>
        <w:rPr>
          <w:rFonts w:hint="eastAsia"/>
        </w:rPr>
        <w:t>存在有限空间的</w:t>
      </w:r>
      <w:r>
        <w:rPr>
          <w:rFonts w:hint="eastAsia"/>
          <w:lang w:eastAsia="zh-CN"/>
        </w:rPr>
        <w:t>景区</w:t>
      </w:r>
      <w:r>
        <w:rPr>
          <w:rFonts w:hint="eastAsia"/>
        </w:rPr>
        <w:t>应每年至少组织一次，对其作业安全管理人员、审批人、作业负责人、监护人、作业人员和应急救援人员等进行有限空间作业安全专项培训；</w:t>
      </w:r>
    </w:p>
    <w:p w14:paraId="14A47ECE">
      <w:pPr>
        <w:pStyle w:val="130"/>
        <w:numPr>
          <w:ilvl w:val="0"/>
          <w:numId w:val="44"/>
        </w:numPr>
        <w:rPr>
          <w:rFonts w:hint="eastAsia"/>
        </w:rPr>
      </w:pPr>
      <w:r>
        <w:rPr>
          <w:rFonts w:hint="eastAsia"/>
        </w:rPr>
        <w:t>应根据有限空间作业安全风险大小，明确审批要求，对于存在硫化氢、一氧化碳、二氧化碳等中毒和窒息等风险的有限空间作业，应</w:t>
      </w:r>
      <w:r>
        <w:rPr>
          <w:rFonts w:hint="eastAsia"/>
          <w:lang w:val="en-US" w:eastAsia="zh-CN"/>
        </w:rPr>
        <w:t>由</w:t>
      </w:r>
      <w:r>
        <w:rPr>
          <w:rFonts w:hint="eastAsia"/>
          <w:lang w:eastAsia="zh-CN"/>
        </w:rPr>
        <w:t>景区</w:t>
      </w:r>
      <w:r>
        <w:rPr>
          <w:rFonts w:hint="eastAsia"/>
        </w:rPr>
        <w:t>主要负责人或者其书面委托的人员进行审批，委托进行审批的，相关责任仍由</w:t>
      </w:r>
      <w:r>
        <w:rPr>
          <w:rFonts w:hint="eastAsia"/>
          <w:lang w:eastAsia="zh-CN"/>
        </w:rPr>
        <w:t>景区</w:t>
      </w:r>
      <w:r>
        <w:rPr>
          <w:rFonts w:hint="eastAsia"/>
        </w:rPr>
        <w:t>主要负责人承担。未经</w:t>
      </w:r>
      <w:r>
        <w:rPr>
          <w:rFonts w:hint="eastAsia"/>
          <w:lang w:eastAsia="zh-CN"/>
        </w:rPr>
        <w:t>景区</w:t>
      </w:r>
      <w:r>
        <w:rPr>
          <w:rFonts w:hint="eastAsia"/>
        </w:rPr>
        <w:t>确定的作业审批人批准，不</w:t>
      </w:r>
      <w:r>
        <w:rPr>
          <w:rFonts w:hint="eastAsia"/>
          <w:lang w:val="en-US" w:eastAsia="zh-CN"/>
        </w:rPr>
        <w:t>应</w:t>
      </w:r>
      <w:r>
        <w:rPr>
          <w:rFonts w:hint="eastAsia"/>
        </w:rPr>
        <w:t>实施有限空间作业；</w:t>
      </w:r>
    </w:p>
    <w:p w14:paraId="0FF83602">
      <w:pPr>
        <w:pStyle w:val="130"/>
        <w:numPr>
          <w:ilvl w:val="0"/>
          <w:numId w:val="44"/>
        </w:numPr>
        <w:rPr>
          <w:rFonts w:hint="eastAsia"/>
        </w:rPr>
      </w:pPr>
      <w:r>
        <w:rPr>
          <w:rFonts w:hint="eastAsia"/>
        </w:rPr>
        <w:t>审批时应对作业人员资</w:t>
      </w:r>
      <w:r>
        <w:rPr>
          <w:rFonts w:hint="eastAsia"/>
          <w:lang w:val="en-US" w:eastAsia="zh-CN"/>
        </w:rPr>
        <w:t>格</w:t>
      </w:r>
      <w:r>
        <w:rPr>
          <w:rFonts w:hint="eastAsia"/>
        </w:rPr>
        <w:t>、方案内的作业程序、作业位置、检测仪器、现场专用防护用具和电气照明、现场通风、现场警戒、应急</w:t>
      </w:r>
      <w:r>
        <w:rPr>
          <w:rFonts w:hint="eastAsia"/>
          <w:highlight w:val="none"/>
          <w:lang w:val="en-US" w:eastAsia="zh-CN"/>
        </w:rPr>
        <w:t>处置</w:t>
      </w:r>
      <w:r>
        <w:rPr>
          <w:rFonts w:hint="eastAsia"/>
        </w:rPr>
        <w:t>等相关内容进行审核；</w:t>
      </w:r>
    </w:p>
    <w:p w14:paraId="29B78F69">
      <w:pPr>
        <w:pStyle w:val="130"/>
        <w:numPr>
          <w:ilvl w:val="0"/>
          <w:numId w:val="44"/>
        </w:numPr>
        <w:rPr>
          <w:rFonts w:hint="eastAsia"/>
        </w:rPr>
      </w:pPr>
      <w:r>
        <w:rPr>
          <w:rFonts w:hint="eastAsia"/>
        </w:rPr>
        <w:t>作业过程应执行“先通风、再检测、后作业”要求；</w:t>
      </w:r>
    </w:p>
    <w:p w14:paraId="07C6194C">
      <w:pPr>
        <w:pStyle w:val="130"/>
        <w:numPr>
          <w:ilvl w:val="0"/>
          <w:numId w:val="44"/>
        </w:numPr>
        <w:rPr>
          <w:rFonts w:hint="eastAsia"/>
        </w:rPr>
      </w:pPr>
      <w:r>
        <w:rPr>
          <w:rFonts w:hint="eastAsia"/>
        </w:rPr>
        <w:t>应建立并保存作业记录，包括作业前清点所有现场人员及所带物品情况，作业前氧气、可燃性气体、有毒有害气体检测以及通风情况，作业中检测情况，作业后清点人数情况等。</w:t>
      </w:r>
    </w:p>
    <w:p w14:paraId="767B3907">
      <w:pPr>
        <w:pStyle w:val="109"/>
        <w:rPr>
          <w:rFonts w:hint="eastAsia" w:hAnsi="黑体"/>
          <w:szCs w:val="21"/>
        </w:rPr>
      </w:pPr>
      <w:bookmarkStart w:id="348" w:name="_Toc504594721"/>
      <w:bookmarkStart w:id="349" w:name="_Toc482174147"/>
      <w:bookmarkStart w:id="350" w:name="_Toc484984808"/>
      <w:bookmarkStart w:id="351" w:name="_Toc482172276"/>
      <w:bookmarkStart w:id="352" w:name="_Toc504931846"/>
      <w:bookmarkStart w:id="353" w:name="_Toc482174631"/>
      <w:bookmarkStart w:id="354" w:name="_Toc482169113"/>
      <w:bookmarkStart w:id="355" w:name="_Toc486261036"/>
      <w:bookmarkStart w:id="356" w:name="_Toc482198492"/>
      <w:bookmarkStart w:id="357" w:name="_Toc498286351"/>
      <w:bookmarkStart w:id="358" w:name="_Toc482189180"/>
      <w:bookmarkStart w:id="359" w:name="_Toc498337275"/>
      <w:bookmarkStart w:id="360" w:name="_Toc498348140"/>
      <w:bookmarkStart w:id="361" w:name="_Toc482114501"/>
      <w:bookmarkStart w:id="362" w:name="_Toc498325680"/>
      <w:bookmarkStart w:id="363" w:name="_Toc482175053"/>
      <w:bookmarkStart w:id="364" w:name="_Toc484965499"/>
      <w:bookmarkStart w:id="365" w:name="_Toc484958275"/>
      <w:bookmarkStart w:id="366" w:name="_Toc482172335"/>
      <w:bookmarkStart w:id="367" w:name="_Toc484965769"/>
      <w:bookmarkStart w:id="368" w:name="_Toc23021"/>
      <w:bookmarkStart w:id="369" w:name="_Toc7705"/>
      <w:r>
        <w:rPr>
          <w:rFonts w:hint="eastAsia" w:hAnsi="黑体"/>
          <w:szCs w:val="21"/>
        </w:rPr>
        <w:t>评定细则</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05F5E26D">
      <w:pPr>
        <w:pStyle w:val="197"/>
        <w:rPr>
          <w:rFonts w:hint="eastAsia"/>
        </w:rPr>
      </w:pPr>
      <w:bookmarkStart w:id="370" w:name="_Toc19472"/>
      <w:bookmarkStart w:id="371" w:name="_Toc24607"/>
      <w:r>
        <w:rPr>
          <w:rFonts w:hint="eastAsia"/>
        </w:rPr>
        <w:t>安全生产等级划分应符合DB11/T 1322.1的规定。</w:t>
      </w:r>
      <w:bookmarkEnd w:id="370"/>
      <w:bookmarkEnd w:id="371"/>
    </w:p>
    <w:p w14:paraId="3103A1A7">
      <w:pPr>
        <w:pStyle w:val="197"/>
        <w:rPr>
          <w:rFonts w:hint="eastAsia"/>
        </w:rPr>
      </w:pPr>
      <w:bookmarkStart w:id="372" w:name="_Toc9985"/>
      <w:bookmarkStart w:id="373" w:name="_Toc30489"/>
      <w:r>
        <w:rPr>
          <w:rFonts w:hint="eastAsia"/>
        </w:rPr>
        <w:t>安全生产等级评定一级否决条款见附录A。</w:t>
      </w:r>
      <w:bookmarkEnd w:id="372"/>
      <w:bookmarkEnd w:id="373"/>
    </w:p>
    <w:p w14:paraId="163AA9D3">
      <w:pPr>
        <w:pStyle w:val="197"/>
        <w:rPr>
          <w:rFonts w:hint="eastAsia"/>
        </w:rPr>
      </w:pPr>
      <w:bookmarkStart w:id="374" w:name="_Toc17807"/>
      <w:bookmarkStart w:id="375" w:name="_Toc9848"/>
      <w:r>
        <w:rPr>
          <w:rFonts w:hint="eastAsia"/>
        </w:rPr>
        <w:t>基础管理要求指标的安全生产等级评定细则见附录B。</w:t>
      </w:r>
      <w:bookmarkEnd w:id="374"/>
      <w:bookmarkEnd w:id="375"/>
    </w:p>
    <w:p w14:paraId="62019704">
      <w:pPr>
        <w:pStyle w:val="197"/>
        <w:rPr>
          <w:rFonts w:hint="eastAsia"/>
        </w:rPr>
      </w:pPr>
      <w:bookmarkStart w:id="376" w:name="_Toc20848"/>
      <w:bookmarkStart w:id="377" w:name="_Toc22823"/>
      <w:r>
        <w:rPr>
          <w:rFonts w:hint="eastAsia"/>
        </w:rPr>
        <w:t>场所环境要素的安全生产等级评定细则见附录C。</w:t>
      </w:r>
      <w:bookmarkEnd w:id="376"/>
      <w:bookmarkEnd w:id="377"/>
    </w:p>
    <w:p w14:paraId="095944EC">
      <w:pPr>
        <w:pStyle w:val="197"/>
        <w:rPr>
          <w:rFonts w:hint="eastAsia"/>
        </w:rPr>
      </w:pPr>
      <w:bookmarkStart w:id="378" w:name="_Toc22045"/>
      <w:bookmarkStart w:id="379" w:name="_Toc26020"/>
      <w:r>
        <w:rPr>
          <w:rFonts w:hint="eastAsia"/>
        </w:rPr>
        <w:t>生产设备设施要素的安全生产等级评定细则</w:t>
      </w:r>
      <w:r>
        <w:t>见附录</w:t>
      </w:r>
      <w:r>
        <w:rPr>
          <w:rFonts w:hint="eastAsia"/>
        </w:rPr>
        <w:t>D。</w:t>
      </w:r>
      <w:bookmarkEnd w:id="378"/>
      <w:bookmarkEnd w:id="379"/>
    </w:p>
    <w:p w14:paraId="3B1C91AC">
      <w:pPr>
        <w:pStyle w:val="197"/>
        <w:rPr>
          <w:rFonts w:hint="eastAsia"/>
        </w:rPr>
      </w:pPr>
      <w:bookmarkStart w:id="380" w:name="_Toc29274"/>
      <w:bookmarkStart w:id="381" w:name="_Toc24001"/>
      <w:r>
        <w:rPr>
          <w:rFonts w:hint="eastAsia"/>
        </w:rPr>
        <w:t>特种设备要素的安全生产等级评定细则</w:t>
      </w:r>
      <w:r>
        <w:t>见附录</w:t>
      </w:r>
      <w:r>
        <w:rPr>
          <w:rFonts w:hint="eastAsia"/>
        </w:rPr>
        <w:t>E。</w:t>
      </w:r>
      <w:bookmarkEnd w:id="380"/>
      <w:bookmarkEnd w:id="381"/>
    </w:p>
    <w:p w14:paraId="67F2C87C">
      <w:pPr>
        <w:pStyle w:val="197"/>
        <w:rPr>
          <w:rFonts w:hint="eastAsia"/>
        </w:rPr>
      </w:pPr>
      <w:bookmarkStart w:id="382" w:name="_Toc30026"/>
      <w:bookmarkStart w:id="383" w:name="_Toc15131"/>
      <w:r>
        <w:rPr>
          <w:rFonts w:hint="eastAsia"/>
        </w:rPr>
        <w:t>公用辅助用房与设备设施要素的安全生产等级评定细则</w:t>
      </w:r>
      <w:r>
        <w:t>见附录</w:t>
      </w:r>
      <w:r>
        <w:rPr>
          <w:rFonts w:hint="eastAsia"/>
        </w:rPr>
        <w:t>F。</w:t>
      </w:r>
      <w:bookmarkEnd w:id="382"/>
      <w:bookmarkEnd w:id="383"/>
    </w:p>
    <w:p w14:paraId="7E19713B">
      <w:pPr>
        <w:pStyle w:val="197"/>
        <w:rPr>
          <w:rFonts w:hint="eastAsia"/>
        </w:rPr>
      </w:pPr>
      <w:bookmarkStart w:id="384" w:name="_Toc8755"/>
      <w:bookmarkStart w:id="385" w:name="_Toc13992"/>
      <w:r>
        <w:rPr>
          <w:rFonts w:hint="eastAsia"/>
        </w:rPr>
        <w:t>用电要素的安全生产等级评定细则</w:t>
      </w:r>
      <w:r>
        <w:t>见附录</w:t>
      </w:r>
      <w:r>
        <w:rPr>
          <w:rFonts w:hint="eastAsia"/>
        </w:rPr>
        <w:t>G。</w:t>
      </w:r>
      <w:bookmarkEnd w:id="384"/>
      <w:bookmarkEnd w:id="385"/>
    </w:p>
    <w:p w14:paraId="6841FE40">
      <w:pPr>
        <w:pStyle w:val="197"/>
        <w:rPr>
          <w:rFonts w:hint="eastAsia"/>
        </w:rPr>
      </w:pPr>
      <w:bookmarkStart w:id="386" w:name="_Toc1083"/>
      <w:bookmarkStart w:id="387" w:name="_Toc6943"/>
      <w:r>
        <w:rPr>
          <w:rFonts w:hint="eastAsia"/>
        </w:rPr>
        <w:t>消防要素的安全生产等级评定细则</w:t>
      </w:r>
      <w:r>
        <w:t>求见附录</w:t>
      </w:r>
      <w:r>
        <w:rPr>
          <w:rFonts w:hint="eastAsia"/>
        </w:rPr>
        <w:t>H。</w:t>
      </w:r>
      <w:bookmarkEnd w:id="386"/>
      <w:bookmarkEnd w:id="387"/>
    </w:p>
    <w:p w14:paraId="1068A7DC">
      <w:pPr>
        <w:pStyle w:val="197"/>
        <w:rPr>
          <w:rFonts w:hint="eastAsia"/>
        </w:rPr>
      </w:pPr>
      <w:bookmarkStart w:id="388" w:name="_Toc17930"/>
      <w:bookmarkStart w:id="389" w:name="_Toc29332"/>
      <w:r>
        <w:rPr>
          <w:rFonts w:hint="eastAsia"/>
        </w:rPr>
        <w:t>危险化学品要素的安全生产等级评定细则</w:t>
      </w:r>
      <w:r>
        <w:t>见附录</w:t>
      </w:r>
      <w:r>
        <w:rPr>
          <w:rFonts w:hint="eastAsia"/>
        </w:rPr>
        <w:t>I。</w:t>
      </w:r>
      <w:bookmarkEnd w:id="388"/>
      <w:bookmarkEnd w:id="389"/>
    </w:p>
    <w:p w14:paraId="23729090">
      <w:pPr>
        <w:pStyle w:val="197"/>
        <w:rPr>
          <w:rFonts w:hint="eastAsia"/>
        </w:rPr>
      </w:pPr>
      <w:bookmarkStart w:id="390" w:name="_Toc8791"/>
      <w:bookmarkStart w:id="391" w:name="_Toc32536"/>
      <w:r>
        <w:rPr>
          <w:rFonts w:hint="eastAsia"/>
        </w:rPr>
        <w:t>劳动防护用品使用要素的安全生产等级评定细则</w:t>
      </w:r>
      <w:r>
        <w:t>见附录</w:t>
      </w:r>
      <w:r>
        <w:rPr>
          <w:rFonts w:hint="eastAsia"/>
          <w:lang w:val="en-US" w:eastAsia="zh-CN"/>
        </w:rPr>
        <w:t>J</w:t>
      </w:r>
      <w:r>
        <w:rPr>
          <w:rFonts w:hint="eastAsia"/>
        </w:rPr>
        <w:t>。</w:t>
      </w:r>
      <w:bookmarkEnd w:id="390"/>
      <w:bookmarkEnd w:id="391"/>
    </w:p>
    <w:p w14:paraId="46625712">
      <w:pPr>
        <w:pStyle w:val="197"/>
        <w:sectPr>
          <w:pgSz w:w="11906" w:h="16838"/>
          <w:pgMar w:top="567" w:right="1134" w:bottom="1134" w:left="1418" w:header="1418" w:footer="1134" w:gutter="0"/>
          <w:pgNumType w:start="1"/>
          <w:cols w:space="720" w:num="1"/>
          <w:formProt w:val="0"/>
          <w:docGrid w:type="lines" w:linePitch="312" w:charSpace="0"/>
        </w:sectPr>
      </w:pPr>
      <w:bookmarkStart w:id="392" w:name="_Toc23542"/>
      <w:bookmarkStart w:id="393" w:name="_Toc31891"/>
      <w:r>
        <w:rPr>
          <w:rFonts w:hint="eastAsia"/>
        </w:rPr>
        <w:t>操作人员行为规范要素的安全生产等级评定细则</w:t>
      </w:r>
      <w:r>
        <w:t>见附录</w:t>
      </w:r>
      <w:r>
        <w:rPr>
          <w:rFonts w:hint="eastAsia"/>
          <w:lang w:val="en-US" w:eastAsia="zh-CN"/>
        </w:rPr>
        <w:t>K</w:t>
      </w:r>
      <w:r>
        <w:t>。</w:t>
      </w:r>
      <w:bookmarkEnd w:id="392"/>
      <w:bookmarkEnd w:id="393"/>
    </w:p>
    <w:p w14:paraId="06C8735B">
      <w:pPr>
        <w:pStyle w:val="174"/>
      </w:pPr>
      <w:bookmarkStart w:id="394" w:name="_Toc26747"/>
      <w:bookmarkEnd w:id="394"/>
      <w:bookmarkStart w:id="395" w:name="_Toc18430"/>
      <w:bookmarkEnd w:id="395"/>
    </w:p>
    <w:p w14:paraId="53E5C37F">
      <w:pPr>
        <w:pStyle w:val="167"/>
        <w:numPr>
          <w:numId w:val="0"/>
        </w:numPr>
        <w:tabs>
          <w:tab w:val="clear" w:pos="0"/>
        </w:tabs>
        <w:ind w:left="0" w:leftChars="0" w:hanging="425" w:firstLineChars="0"/>
      </w:pPr>
      <w:bookmarkStart w:id="396" w:name="_Toc26611"/>
      <w:bookmarkStart w:id="397" w:name="_Toc21336"/>
      <w:r>
        <w:rPr>
          <w:rFonts w:hint="eastAsia" w:ascii="Times New Roman" w:hAnsi="Times New Roman" w:eastAsia="宋体" w:cs="Times New Roman"/>
          <w:color w:val="FFFFFF"/>
          <w:kern w:val="2"/>
          <w:sz w:val="21"/>
          <w:szCs w:val="24"/>
          <w:lang w:val="en-US" w:eastAsia="zh-CN" w:bidi="ar-SA"/>
        </w:rPr>
        <w:t>A</w:t>
      </w:r>
      <w:bookmarkEnd w:id="396"/>
      <w:bookmarkEnd w:id="397"/>
    </w:p>
    <w:p w14:paraId="358F0C0F">
      <w:pPr>
        <w:pStyle w:val="160"/>
        <w:rPr>
          <w:rFonts w:hint="eastAsia"/>
        </w:rPr>
      </w:pPr>
      <w:bookmarkStart w:id="398" w:name="_Toc18147"/>
      <w:bookmarkStart w:id="399" w:name="_Toc31977"/>
      <w:r>
        <w:br w:type="textWrapping"/>
      </w:r>
      <w:bookmarkStart w:id="400" w:name="_Toc482175054"/>
      <w:bookmarkStart w:id="401" w:name="_Toc482174632"/>
      <w:bookmarkStart w:id="402" w:name="_Toc504594722"/>
      <w:bookmarkStart w:id="403" w:name="_Toc486261037"/>
      <w:bookmarkStart w:id="404" w:name="_Toc482169114"/>
      <w:bookmarkStart w:id="405" w:name="_Toc498325681"/>
      <w:bookmarkStart w:id="406" w:name="_Toc482189181"/>
      <w:bookmarkStart w:id="407" w:name="_Toc482172277"/>
      <w:bookmarkStart w:id="408" w:name="_Toc482174148"/>
      <w:bookmarkStart w:id="409" w:name="_Toc498286352"/>
      <w:bookmarkStart w:id="410" w:name="_Toc484965770"/>
      <w:bookmarkStart w:id="411" w:name="_Toc482172336"/>
      <w:bookmarkStart w:id="412" w:name="_Toc482198493"/>
      <w:bookmarkStart w:id="413" w:name="_Toc482114502"/>
      <w:bookmarkStart w:id="414" w:name="_Toc498348141"/>
      <w:bookmarkStart w:id="415" w:name="_Toc484984809"/>
      <w:bookmarkStart w:id="416" w:name="_Toc484965500"/>
      <w:bookmarkStart w:id="417" w:name="_Toc498337276"/>
      <w:bookmarkStart w:id="418" w:name="_Toc504931847"/>
      <w:bookmarkStart w:id="419" w:name="_Toc484958276"/>
      <w:r>
        <w:rPr>
          <w:rFonts w:hint="eastAsia"/>
        </w:rPr>
        <w:t>（规范性附录）</w:t>
      </w:r>
      <w:r>
        <w:br w:type="textWrapping"/>
      </w:r>
      <w:r>
        <w:rPr>
          <w:rFonts w:hint="eastAsia"/>
        </w:rPr>
        <w:t>安全生产等级评定一级否决条款</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1C0B96AE">
      <w:pPr>
        <w:pStyle w:val="36"/>
        <w:rPr>
          <w:rFonts w:hint="eastAsia" w:hAnsi="宋体"/>
          <w:szCs w:val="21"/>
        </w:rPr>
      </w:pPr>
      <w:r>
        <w:rPr>
          <w:rFonts w:hint="eastAsia" w:hAnsi="宋体"/>
          <w:szCs w:val="21"/>
        </w:rPr>
        <w:t>表A.1规定了安全生产等级评定的一级否决条款。</w:t>
      </w:r>
    </w:p>
    <w:p w14:paraId="71C2ACCA">
      <w:pPr>
        <w:pStyle w:val="168"/>
        <w:numPr>
          <w:numId w:val="0"/>
        </w:numPr>
        <w:spacing w:before="156" w:after="156"/>
        <w:ind w:left="6237" w:leftChars="0" w:hanging="6237" w:firstLineChars="0"/>
        <w:rPr>
          <w:rFonts w:hint="eastAsia" w:hAnsi="Calibri"/>
          <w:szCs w:val="52"/>
        </w:rPr>
      </w:pPr>
      <w:r>
        <w:rPr>
          <w:rFonts w:hint="eastAsia" w:ascii="黑体" w:hAnsi="Calibri" w:eastAsia="黑体" w:cs="Times New Roman"/>
          <w:kern w:val="2"/>
          <w:sz w:val="21"/>
          <w:szCs w:val="52"/>
          <w:lang w:val="en-US" w:eastAsia="zh-CN" w:bidi="ar-SA"/>
        </w:rPr>
        <w:t>表A.1　</w:t>
      </w:r>
      <w:r>
        <w:rPr>
          <w:rFonts w:hint="eastAsia" w:hAnsi="Calibri"/>
          <w:szCs w:val="52"/>
        </w:rPr>
        <w:t>安全生产等级评定一级否决条款</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752"/>
        <w:gridCol w:w="6436"/>
        <w:gridCol w:w="1495"/>
      </w:tblGrid>
      <w:tr w14:paraId="5DCCC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tcBorders>
              <w:top w:val="single" w:color="auto" w:sz="8" w:space="0"/>
              <w:bottom w:val="single" w:color="auto" w:sz="8" w:space="0"/>
            </w:tcBorders>
            <w:noWrap w:val="0"/>
            <w:vAlign w:val="center"/>
          </w:tcPr>
          <w:p w14:paraId="27B0CCC8">
            <w:pPr>
              <w:adjustRightInd w:val="0"/>
              <w:snapToGrid w:val="0"/>
              <w:spacing w:line="240" w:lineRule="atLeast"/>
              <w:jc w:val="center"/>
              <w:rPr>
                <w:rFonts w:ascii="黑体" w:hAnsi="黑体" w:eastAsia="黑体"/>
                <w:bCs/>
                <w:sz w:val="18"/>
                <w:szCs w:val="18"/>
              </w:rPr>
            </w:pPr>
            <w:r>
              <w:rPr>
                <w:rFonts w:hint="eastAsia" w:ascii="黑体" w:hAnsi="黑体" w:eastAsia="黑体"/>
                <w:bCs/>
                <w:sz w:val="18"/>
                <w:szCs w:val="18"/>
              </w:rPr>
              <w:t>序号</w:t>
            </w:r>
          </w:p>
        </w:tc>
        <w:tc>
          <w:tcPr>
            <w:tcW w:w="6752" w:type="dxa"/>
            <w:tcBorders>
              <w:top w:val="single" w:color="auto" w:sz="8" w:space="0"/>
              <w:bottom w:val="single" w:color="auto" w:sz="8" w:space="0"/>
            </w:tcBorders>
            <w:noWrap w:val="0"/>
            <w:vAlign w:val="top"/>
          </w:tcPr>
          <w:p w14:paraId="5125BC90">
            <w:pPr>
              <w:adjustRightInd w:val="0"/>
              <w:snapToGrid w:val="0"/>
              <w:spacing w:line="240" w:lineRule="atLeast"/>
              <w:jc w:val="center"/>
              <w:rPr>
                <w:rFonts w:ascii="黑体" w:hAnsi="黑体" w:eastAsia="黑体"/>
                <w:bCs/>
                <w:sz w:val="18"/>
                <w:szCs w:val="18"/>
              </w:rPr>
            </w:pPr>
            <w:r>
              <w:rPr>
                <w:rFonts w:ascii="黑体" w:hAnsi="黑体" w:eastAsia="黑体"/>
                <w:bCs/>
                <w:sz w:val="18"/>
                <w:szCs w:val="18"/>
              </w:rPr>
              <w:t>评定内容</w:t>
            </w:r>
          </w:p>
        </w:tc>
        <w:tc>
          <w:tcPr>
            <w:tcW w:w="6436" w:type="dxa"/>
            <w:tcBorders>
              <w:top w:val="single" w:color="auto" w:sz="8" w:space="0"/>
              <w:bottom w:val="single" w:color="auto" w:sz="8" w:space="0"/>
            </w:tcBorders>
            <w:noWrap w:val="0"/>
            <w:vAlign w:val="top"/>
          </w:tcPr>
          <w:p w14:paraId="1A8207DA">
            <w:pPr>
              <w:adjustRightInd w:val="0"/>
              <w:snapToGrid w:val="0"/>
              <w:spacing w:line="240" w:lineRule="atLeast"/>
              <w:jc w:val="center"/>
              <w:rPr>
                <w:rFonts w:hint="eastAsia" w:ascii="黑体" w:hAnsi="黑体" w:eastAsia="黑体"/>
                <w:sz w:val="18"/>
                <w:szCs w:val="18"/>
              </w:rPr>
            </w:pPr>
            <w:r>
              <w:rPr>
                <w:rFonts w:hint="eastAsia" w:ascii="黑体" w:hAnsi="黑体" w:eastAsia="黑体"/>
                <w:sz w:val="18"/>
                <w:szCs w:val="18"/>
              </w:rPr>
              <w:t>评分标准</w:t>
            </w:r>
          </w:p>
        </w:tc>
        <w:tc>
          <w:tcPr>
            <w:tcW w:w="1495" w:type="dxa"/>
            <w:tcBorders>
              <w:top w:val="single" w:color="auto" w:sz="8" w:space="0"/>
              <w:bottom w:val="single" w:color="auto" w:sz="8" w:space="0"/>
            </w:tcBorders>
            <w:noWrap w:val="0"/>
            <w:vAlign w:val="center"/>
          </w:tcPr>
          <w:p w14:paraId="2FD8C9F2">
            <w:pPr>
              <w:adjustRightInd w:val="0"/>
              <w:snapToGrid w:val="0"/>
              <w:spacing w:line="240" w:lineRule="atLeast"/>
              <w:jc w:val="center"/>
              <w:rPr>
                <w:rFonts w:ascii="黑体" w:hAnsi="黑体" w:eastAsia="黑体"/>
                <w:sz w:val="18"/>
                <w:szCs w:val="18"/>
              </w:rPr>
            </w:pPr>
            <w:r>
              <w:rPr>
                <w:rFonts w:hint="eastAsia" w:ascii="黑体" w:hAnsi="黑体" w:eastAsia="黑体"/>
                <w:sz w:val="18"/>
                <w:szCs w:val="18"/>
              </w:rPr>
              <w:t>对应条款编号</w:t>
            </w:r>
          </w:p>
        </w:tc>
      </w:tr>
      <w:tr w14:paraId="1D09D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tcBorders>
              <w:top w:val="single" w:color="auto" w:sz="8" w:space="0"/>
            </w:tcBorders>
            <w:noWrap w:val="0"/>
            <w:vAlign w:val="center"/>
          </w:tcPr>
          <w:p w14:paraId="385FB7E1">
            <w:pPr>
              <w:adjustRightInd w:val="0"/>
              <w:snapToGrid w:val="0"/>
              <w:spacing w:line="240" w:lineRule="atLeast"/>
              <w:jc w:val="center"/>
              <w:rPr>
                <w:rFonts w:ascii="宋体" w:hAnsi="宋体"/>
                <w:bCs/>
                <w:sz w:val="18"/>
                <w:szCs w:val="18"/>
              </w:rPr>
            </w:pPr>
            <w:r>
              <w:rPr>
                <w:rFonts w:hint="eastAsia" w:ascii="宋体"/>
                <w:sz w:val="18"/>
              </w:rPr>
              <w:t>1</w:t>
            </w:r>
          </w:p>
        </w:tc>
        <w:tc>
          <w:tcPr>
            <w:tcW w:w="6752" w:type="dxa"/>
            <w:tcBorders>
              <w:top w:val="single" w:color="auto" w:sz="8" w:space="0"/>
            </w:tcBorders>
            <w:noWrap w:val="0"/>
            <w:vAlign w:val="center"/>
          </w:tcPr>
          <w:p w14:paraId="3394A49C">
            <w:pPr>
              <w:adjustRightInd w:val="0"/>
              <w:snapToGrid w:val="0"/>
              <w:spacing w:line="240" w:lineRule="atLeast"/>
              <w:rPr>
                <w:rFonts w:hint="eastAsia" w:ascii="宋体"/>
                <w:sz w:val="18"/>
                <w:szCs w:val="18"/>
              </w:rPr>
            </w:pPr>
            <w:r>
              <w:rPr>
                <w:rFonts w:hint="eastAsia" w:ascii="宋体"/>
                <w:sz w:val="18"/>
                <w:szCs w:val="18"/>
                <w:lang w:eastAsia="zh-CN"/>
              </w:rPr>
              <w:t>景区</w:t>
            </w:r>
            <w:r>
              <w:rPr>
                <w:rFonts w:hint="eastAsia" w:ascii="宋体"/>
                <w:sz w:val="18"/>
                <w:szCs w:val="18"/>
              </w:rPr>
              <w:t>应建立、健全</w:t>
            </w:r>
            <w:r>
              <w:rPr>
                <w:rFonts w:hint="eastAsia" w:ascii="宋体"/>
                <w:sz w:val="18"/>
                <w:szCs w:val="18"/>
                <w:lang w:val="en-US" w:eastAsia="zh-CN"/>
              </w:rPr>
              <w:t>全员</w:t>
            </w:r>
            <w:r>
              <w:rPr>
                <w:rFonts w:hint="eastAsia" w:ascii="宋体"/>
                <w:sz w:val="18"/>
                <w:szCs w:val="18"/>
              </w:rPr>
              <w:t>安全生产责任制。</w:t>
            </w:r>
          </w:p>
        </w:tc>
        <w:tc>
          <w:tcPr>
            <w:tcW w:w="6436" w:type="dxa"/>
            <w:tcBorders>
              <w:top w:val="single" w:color="auto" w:sz="8" w:space="0"/>
            </w:tcBorders>
            <w:noWrap w:val="0"/>
            <w:vAlign w:val="center"/>
          </w:tcPr>
          <w:p w14:paraId="7DCF8682">
            <w:pPr>
              <w:adjustRightInd w:val="0"/>
              <w:snapToGrid w:val="0"/>
              <w:spacing w:line="240" w:lineRule="atLeast"/>
              <w:rPr>
                <w:rFonts w:hint="eastAsia" w:ascii="宋体"/>
                <w:sz w:val="18"/>
                <w:szCs w:val="18"/>
              </w:rPr>
            </w:pPr>
            <w:r>
              <w:rPr>
                <w:rFonts w:hint="eastAsia" w:ascii="宋体"/>
                <w:sz w:val="18"/>
                <w:szCs w:val="18"/>
              </w:rPr>
              <w:t>未制定</w:t>
            </w:r>
            <w:r>
              <w:rPr>
                <w:rFonts w:hint="eastAsia" w:ascii="宋体"/>
                <w:sz w:val="18"/>
                <w:szCs w:val="18"/>
                <w:lang w:val="en-US" w:eastAsia="zh-CN"/>
              </w:rPr>
              <w:t>全员</w:t>
            </w:r>
            <w:r>
              <w:rPr>
                <w:rFonts w:hint="eastAsia" w:ascii="宋体"/>
                <w:sz w:val="18"/>
                <w:szCs w:val="18"/>
              </w:rPr>
              <w:t>安全生产责任制的，即为否决。</w:t>
            </w:r>
          </w:p>
        </w:tc>
        <w:tc>
          <w:tcPr>
            <w:tcW w:w="1495" w:type="dxa"/>
            <w:tcBorders>
              <w:top w:val="single" w:color="auto" w:sz="8" w:space="0"/>
            </w:tcBorders>
            <w:noWrap w:val="0"/>
            <w:vAlign w:val="center"/>
          </w:tcPr>
          <w:p w14:paraId="1FCC089F">
            <w:pPr>
              <w:adjustRightInd w:val="0"/>
              <w:snapToGrid w:val="0"/>
              <w:spacing w:line="240" w:lineRule="atLeast"/>
              <w:jc w:val="center"/>
              <w:rPr>
                <w:rFonts w:ascii="宋体" w:hAnsi="宋体"/>
                <w:bCs/>
                <w:sz w:val="18"/>
                <w:szCs w:val="18"/>
              </w:rPr>
            </w:pPr>
            <w:r>
              <w:rPr>
                <w:rFonts w:hint="eastAsia" w:ascii="宋体"/>
                <w:sz w:val="18"/>
                <w:szCs w:val="18"/>
                <w:lang w:val="en-US" w:eastAsia="zh-CN"/>
              </w:rPr>
              <w:t>4</w:t>
            </w:r>
            <w:r>
              <w:rPr>
                <w:rFonts w:hint="eastAsia" w:ascii="宋体"/>
                <w:sz w:val="18"/>
                <w:szCs w:val="18"/>
              </w:rPr>
              <w:t>.1</w:t>
            </w:r>
          </w:p>
        </w:tc>
      </w:tr>
      <w:tr w14:paraId="023C2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tcBorders>
              <w:bottom w:val="single" w:color="auto" w:sz="4" w:space="0"/>
            </w:tcBorders>
            <w:noWrap w:val="0"/>
            <w:vAlign w:val="center"/>
          </w:tcPr>
          <w:p w14:paraId="28FFD194">
            <w:pPr>
              <w:adjustRightInd w:val="0"/>
              <w:snapToGrid w:val="0"/>
              <w:spacing w:line="240" w:lineRule="atLeast"/>
              <w:jc w:val="center"/>
              <w:rPr>
                <w:rFonts w:ascii="宋体"/>
                <w:sz w:val="18"/>
              </w:rPr>
            </w:pPr>
            <w:r>
              <w:rPr>
                <w:rFonts w:hint="eastAsia" w:ascii="宋体"/>
                <w:sz w:val="18"/>
              </w:rPr>
              <w:t>2</w:t>
            </w:r>
          </w:p>
        </w:tc>
        <w:tc>
          <w:tcPr>
            <w:tcW w:w="6752" w:type="dxa"/>
            <w:tcBorders>
              <w:bottom w:val="single" w:color="auto" w:sz="4" w:space="0"/>
            </w:tcBorders>
            <w:noWrap w:val="0"/>
            <w:vAlign w:val="center"/>
          </w:tcPr>
          <w:p w14:paraId="3FFC6002">
            <w:pPr>
              <w:adjustRightInd w:val="0"/>
              <w:snapToGrid w:val="0"/>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应设置安全生产管理机构或配备安全生产管理人员，设置应符合下列要求：</w:t>
            </w:r>
          </w:p>
          <w:p w14:paraId="75E87050">
            <w:pPr>
              <w:adjustRightInd w:val="0"/>
              <w:snapToGrid w:val="0"/>
              <w:rPr>
                <w:rFonts w:hint="eastAsia" w:ascii="宋体"/>
                <w:sz w:val="18"/>
                <w:szCs w:val="18"/>
              </w:rPr>
            </w:pPr>
            <w:r>
              <w:rPr>
                <w:rFonts w:hint="eastAsia" w:ascii="宋体"/>
                <w:sz w:val="18"/>
                <w:szCs w:val="18"/>
              </w:rPr>
              <w:t>a）从业人员总数超过300人的，应设置安全生产管理机构；</w:t>
            </w:r>
          </w:p>
          <w:p w14:paraId="45088DBE">
            <w:pPr>
              <w:adjustRightInd w:val="0"/>
              <w:snapToGrid w:val="0"/>
              <w:rPr>
                <w:rFonts w:hint="eastAsia" w:ascii="宋体"/>
                <w:sz w:val="18"/>
                <w:szCs w:val="18"/>
              </w:rPr>
            </w:pPr>
            <w:r>
              <w:rPr>
                <w:rFonts w:hint="eastAsia" w:ascii="宋体"/>
                <w:sz w:val="18"/>
                <w:szCs w:val="18"/>
              </w:rPr>
              <w:t>b)从业人员总数超过100人且在300人以下的，应配备不少于2人的专职安全生产管理人员；</w:t>
            </w:r>
          </w:p>
          <w:p w14:paraId="2032C32B">
            <w:pPr>
              <w:adjustRightInd w:val="0"/>
              <w:snapToGrid w:val="0"/>
              <w:rPr>
                <w:rFonts w:hint="eastAsia" w:ascii="宋体" w:hAnsi="宋体"/>
                <w:sz w:val="18"/>
                <w:szCs w:val="18"/>
              </w:rPr>
            </w:pPr>
            <w:r>
              <w:rPr>
                <w:rFonts w:hint="eastAsia" w:ascii="宋体"/>
                <w:sz w:val="18"/>
                <w:szCs w:val="18"/>
              </w:rPr>
              <w:t>c)从业人员总数在100人以下的，应配备专职或者兼职安全生产管理人员。</w:t>
            </w:r>
          </w:p>
        </w:tc>
        <w:tc>
          <w:tcPr>
            <w:tcW w:w="6436" w:type="dxa"/>
            <w:tcBorders>
              <w:bottom w:val="single" w:color="auto" w:sz="4" w:space="0"/>
            </w:tcBorders>
            <w:noWrap w:val="0"/>
            <w:vAlign w:val="center"/>
          </w:tcPr>
          <w:p w14:paraId="03F3AE69">
            <w:pPr>
              <w:adjustRightInd w:val="0"/>
              <w:snapToGrid w:val="0"/>
              <w:spacing w:line="240" w:lineRule="atLeast"/>
              <w:rPr>
                <w:rFonts w:hint="eastAsia" w:ascii="宋体"/>
                <w:sz w:val="18"/>
                <w:szCs w:val="18"/>
              </w:rPr>
            </w:pPr>
            <w:r>
              <w:rPr>
                <w:rFonts w:hint="eastAsia" w:ascii="宋体" w:hAnsi="宋体"/>
                <w:sz w:val="18"/>
                <w:szCs w:val="18"/>
              </w:rPr>
              <w:t>安全生产管理机构或配备安全生产管理人员设置</w:t>
            </w:r>
            <w:r>
              <w:rPr>
                <w:rFonts w:hint="eastAsia" w:ascii="宋体"/>
                <w:sz w:val="18"/>
                <w:szCs w:val="18"/>
                <w:lang w:val="en-US" w:eastAsia="zh-CN"/>
              </w:rPr>
              <w:t>不符合要求的，即为否决</w:t>
            </w:r>
            <w:r>
              <w:rPr>
                <w:rFonts w:hint="eastAsia" w:ascii="宋体"/>
                <w:sz w:val="18"/>
                <w:szCs w:val="18"/>
              </w:rPr>
              <w:t>。</w:t>
            </w:r>
          </w:p>
        </w:tc>
        <w:tc>
          <w:tcPr>
            <w:tcW w:w="1495" w:type="dxa"/>
            <w:tcBorders>
              <w:bottom w:val="single" w:color="auto" w:sz="4" w:space="0"/>
            </w:tcBorders>
            <w:noWrap w:val="0"/>
            <w:vAlign w:val="center"/>
          </w:tcPr>
          <w:p w14:paraId="61AE32B0">
            <w:pPr>
              <w:adjustRightInd w:val="0"/>
              <w:snapToGrid w:val="0"/>
              <w:spacing w:line="240" w:lineRule="atLeast"/>
              <w:jc w:val="center"/>
              <w:rPr>
                <w:rFonts w:hint="eastAsia" w:ascii="宋体"/>
                <w:sz w:val="18"/>
              </w:rPr>
            </w:pPr>
            <w:r>
              <w:rPr>
                <w:rFonts w:hint="eastAsia" w:ascii="宋体"/>
                <w:sz w:val="18"/>
                <w:szCs w:val="18"/>
                <w:lang w:val="en-US" w:eastAsia="zh-CN"/>
              </w:rPr>
              <w:t>4</w:t>
            </w:r>
            <w:r>
              <w:rPr>
                <w:rFonts w:hint="eastAsia" w:ascii="宋体"/>
                <w:sz w:val="18"/>
                <w:szCs w:val="18"/>
              </w:rPr>
              <w:t>.1</w:t>
            </w:r>
          </w:p>
        </w:tc>
      </w:tr>
      <w:tr w14:paraId="4EB15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noWrap w:val="0"/>
            <w:vAlign w:val="center"/>
          </w:tcPr>
          <w:p w14:paraId="0685BB9E">
            <w:pPr>
              <w:adjustRightInd w:val="0"/>
              <w:snapToGrid w:val="0"/>
              <w:spacing w:line="240" w:lineRule="atLeast"/>
              <w:jc w:val="center"/>
              <w:rPr>
                <w:rFonts w:hint="eastAsia" w:ascii="宋体"/>
                <w:sz w:val="18"/>
              </w:rPr>
            </w:pPr>
            <w:r>
              <w:rPr>
                <w:rFonts w:hint="eastAsia" w:ascii="宋体" w:hAnsi="宋体"/>
                <w:sz w:val="18"/>
                <w:szCs w:val="18"/>
              </w:rPr>
              <w:t>3</w:t>
            </w:r>
          </w:p>
        </w:tc>
        <w:tc>
          <w:tcPr>
            <w:tcW w:w="6752" w:type="dxa"/>
            <w:noWrap w:val="0"/>
            <w:vAlign w:val="center"/>
          </w:tcPr>
          <w:p w14:paraId="1A355BA7">
            <w:pPr>
              <w:adjustRightInd w:val="0"/>
              <w:snapToGrid w:val="0"/>
              <w:spacing w:line="240" w:lineRule="atLeast"/>
              <w:rPr>
                <w:rFonts w:hint="eastAsia" w:ascii="宋体" w:hAnsi="宋体"/>
                <w:sz w:val="18"/>
                <w:szCs w:val="18"/>
              </w:rPr>
            </w:pPr>
            <w:r>
              <w:rPr>
                <w:rFonts w:hint="eastAsia" w:ascii="宋体"/>
                <w:sz w:val="18"/>
                <w:szCs w:val="18"/>
              </w:rPr>
              <w:t>应使用取得许可生产并经检验合格的特种设备，不应使用应淘汰的危及生产安全的设备。</w:t>
            </w:r>
          </w:p>
        </w:tc>
        <w:tc>
          <w:tcPr>
            <w:tcW w:w="6436" w:type="dxa"/>
            <w:noWrap w:val="0"/>
            <w:vAlign w:val="center"/>
          </w:tcPr>
          <w:p w14:paraId="531ECE8A">
            <w:pPr>
              <w:adjustRightInd w:val="0"/>
              <w:snapToGrid w:val="0"/>
              <w:spacing w:line="240" w:lineRule="atLeast"/>
              <w:rPr>
                <w:rFonts w:hint="eastAsia" w:ascii="宋体"/>
                <w:sz w:val="18"/>
              </w:rPr>
            </w:pPr>
            <w:r>
              <w:rPr>
                <w:rFonts w:hint="eastAsia" w:ascii="宋体"/>
                <w:sz w:val="18"/>
                <w:szCs w:val="18"/>
              </w:rPr>
              <w:t>应使用未取得许可生产并经检验合格的特种设备，或使用淘汰的危及生产安全的设备，即为否决。</w:t>
            </w:r>
          </w:p>
        </w:tc>
        <w:tc>
          <w:tcPr>
            <w:tcW w:w="1495" w:type="dxa"/>
            <w:noWrap w:val="0"/>
            <w:vAlign w:val="center"/>
          </w:tcPr>
          <w:p w14:paraId="3FEB6A36">
            <w:pPr>
              <w:adjustRightInd w:val="0"/>
              <w:snapToGrid w:val="0"/>
              <w:spacing w:line="240" w:lineRule="atLeast"/>
              <w:jc w:val="center"/>
              <w:rPr>
                <w:rFonts w:hint="eastAsia" w:ascii="宋体" w:hAnsi="宋体"/>
                <w:sz w:val="18"/>
                <w:szCs w:val="18"/>
              </w:rPr>
            </w:pPr>
            <w:r>
              <w:rPr>
                <w:rFonts w:hint="eastAsia" w:ascii="宋体"/>
                <w:sz w:val="18"/>
                <w:lang w:val="en-US" w:eastAsia="zh-CN"/>
              </w:rPr>
              <w:t>4</w:t>
            </w:r>
            <w:r>
              <w:rPr>
                <w:rFonts w:hint="eastAsia" w:ascii="宋体"/>
                <w:sz w:val="18"/>
              </w:rPr>
              <w:t>.4</w:t>
            </w:r>
          </w:p>
        </w:tc>
      </w:tr>
      <w:tr w14:paraId="79E4E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shd w:val="clear" w:color="auto" w:fill="auto"/>
            <w:noWrap w:val="0"/>
            <w:vAlign w:val="center"/>
          </w:tcPr>
          <w:p w14:paraId="57CCFCDD">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p>
        </w:tc>
        <w:tc>
          <w:tcPr>
            <w:tcW w:w="6752" w:type="dxa"/>
            <w:shd w:val="clear" w:color="auto" w:fill="auto"/>
            <w:noWrap w:val="0"/>
            <w:vAlign w:val="center"/>
          </w:tcPr>
          <w:p w14:paraId="24F7D0E0">
            <w:pPr>
              <w:autoSpaceDE w:val="0"/>
              <w:autoSpaceDN w:val="0"/>
              <w:adjustRightInd w:val="0"/>
              <w:snapToGrid w:val="0"/>
              <w:jc w:val="left"/>
              <w:rPr>
                <w:rFonts w:hint="eastAsia" w:ascii="宋体" w:hAnsi="宋体" w:eastAsia="宋体" w:cs="Times New Roman"/>
                <w:kern w:val="2"/>
                <w:sz w:val="18"/>
                <w:szCs w:val="18"/>
                <w:highlight w:val="none"/>
                <w:lang w:val="en-US" w:eastAsia="zh-CN" w:bidi="ar-SA"/>
              </w:rPr>
            </w:pPr>
            <w:r>
              <w:rPr>
                <w:rFonts w:hint="eastAsia" w:ascii="宋体" w:hAnsi="宋体" w:eastAsia="宋体" w:cs="Times New Roman"/>
                <w:sz w:val="18"/>
                <w:szCs w:val="18"/>
                <w:highlight w:val="none"/>
              </w:rPr>
              <w:t>应办理特种设备使用登记，并按规定的周期进行检验。未经定期检验或检验不合格的特种设备不应使用。</w:t>
            </w:r>
          </w:p>
        </w:tc>
        <w:tc>
          <w:tcPr>
            <w:tcW w:w="6436" w:type="dxa"/>
            <w:shd w:val="clear" w:color="auto" w:fill="auto"/>
            <w:noWrap w:val="0"/>
            <w:vAlign w:val="center"/>
          </w:tcPr>
          <w:p w14:paraId="5130351B">
            <w:pPr>
              <w:autoSpaceDE w:val="0"/>
              <w:autoSpaceDN w:val="0"/>
              <w:adjustRightInd w:val="0"/>
              <w:snapToGrid w:val="0"/>
              <w:jc w:val="left"/>
              <w:rPr>
                <w:rFonts w:hint="eastAsia" w:ascii="宋体" w:hAnsi="宋体" w:eastAsia="宋体" w:cs="Times New Roman"/>
                <w:color w:val="000000"/>
                <w:spacing w:val="-1"/>
                <w:kern w:val="2"/>
                <w:sz w:val="18"/>
                <w:szCs w:val="24"/>
                <w:highlight w:val="none"/>
                <w:lang w:val="en-US" w:eastAsia="zh-CN" w:bidi="ar-SA"/>
              </w:rPr>
            </w:pPr>
            <w:r>
              <w:rPr>
                <w:rFonts w:ascii="宋体" w:hAnsi="宋体" w:eastAsia="宋体" w:cs="Times New Roman"/>
                <w:color w:val="000000"/>
                <w:spacing w:val="-1"/>
                <w:sz w:val="18"/>
                <w:highlight w:val="none"/>
              </w:rPr>
              <w:t>不符合要求，即为否决。</w:t>
            </w:r>
          </w:p>
        </w:tc>
        <w:tc>
          <w:tcPr>
            <w:tcW w:w="1495" w:type="dxa"/>
            <w:noWrap w:val="0"/>
            <w:vAlign w:val="center"/>
          </w:tcPr>
          <w:p w14:paraId="3F35DDE5">
            <w:pPr>
              <w:adjustRightInd w:val="0"/>
              <w:snapToGrid w:val="0"/>
              <w:spacing w:line="240" w:lineRule="atLeast"/>
              <w:jc w:val="center"/>
              <w:rPr>
                <w:rFonts w:hint="eastAsia" w:ascii="宋体"/>
                <w:sz w:val="18"/>
                <w:lang w:val="en-US" w:eastAsia="zh-CN"/>
              </w:rPr>
            </w:pPr>
            <w:r>
              <w:rPr>
                <w:rFonts w:hint="eastAsia" w:ascii="宋体"/>
                <w:sz w:val="18"/>
                <w:lang w:val="en-US" w:eastAsia="zh-CN"/>
              </w:rPr>
              <w:t>4</w:t>
            </w:r>
            <w:r>
              <w:rPr>
                <w:rFonts w:hint="eastAsia" w:ascii="宋体"/>
                <w:sz w:val="18"/>
              </w:rPr>
              <w:t>.4</w:t>
            </w:r>
          </w:p>
        </w:tc>
      </w:tr>
      <w:tr w14:paraId="15D82B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shd w:val="clear" w:color="auto" w:fill="auto"/>
            <w:noWrap w:val="0"/>
            <w:vAlign w:val="center"/>
          </w:tcPr>
          <w:p w14:paraId="7AA983BB">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5</w:t>
            </w:r>
          </w:p>
        </w:tc>
        <w:tc>
          <w:tcPr>
            <w:tcW w:w="6752" w:type="dxa"/>
            <w:noWrap w:val="0"/>
            <w:vAlign w:val="center"/>
          </w:tcPr>
          <w:p w14:paraId="66EEC10C">
            <w:pPr>
              <w:adjustRightInd w:val="0"/>
              <w:snapToGrid w:val="0"/>
              <w:spacing w:line="240" w:lineRule="atLeast"/>
              <w:rPr>
                <w:rFonts w:hint="eastAsia" w:ascii="Calibri" w:hAnsi="Calibri" w:eastAsia="宋体" w:cs="Times New Roman"/>
                <w:bCs/>
                <w:kern w:val="2"/>
                <w:sz w:val="18"/>
                <w:szCs w:val="18"/>
                <w:lang w:val="en-US" w:eastAsia="zh-CN" w:bidi="ar-SA"/>
              </w:rPr>
            </w:pPr>
            <w:r>
              <w:rPr>
                <w:rFonts w:hint="eastAsia" w:ascii="宋体" w:hAnsi="宋体"/>
                <w:sz w:val="18"/>
                <w:szCs w:val="18"/>
                <w:shd w:val="clear" w:color="auto" w:fill="FFFFFF"/>
              </w:rPr>
              <w:t>应对建筑消防设施每年至少进行1次全面检测。</w:t>
            </w:r>
          </w:p>
        </w:tc>
        <w:tc>
          <w:tcPr>
            <w:tcW w:w="6436" w:type="dxa"/>
            <w:noWrap w:val="0"/>
            <w:vAlign w:val="center"/>
          </w:tcPr>
          <w:p w14:paraId="4F4CC3B9">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Calibri" w:hAnsi="Calibri"/>
                <w:bCs/>
                <w:sz w:val="18"/>
                <w:szCs w:val="18"/>
              </w:rPr>
              <w:t>不符合要求</w:t>
            </w:r>
            <w:r>
              <w:rPr>
                <w:rFonts w:hint="eastAsia" w:ascii="宋体"/>
                <w:bCs/>
                <w:sz w:val="18"/>
                <w:szCs w:val="18"/>
              </w:rPr>
              <w:t>，</w:t>
            </w:r>
            <w:r>
              <w:rPr>
                <w:rFonts w:hint="eastAsia" w:ascii="宋体"/>
                <w:sz w:val="18"/>
                <w:szCs w:val="18"/>
              </w:rPr>
              <w:t>即为否决。</w:t>
            </w:r>
          </w:p>
        </w:tc>
        <w:tc>
          <w:tcPr>
            <w:tcW w:w="1495" w:type="dxa"/>
            <w:noWrap w:val="0"/>
            <w:vAlign w:val="center"/>
          </w:tcPr>
          <w:p w14:paraId="45796189">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4.7.1</w:t>
            </w:r>
          </w:p>
        </w:tc>
      </w:tr>
      <w:tr w14:paraId="590A2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0" w:type="dxa"/>
            <w:shd w:val="clear" w:color="auto" w:fill="auto"/>
            <w:noWrap w:val="0"/>
            <w:vAlign w:val="center"/>
          </w:tcPr>
          <w:p w14:paraId="31BBD3BC">
            <w:pPr>
              <w:adjustRightInd w:val="0"/>
              <w:snapToGrid w:val="0"/>
              <w:spacing w:line="240" w:lineRule="atLeast"/>
              <w:jc w:val="center"/>
              <w:rPr>
                <w:rFonts w:hint="eastAsia" w:ascii="宋体" w:hAnsi="Times New Roman" w:eastAsia="宋体" w:cs="Times New Roman"/>
                <w:kern w:val="2"/>
                <w:sz w:val="18"/>
                <w:szCs w:val="24"/>
                <w:lang w:val="en-US" w:eastAsia="zh-CN" w:bidi="ar-SA"/>
              </w:rPr>
            </w:pPr>
            <w:r>
              <w:rPr>
                <w:rFonts w:hint="eastAsia" w:ascii="宋体" w:hAnsi="宋体"/>
                <w:bCs/>
                <w:sz w:val="18"/>
                <w:szCs w:val="18"/>
                <w:lang w:val="en-US" w:eastAsia="zh-CN"/>
              </w:rPr>
              <w:t>6</w:t>
            </w:r>
          </w:p>
        </w:tc>
        <w:tc>
          <w:tcPr>
            <w:tcW w:w="6752" w:type="dxa"/>
            <w:noWrap w:val="0"/>
            <w:vAlign w:val="center"/>
          </w:tcPr>
          <w:p w14:paraId="528CB5FF">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宋体"/>
                <w:bCs/>
                <w:sz w:val="18"/>
                <w:szCs w:val="18"/>
              </w:rPr>
              <w:t>不应使用国家禁止使用的危险化学品。</w:t>
            </w:r>
          </w:p>
        </w:tc>
        <w:tc>
          <w:tcPr>
            <w:tcW w:w="6436" w:type="dxa"/>
            <w:noWrap w:val="0"/>
            <w:vAlign w:val="center"/>
          </w:tcPr>
          <w:p w14:paraId="2EEFEED1">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宋体"/>
                <w:bCs/>
                <w:sz w:val="18"/>
                <w:szCs w:val="18"/>
              </w:rPr>
              <w:t>使用国家禁止使用的危险化学品，</w:t>
            </w:r>
            <w:r>
              <w:rPr>
                <w:rFonts w:hint="eastAsia" w:ascii="宋体"/>
                <w:sz w:val="18"/>
                <w:szCs w:val="18"/>
              </w:rPr>
              <w:t>即为否决</w:t>
            </w:r>
            <w:r>
              <w:rPr>
                <w:rFonts w:hint="eastAsia" w:ascii="宋体"/>
                <w:bCs/>
                <w:sz w:val="18"/>
                <w:szCs w:val="18"/>
              </w:rPr>
              <w:t>。</w:t>
            </w:r>
          </w:p>
        </w:tc>
        <w:tc>
          <w:tcPr>
            <w:tcW w:w="1495" w:type="dxa"/>
            <w:noWrap w:val="0"/>
            <w:vAlign w:val="center"/>
          </w:tcPr>
          <w:p w14:paraId="292C8392">
            <w:pPr>
              <w:adjustRightInd w:val="0"/>
              <w:snapToGrid w:val="0"/>
              <w:spacing w:line="240" w:lineRule="atLeast"/>
              <w:jc w:val="center"/>
              <w:rPr>
                <w:rFonts w:hint="eastAsia" w:ascii="Times New Roman" w:hAnsi="Times New Roman" w:eastAsia="宋体" w:cs="Times New Roman"/>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.8</w:t>
            </w:r>
          </w:p>
        </w:tc>
      </w:tr>
      <w:tr w14:paraId="7CAAEA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0" w:type="dxa"/>
            <w:noWrap w:val="0"/>
            <w:vAlign w:val="center"/>
          </w:tcPr>
          <w:p w14:paraId="08F597C7">
            <w:pPr>
              <w:adjustRightInd w:val="0"/>
              <w:snapToGrid w:val="0"/>
              <w:spacing w:line="240" w:lineRule="atLeast"/>
              <w:jc w:val="center"/>
              <w:rPr>
                <w:rFonts w:hint="eastAsia" w:ascii="宋体" w:hAnsi="Times New Roman" w:eastAsia="宋体" w:cs="Times New Roman"/>
                <w:kern w:val="2"/>
                <w:sz w:val="18"/>
                <w:szCs w:val="24"/>
                <w:lang w:val="en-US" w:eastAsia="zh-CN" w:bidi="ar-SA"/>
              </w:rPr>
            </w:pPr>
            <w:r>
              <w:rPr>
                <w:rFonts w:hint="eastAsia" w:ascii="宋体" w:hAnsi="宋体"/>
                <w:bCs/>
                <w:sz w:val="18"/>
                <w:szCs w:val="18"/>
                <w:lang w:val="en-US" w:eastAsia="zh-CN"/>
              </w:rPr>
              <w:t>7</w:t>
            </w:r>
          </w:p>
        </w:tc>
        <w:tc>
          <w:tcPr>
            <w:tcW w:w="6752" w:type="dxa"/>
            <w:noWrap w:val="0"/>
            <w:vAlign w:val="center"/>
          </w:tcPr>
          <w:p w14:paraId="619997D4">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宋体" w:hAnsi="宋体"/>
                <w:sz w:val="18"/>
                <w:szCs w:val="18"/>
              </w:rPr>
              <w:t>危险化学品储存场所不应设置在地下或半地下建、构筑物内。危险化学品储存场所内不应设置员工宿舍或休息室。</w:t>
            </w:r>
          </w:p>
        </w:tc>
        <w:tc>
          <w:tcPr>
            <w:tcW w:w="6436" w:type="dxa"/>
            <w:noWrap w:val="0"/>
            <w:vAlign w:val="center"/>
          </w:tcPr>
          <w:p w14:paraId="39D7449D">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Calibri" w:hAnsi="Calibri"/>
                <w:bCs/>
                <w:sz w:val="18"/>
                <w:szCs w:val="18"/>
              </w:rPr>
              <w:t>不符合要求</w:t>
            </w:r>
            <w:r>
              <w:rPr>
                <w:rFonts w:hint="eastAsia" w:ascii="宋体"/>
                <w:bCs/>
                <w:sz w:val="18"/>
                <w:szCs w:val="18"/>
              </w:rPr>
              <w:t>，</w:t>
            </w:r>
            <w:r>
              <w:rPr>
                <w:rFonts w:hint="eastAsia" w:ascii="宋体"/>
                <w:sz w:val="18"/>
                <w:szCs w:val="18"/>
              </w:rPr>
              <w:t>即为否决。</w:t>
            </w:r>
          </w:p>
        </w:tc>
        <w:tc>
          <w:tcPr>
            <w:tcW w:w="1495" w:type="dxa"/>
            <w:noWrap w:val="0"/>
            <w:vAlign w:val="center"/>
          </w:tcPr>
          <w:p w14:paraId="25576FEE">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4.8.1</w:t>
            </w:r>
          </w:p>
        </w:tc>
      </w:tr>
    </w:tbl>
    <w:p w14:paraId="7562E9B7">
      <w:pPr>
        <w:pStyle w:val="36"/>
        <w:ind w:firstLine="0" w:firstLineChars="0"/>
        <w:rPr>
          <w:rFonts w:hint="eastAsia"/>
        </w:rPr>
      </w:pPr>
    </w:p>
    <w:p w14:paraId="04A78A10">
      <w:pPr>
        <w:pStyle w:val="174"/>
      </w:pPr>
      <w:bookmarkStart w:id="420" w:name="_Toc27838"/>
      <w:bookmarkEnd w:id="420"/>
      <w:bookmarkStart w:id="421" w:name="_Toc8196"/>
      <w:bookmarkEnd w:id="421"/>
    </w:p>
    <w:p w14:paraId="250834E4">
      <w:pPr>
        <w:pStyle w:val="167"/>
        <w:numPr>
          <w:numId w:val="0"/>
        </w:numPr>
        <w:tabs>
          <w:tab w:val="clear" w:pos="0"/>
        </w:tabs>
        <w:ind w:left="0" w:leftChars="0" w:hanging="425" w:firstLineChars="0"/>
      </w:pPr>
      <w:bookmarkStart w:id="422" w:name="_Toc25370"/>
      <w:bookmarkStart w:id="423" w:name="_Toc3899"/>
      <w:r>
        <w:rPr>
          <w:rFonts w:hint="eastAsia" w:ascii="Times New Roman" w:hAnsi="Times New Roman" w:eastAsia="宋体" w:cs="Times New Roman"/>
          <w:color w:val="FFFFFF"/>
          <w:kern w:val="2"/>
          <w:sz w:val="21"/>
          <w:szCs w:val="24"/>
          <w:lang w:val="en-US" w:eastAsia="zh-CN" w:bidi="ar-SA"/>
        </w:rPr>
        <w:t>B</w:t>
      </w:r>
      <w:bookmarkEnd w:id="422"/>
      <w:bookmarkEnd w:id="423"/>
    </w:p>
    <w:p w14:paraId="03D4FCB1">
      <w:pPr>
        <w:pStyle w:val="160"/>
        <w:rPr>
          <w:rFonts w:hint="eastAsia"/>
        </w:rPr>
      </w:pPr>
      <w:bookmarkStart w:id="424" w:name="_Toc30829"/>
      <w:bookmarkStart w:id="425" w:name="_Toc20525"/>
      <w:r>
        <w:br w:type="textWrapping"/>
      </w:r>
      <w:bookmarkStart w:id="426" w:name="_Toc482169115"/>
      <w:bookmarkStart w:id="427" w:name="_Toc498348142"/>
      <w:bookmarkStart w:id="428" w:name="_Toc482174149"/>
      <w:bookmarkStart w:id="429" w:name="_Toc498325682"/>
      <w:bookmarkStart w:id="430" w:name="_Toc482172278"/>
      <w:bookmarkStart w:id="431" w:name="_Toc482189182"/>
      <w:bookmarkStart w:id="432" w:name="_Toc484984810"/>
      <w:bookmarkStart w:id="433" w:name="_Toc498337277"/>
      <w:bookmarkStart w:id="434" w:name="_Toc486261038"/>
      <w:bookmarkStart w:id="435" w:name="_Toc482175055"/>
      <w:bookmarkStart w:id="436" w:name="_Toc484958277"/>
      <w:bookmarkStart w:id="437" w:name="_Toc482174633"/>
      <w:bookmarkStart w:id="438" w:name="_Toc482172337"/>
      <w:bookmarkStart w:id="439" w:name="_Toc484965771"/>
      <w:bookmarkStart w:id="440" w:name="_Toc504594723"/>
      <w:bookmarkStart w:id="441" w:name="_Toc484965501"/>
      <w:bookmarkStart w:id="442" w:name="_Toc482198494"/>
      <w:bookmarkStart w:id="443" w:name="_Toc498286353"/>
      <w:bookmarkStart w:id="444" w:name="_Toc504931848"/>
      <w:bookmarkStart w:id="445" w:name="_Toc482114503"/>
      <w:r>
        <w:rPr>
          <w:rFonts w:hint="eastAsia"/>
        </w:rPr>
        <w:t>（规范性附录）</w:t>
      </w:r>
      <w:r>
        <w:br w:type="textWrapping"/>
      </w:r>
      <w:r>
        <w:rPr>
          <w:rFonts w:hint="eastAsia"/>
        </w:rPr>
        <w:t>基础管理要求指标的安全生产等级评定细则</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4957E7F3">
      <w:pPr>
        <w:pStyle w:val="36"/>
        <w:rPr>
          <w:rFonts w:hint="eastAsia" w:hAnsi="宋体"/>
        </w:rPr>
      </w:pPr>
      <w:r>
        <w:rPr>
          <w:rFonts w:hint="eastAsia" w:hAnsi="宋体"/>
        </w:rPr>
        <w:t>表B.1给出了基础管理要求指标的安全生产等级评定细则，总分为350分。</w:t>
      </w:r>
    </w:p>
    <w:p w14:paraId="4F44B7FA">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表B.1　</w:t>
      </w:r>
      <w:r>
        <w:rPr>
          <w:rFonts w:hint="eastAsia"/>
        </w:rPr>
        <w:t>基础管理要求指标的安全生产等级评定细则</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77"/>
        <w:gridCol w:w="5359"/>
        <w:gridCol w:w="752"/>
        <w:gridCol w:w="752"/>
        <w:gridCol w:w="752"/>
        <w:gridCol w:w="4403"/>
        <w:gridCol w:w="645"/>
        <w:gridCol w:w="752"/>
        <w:gridCol w:w="961"/>
      </w:tblGrid>
      <w:tr w14:paraId="417C7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3154D9C8">
            <w:pPr>
              <w:widowControl/>
              <w:jc w:val="center"/>
              <w:rPr>
                <w:rFonts w:ascii="宋体" w:hAnsi="宋体"/>
                <w:bCs/>
                <w:sz w:val="18"/>
                <w:szCs w:val="18"/>
              </w:rPr>
            </w:pPr>
            <w:r>
              <w:rPr>
                <w:rFonts w:ascii="宋体" w:hAnsi="宋体"/>
                <w:bCs/>
                <w:sz w:val="18"/>
                <w:szCs w:val="18"/>
              </w:rPr>
              <w:t>序号</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373F83E0">
            <w:pPr>
              <w:widowControl/>
              <w:jc w:val="center"/>
              <w:rPr>
                <w:rFonts w:ascii="宋体" w:hAnsi="宋体"/>
                <w:bCs/>
                <w:sz w:val="18"/>
                <w:szCs w:val="18"/>
              </w:rPr>
            </w:pPr>
            <w:r>
              <w:rPr>
                <w:rFonts w:ascii="宋体" w:hAnsi="宋体"/>
                <w:bCs/>
                <w:sz w:val="18"/>
                <w:szCs w:val="18"/>
              </w:rPr>
              <w:t>评定内容</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09A2255F">
            <w:pPr>
              <w:widowControl/>
              <w:jc w:val="center"/>
              <w:rPr>
                <w:rFonts w:ascii="宋体" w:hAnsi="宋体"/>
                <w:bCs/>
                <w:sz w:val="18"/>
                <w:szCs w:val="18"/>
              </w:rPr>
            </w:pPr>
            <w:r>
              <w:rPr>
                <w:rFonts w:ascii="宋体" w:hAnsi="宋体"/>
                <w:bCs/>
                <w:sz w:val="18"/>
                <w:szCs w:val="18"/>
              </w:rPr>
              <w:t>评定要素分值</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23DC0409">
            <w:pPr>
              <w:widowControl/>
              <w:jc w:val="center"/>
              <w:rPr>
                <w:rFonts w:ascii="宋体" w:hAnsi="宋体"/>
                <w:bCs/>
                <w:sz w:val="18"/>
                <w:szCs w:val="18"/>
              </w:rPr>
            </w:pPr>
            <w:r>
              <w:rPr>
                <w:rFonts w:ascii="宋体" w:hAnsi="宋体"/>
                <w:bCs/>
                <w:sz w:val="18"/>
                <w:szCs w:val="18"/>
              </w:rPr>
              <w:t>评定细项分值</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0482B671">
            <w:pPr>
              <w:widowControl/>
              <w:jc w:val="center"/>
              <w:rPr>
                <w:rFonts w:ascii="宋体" w:hAnsi="宋体"/>
                <w:bCs/>
                <w:sz w:val="18"/>
                <w:szCs w:val="18"/>
              </w:rPr>
            </w:pPr>
            <w:r>
              <w:rPr>
                <w:rFonts w:ascii="宋体" w:hAnsi="宋体"/>
                <w:bCs/>
                <w:sz w:val="18"/>
                <w:szCs w:val="18"/>
              </w:rPr>
              <w:t>评定条款分值</w:t>
            </w:r>
          </w:p>
        </w:tc>
        <w:tc>
          <w:tcPr>
            <w:tcW w:w="4403" w:type="dxa"/>
            <w:tcBorders>
              <w:top w:val="single" w:color="auto" w:sz="8" w:space="0"/>
              <w:left w:val="single" w:color="auto" w:sz="4" w:space="0"/>
              <w:bottom w:val="single" w:color="auto" w:sz="8" w:space="0"/>
              <w:right w:val="single" w:color="auto" w:sz="4" w:space="0"/>
            </w:tcBorders>
            <w:noWrap w:val="0"/>
            <w:vAlign w:val="center"/>
          </w:tcPr>
          <w:p w14:paraId="22B60C12">
            <w:pPr>
              <w:widowControl/>
              <w:jc w:val="center"/>
              <w:rPr>
                <w:rFonts w:ascii="宋体" w:hAnsi="宋体"/>
                <w:bCs/>
                <w:sz w:val="18"/>
                <w:szCs w:val="18"/>
              </w:rPr>
            </w:pPr>
            <w:r>
              <w:rPr>
                <w:rFonts w:ascii="宋体" w:hAnsi="宋体"/>
                <w:bCs/>
                <w:sz w:val="18"/>
                <w:szCs w:val="18"/>
              </w:rPr>
              <w:t>评分标准</w:t>
            </w:r>
          </w:p>
        </w:tc>
        <w:tc>
          <w:tcPr>
            <w:tcW w:w="645" w:type="dxa"/>
            <w:tcBorders>
              <w:top w:val="single" w:color="auto" w:sz="8" w:space="0"/>
              <w:left w:val="single" w:color="auto" w:sz="4" w:space="0"/>
              <w:bottom w:val="single" w:color="auto" w:sz="8" w:space="0"/>
              <w:right w:val="single" w:color="auto" w:sz="4" w:space="0"/>
            </w:tcBorders>
            <w:noWrap w:val="0"/>
            <w:vAlign w:val="center"/>
          </w:tcPr>
          <w:p w14:paraId="2AC844D6">
            <w:pPr>
              <w:widowControl/>
              <w:jc w:val="center"/>
              <w:rPr>
                <w:rFonts w:ascii="宋体" w:hAnsi="宋体"/>
                <w:bCs/>
                <w:sz w:val="18"/>
                <w:szCs w:val="18"/>
              </w:rPr>
            </w:pPr>
            <w:r>
              <w:rPr>
                <w:rFonts w:ascii="宋体" w:hAnsi="宋体"/>
                <w:bCs/>
                <w:sz w:val="18"/>
                <w:szCs w:val="18"/>
              </w:rPr>
              <w:t>评定得分</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468E8795">
            <w:pPr>
              <w:widowControl/>
              <w:jc w:val="center"/>
              <w:rPr>
                <w:rFonts w:ascii="宋体" w:hAnsi="宋体"/>
                <w:bCs/>
                <w:sz w:val="18"/>
                <w:szCs w:val="18"/>
              </w:rPr>
            </w:pPr>
            <w:r>
              <w:rPr>
                <w:rFonts w:ascii="宋体" w:hAnsi="宋体"/>
                <w:bCs/>
                <w:sz w:val="18"/>
                <w:szCs w:val="18"/>
              </w:rPr>
              <w:t>扣分说明</w:t>
            </w:r>
          </w:p>
        </w:tc>
        <w:tc>
          <w:tcPr>
            <w:tcW w:w="961" w:type="dxa"/>
            <w:tcBorders>
              <w:top w:val="single" w:color="auto" w:sz="8" w:space="0"/>
              <w:left w:val="single" w:color="auto" w:sz="4" w:space="0"/>
              <w:bottom w:val="single" w:color="auto" w:sz="8" w:space="0"/>
              <w:right w:val="single" w:color="auto" w:sz="8" w:space="0"/>
            </w:tcBorders>
            <w:noWrap w:val="0"/>
            <w:vAlign w:val="center"/>
          </w:tcPr>
          <w:p w14:paraId="2642D4C9">
            <w:pPr>
              <w:widowControl/>
              <w:jc w:val="center"/>
              <w:rPr>
                <w:rFonts w:ascii="宋体" w:hAnsi="宋体"/>
                <w:bCs/>
                <w:sz w:val="18"/>
                <w:szCs w:val="18"/>
              </w:rPr>
            </w:pPr>
            <w:r>
              <w:rPr>
                <w:rFonts w:ascii="宋体" w:hAnsi="宋体"/>
                <w:bCs/>
                <w:sz w:val="18"/>
                <w:szCs w:val="18"/>
              </w:rPr>
              <w:t>对应条款编号</w:t>
            </w:r>
          </w:p>
        </w:tc>
      </w:tr>
      <w:tr w14:paraId="72C0E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5F2401B1">
            <w:pPr>
              <w:widowControl/>
              <w:jc w:val="center"/>
              <w:rPr>
                <w:rFonts w:ascii="宋体" w:hAnsi="宋体"/>
                <w:bCs/>
                <w:sz w:val="18"/>
                <w:szCs w:val="18"/>
              </w:rPr>
            </w:pPr>
            <w:r>
              <w:rPr>
                <w:rFonts w:hint="eastAsia" w:ascii="宋体" w:hAnsi="宋体"/>
                <w:bCs/>
                <w:sz w:val="18"/>
                <w:szCs w:val="18"/>
              </w:rPr>
              <w:t>1</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4B46FF92">
            <w:pPr>
              <w:widowControl/>
              <w:rPr>
                <w:rFonts w:ascii="宋体" w:hAnsi="宋体"/>
                <w:bCs/>
                <w:sz w:val="18"/>
                <w:szCs w:val="18"/>
              </w:rPr>
            </w:pPr>
            <w:r>
              <w:rPr>
                <w:rFonts w:ascii="宋体" w:hAnsi="宋体"/>
                <w:bCs/>
                <w:sz w:val="18"/>
                <w:szCs w:val="18"/>
              </w:rPr>
              <w:t>基础管理要求</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1C36C672">
            <w:pPr>
              <w:widowControl/>
              <w:jc w:val="center"/>
              <w:rPr>
                <w:rFonts w:ascii="宋体" w:hAnsi="宋体"/>
                <w:bCs/>
                <w:sz w:val="18"/>
                <w:szCs w:val="18"/>
                <w:highlight w:val="red"/>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064C7537">
            <w:pPr>
              <w:widowControl/>
              <w:jc w:val="center"/>
              <w:rPr>
                <w:rFonts w:ascii="宋体" w:hAnsi="宋体"/>
                <w:bCs/>
                <w:sz w:val="18"/>
                <w:szCs w:val="18"/>
                <w:highlight w:val="red"/>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29DF6CDE">
            <w:pPr>
              <w:widowControl/>
              <w:jc w:val="center"/>
              <w:rPr>
                <w:rFonts w:ascii="宋体" w:hAnsi="宋体"/>
                <w:bCs/>
                <w:sz w:val="18"/>
                <w:szCs w:val="18"/>
              </w:rPr>
            </w:pPr>
          </w:p>
        </w:tc>
        <w:tc>
          <w:tcPr>
            <w:tcW w:w="4403" w:type="dxa"/>
            <w:tcBorders>
              <w:top w:val="single" w:color="auto" w:sz="8" w:space="0"/>
              <w:left w:val="single" w:color="auto" w:sz="4" w:space="0"/>
              <w:bottom w:val="single" w:color="auto" w:sz="8" w:space="0"/>
              <w:right w:val="single" w:color="auto" w:sz="4" w:space="0"/>
            </w:tcBorders>
            <w:noWrap w:val="0"/>
            <w:vAlign w:val="center"/>
          </w:tcPr>
          <w:p w14:paraId="4B46FCEE">
            <w:pPr>
              <w:widowControl/>
              <w:jc w:val="left"/>
              <w:rPr>
                <w:rFonts w:ascii="宋体" w:hAnsi="宋体"/>
                <w:bCs/>
                <w:sz w:val="18"/>
                <w:szCs w:val="18"/>
              </w:rPr>
            </w:pPr>
          </w:p>
        </w:tc>
        <w:tc>
          <w:tcPr>
            <w:tcW w:w="645" w:type="dxa"/>
            <w:tcBorders>
              <w:top w:val="single" w:color="auto" w:sz="8" w:space="0"/>
              <w:left w:val="single" w:color="auto" w:sz="4" w:space="0"/>
              <w:bottom w:val="single" w:color="auto" w:sz="8" w:space="0"/>
              <w:right w:val="single" w:color="auto" w:sz="4" w:space="0"/>
            </w:tcBorders>
            <w:noWrap w:val="0"/>
            <w:vAlign w:val="center"/>
          </w:tcPr>
          <w:p w14:paraId="0CC52D18">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29AA18D6">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4AC93497">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r w14:paraId="6517C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22417914">
            <w:pPr>
              <w:widowControl/>
              <w:jc w:val="center"/>
              <w:rPr>
                <w:rFonts w:ascii="宋体" w:hAnsi="宋体"/>
                <w:bCs/>
                <w:sz w:val="18"/>
                <w:szCs w:val="18"/>
              </w:rPr>
            </w:pPr>
            <w:r>
              <w:rPr>
                <w:rFonts w:hint="eastAsia" w:ascii="宋体" w:hAnsi="宋体"/>
                <w:bCs/>
                <w:sz w:val="18"/>
                <w:szCs w:val="18"/>
              </w:rPr>
              <w:t>1.1</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3D14D8FD">
            <w:pPr>
              <w:widowControl/>
              <w:rPr>
                <w:rFonts w:ascii="宋体" w:hAnsi="宋体"/>
                <w:bCs/>
                <w:sz w:val="18"/>
                <w:szCs w:val="18"/>
              </w:rPr>
            </w:pPr>
            <w:r>
              <w:rPr>
                <w:rFonts w:hint="eastAsia" w:ascii="宋体" w:hAnsi="宋体"/>
                <w:bCs/>
                <w:sz w:val="18"/>
                <w:szCs w:val="18"/>
              </w:rPr>
              <w:t>安全生产责任制</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2CF71343">
            <w:pPr>
              <w:widowControl/>
              <w:jc w:val="center"/>
              <w:rPr>
                <w:rFonts w:ascii="宋体" w:hAnsi="宋体"/>
                <w:bCs/>
                <w:sz w:val="18"/>
                <w:szCs w:val="18"/>
              </w:rPr>
            </w:pPr>
            <w:r>
              <w:rPr>
                <w:rFonts w:hint="eastAsia" w:ascii="宋体" w:hAnsi="宋体"/>
                <w:bCs/>
                <w:sz w:val="18"/>
                <w:szCs w:val="18"/>
                <w:lang w:val="en-US" w:eastAsia="zh-CN"/>
              </w:rPr>
              <w:t>3</w:t>
            </w:r>
            <w:r>
              <w:rPr>
                <w:rFonts w:hint="eastAsia" w:ascii="宋体" w:hAnsi="宋体"/>
                <w:bCs/>
                <w:sz w:val="18"/>
                <w:szCs w:val="18"/>
              </w:rPr>
              <w:t>0</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0DED0373">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3E42A9B7">
            <w:pPr>
              <w:widowControl/>
              <w:jc w:val="center"/>
              <w:rPr>
                <w:rFonts w:ascii="宋体" w:hAnsi="宋体"/>
                <w:bCs/>
                <w:sz w:val="18"/>
                <w:szCs w:val="18"/>
              </w:rPr>
            </w:pPr>
          </w:p>
        </w:tc>
        <w:tc>
          <w:tcPr>
            <w:tcW w:w="4403" w:type="dxa"/>
            <w:tcBorders>
              <w:top w:val="single" w:color="auto" w:sz="8" w:space="0"/>
              <w:left w:val="single" w:color="auto" w:sz="4" w:space="0"/>
              <w:bottom w:val="single" w:color="auto" w:sz="8" w:space="0"/>
              <w:right w:val="single" w:color="auto" w:sz="4" w:space="0"/>
            </w:tcBorders>
            <w:noWrap w:val="0"/>
            <w:vAlign w:val="center"/>
          </w:tcPr>
          <w:p w14:paraId="18D1F543">
            <w:pPr>
              <w:widowControl/>
              <w:jc w:val="left"/>
              <w:rPr>
                <w:rFonts w:ascii="宋体" w:hAnsi="宋体"/>
                <w:bCs/>
                <w:sz w:val="18"/>
                <w:szCs w:val="18"/>
              </w:rPr>
            </w:pPr>
          </w:p>
        </w:tc>
        <w:tc>
          <w:tcPr>
            <w:tcW w:w="645" w:type="dxa"/>
            <w:tcBorders>
              <w:top w:val="single" w:color="auto" w:sz="8" w:space="0"/>
              <w:left w:val="single" w:color="auto" w:sz="4" w:space="0"/>
              <w:bottom w:val="single" w:color="auto" w:sz="8" w:space="0"/>
              <w:right w:val="single" w:color="auto" w:sz="4" w:space="0"/>
            </w:tcBorders>
            <w:noWrap w:val="0"/>
            <w:vAlign w:val="center"/>
          </w:tcPr>
          <w:p w14:paraId="00E6530F">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13C11510">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5F76380C">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r w14:paraId="3AAAA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731DF3A2">
            <w:pPr>
              <w:widowControl/>
              <w:jc w:val="center"/>
              <w:rPr>
                <w:rFonts w:ascii="宋体" w:hAnsi="宋体"/>
                <w:bCs/>
                <w:sz w:val="18"/>
                <w:szCs w:val="18"/>
              </w:rPr>
            </w:pPr>
            <w:r>
              <w:rPr>
                <w:rFonts w:hint="eastAsia" w:ascii="宋体" w:hAnsi="宋体"/>
                <w:bCs/>
                <w:sz w:val="18"/>
                <w:szCs w:val="18"/>
              </w:rPr>
              <w:t>1.1.1</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5A9BEAA0">
            <w:pPr>
              <w:pStyle w:val="186"/>
              <w:numPr>
                <w:ilvl w:val="0"/>
                <w:numId w:val="0"/>
              </w:numPr>
              <w:rPr>
                <w:rFonts w:hAnsi="宋体"/>
                <w:sz w:val="18"/>
                <w:szCs w:val="18"/>
              </w:rPr>
            </w:pPr>
            <w:r>
              <w:rPr>
                <w:rFonts w:hint="eastAsia" w:hAnsi="宋体"/>
                <w:sz w:val="18"/>
                <w:szCs w:val="18"/>
                <w:lang w:eastAsia="zh-CN"/>
              </w:rPr>
              <w:t>景区</w:t>
            </w:r>
            <w:r>
              <w:rPr>
                <w:rFonts w:hint="eastAsia" w:hAnsi="宋体"/>
                <w:sz w:val="18"/>
                <w:szCs w:val="18"/>
              </w:rPr>
              <w:t>应建立、健全</w:t>
            </w:r>
            <w:r>
              <w:rPr>
                <w:rFonts w:hint="eastAsia" w:ascii="宋体" w:hAnsi="宋体"/>
                <w:bCs/>
                <w:sz w:val="18"/>
                <w:szCs w:val="18"/>
                <w:lang w:val="en-US" w:eastAsia="zh-CN"/>
              </w:rPr>
              <w:t>全员</w:t>
            </w:r>
            <w:r>
              <w:rPr>
                <w:rFonts w:hint="eastAsia" w:hAnsi="宋体"/>
                <w:sz w:val="18"/>
                <w:szCs w:val="18"/>
              </w:rPr>
              <w:t>安全生产责任制，至少应包括下列内容：</w:t>
            </w:r>
          </w:p>
          <w:p w14:paraId="3906E571">
            <w:pPr>
              <w:adjustRightInd w:val="0"/>
              <w:snapToGrid w:val="0"/>
              <w:jc w:val="left"/>
              <w:rPr>
                <w:rFonts w:hint="eastAsia" w:ascii="宋体" w:hAnsi="宋体"/>
                <w:sz w:val="18"/>
                <w:szCs w:val="18"/>
              </w:rPr>
            </w:pPr>
            <w:r>
              <w:rPr>
                <w:rFonts w:hint="eastAsia" w:ascii="宋体" w:hAnsi="宋体"/>
                <w:sz w:val="18"/>
                <w:szCs w:val="18"/>
              </w:rPr>
              <w:t>a）主要负责人、专职安全生产分管负责人或者安全总监、其他负责人、</w:t>
            </w:r>
            <w:r>
              <w:rPr>
                <w:rFonts w:hint="eastAsia" w:ascii="宋体" w:hAnsi="宋体"/>
                <w:sz w:val="18"/>
                <w:szCs w:val="18"/>
                <w:lang w:val="en-US" w:eastAsia="zh-CN"/>
              </w:rPr>
              <w:t>职能部门负责人、</w:t>
            </w:r>
            <w:r>
              <w:rPr>
                <w:rFonts w:hint="eastAsia" w:ascii="宋体" w:hAnsi="宋体"/>
                <w:sz w:val="18"/>
                <w:szCs w:val="18"/>
              </w:rPr>
              <w:t>安全生产管理人员、</w:t>
            </w:r>
            <w:r>
              <w:rPr>
                <w:rFonts w:hint="eastAsia" w:ascii="宋体" w:hAnsi="宋体"/>
                <w:sz w:val="18"/>
                <w:szCs w:val="18"/>
                <w:lang w:val="en-US" w:eastAsia="zh-CN"/>
              </w:rPr>
              <w:t>班组负责人及</w:t>
            </w:r>
            <w:r>
              <w:rPr>
                <w:rFonts w:hint="eastAsia" w:ascii="宋体" w:hAnsi="宋体"/>
                <w:sz w:val="18"/>
                <w:szCs w:val="18"/>
              </w:rPr>
              <w:t>各岗位从业人员的安全生产职责；</w:t>
            </w:r>
          </w:p>
          <w:p w14:paraId="7FA13FA1">
            <w:pPr>
              <w:adjustRightInd w:val="0"/>
              <w:snapToGrid w:val="0"/>
              <w:jc w:val="left"/>
              <w:rPr>
                <w:rFonts w:ascii="宋体" w:hAnsi="宋体"/>
                <w:sz w:val="18"/>
                <w:szCs w:val="18"/>
              </w:rPr>
            </w:pPr>
            <w:r>
              <w:rPr>
                <w:rFonts w:hint="eastAsia" w:ascii="宋体" w:hAnsi="宋体"/>
                <w:sz w:val="18"/>
                <w:szCs w:val="18"/>
              </w:rPr>
              <w:t>b）安全生产管理机构、各</w:t>
            </w:r>
            <w:r>
              <w:rPr>
                <w:rFonts w:hint="eastAsia" w:ascii="宋体" w:hAnsi="宋体"/>
                <w:sz w:val="18"/>
                <w:szCs w:val="18"/>
                <w:lang w:val="en-US" w:eastAsia="zh-CN"/>
              </w:rPr>
              <w:t>职能</w:t>
            </w:r>
            <w:r>
              <w:rPr>
                <w:rFonts w:hint="eastAsia" w:ascii="宋体" w:hAnsi="宋体"/>
                <w:sz w:val="18"/>
                <w:szCs w:val="18"/>
              </w:rPr>
              <w:t>部门的安全生产职责；</w:t>
            </w:r>
          </w:p>
          <w:p w14:paraId="49A8608F">
            <w:pPr>
              <w:widowControl/>
              <w:jc w:val="left"/>
              <w:rPr>
                <w:rFonts w:ascii="宋体" w:hAnsi="宋体"/>
                <w:bCs/>
                <w:sz w:val="18"/>
                <w:szCs w:val="18"/>
              </w:rPr>
            </w:pPr>
            <w:r>
              <w:rPr>
                <w:rFonts w:hint="eastAsia" w:ascii="宋体" w:hAnsi="宋体"/>
                <w:sz w:val="18"/>
                <w:szCs w:val="18"/>
              </w:rPr>
              <w:t>c）</w:t>
            </w:r>
            <w:r>
              <w:rPr>
                <w:rFonts w:ascii="宋体" w:hAnsi="宋体"/>
                <w:sz w:val="18"/>
                <w:szCs w:val="18"/>
              </w:rPr>
              <w:t>安全生产</w:t>
            </w:r>
            <w:r>
              <w:rPr>
                <w:rFonts w:hint="eastAsia" w:ascii="宋体" w:hAnsi="宋体"/>
                <w:sz w:val="18"/>
                <w:szCs w:val="18"/>
              </w:rPr>
              <w:t>责任考核及奖惩。</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010725C0">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44CD3B2A">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5FD82CD1">
            <w:pPr>
              <w:widowControl/>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15</w:t>
            </w:r>
          </w:p>
        </w:tc>
        <w:tc>
          <w:tcPr>
            <w:tcW w:w="4403" w:type="dxa"/>
            <w:tcBorders>
              <w:top w:val="single" w:color="auto" w:sz="8" w:space="0"/>
              <w:left w:val="single" w:color="auto" w:sz="4" w:space="0"/>
              <w:bottom w:val="single" w:color="auto" w:sz="8" w:space="0"/>
              <w:right w:val="single" w:color="auto" w:sz="4" w:space="0"/>
            </w:tcBorders>
            <w:noWrap w:val="0"/>
            <w:vAlign w:val="center"/>
          </w:tcPr>
          <w:p w14:paraId="46B49A82">
            <w:pPr>
              <w:adjustRightInd w:val="0"/>
              <w:snapToGrid w:val="0"/>
              <w:rPr>
                <w:rFonts w:ascii="宋体" w:hAnsi="宋体"/>
                <w:sz w:val="18"/>
              </w:rPr>
            </w:pPr>
            <w:r>
              <w:rPr>
                <w:rFonts w:ascii="宋体" w:hAnsi="宋体"/>
                <w:sz w:val="18"/>
              </w:rPr>
              <w:t>1</w:t>
            </w:r>
            <w:r>
              <w:rPr>
                <w:rFonts w:hint="eastAsia" w:ascii="宋体" w:hAnsi="宋体"/>
                <w:sz w:val="18"/>
              </w:rPr>
              <w:t>）</w:t>
            </w:r>
            <w:r>
              <w:rPr>
                <w:rFonts w:ascii="宋体" w:hAnsi="宋体"/>
                <w:sz w:val="18"/>
              </w:rPr>
              <w:t>责任制度内容或要素不全，</w:t>
            </w:r>
            <w:r>
              <w:rPr>
                <w:rFonts w:hint="eastAsia" w:ascii="宋体" w:hAnsi="宋体"/>
                <w:sz w:val="18"/>
              </w:rPr>
              <w:t>缺少</w:t>
            </w:r>
            <w:r>
              <w:rPr>
                <w:rFonts w:ascii="宋体" w:hAnsi="宋体"/>
                <w:sz w:val="18"/>
              </w:rPr>
              <w:t>一处扣</w:t>
            </w:r>
            <w:r>
              <w:rPr>
                <w:rFonts w:hint="eastAsia" w:ascii="宋体" w:hAnsi="宋体"/>
                <w:sz w:val="18"/>
                <w:lang w:val="en-US" w:eastAsia="zh-CN"/>
              </w:rPr>
              <w:t>5</w:t>
            </w:r>
            <w:r>
              <w:rPr>
                <w:rFonts w:ascii="宋体" w:hAnsi="宋体"/>
                <w:sz w:val="18"/>
              </w:rPr>
              <w:t>分；</w:t>
            </w:r>
          </w:p>
          <w:p w14:paraId="19FFE683">
            <w:pPr>
              <w:adjustRightInd w:val="0"/>
              <w:snapToGrid w:val="0"/>
              <w:rPr>
                <w:rFonts w:ascii="宋体" w:hAnsi="宋体"/>
                <w:sz w:val="18"/>
              </w:rPr>
            </w:pPr>
            <w:r>
              <w:rPr>
                <w:rFonts w:hint="eastAsia" w:ascii="宋体" w:hAnsi="宋体"/>
                <w:sz w:val="18"/>
              </w:rPr>
              <w:t>2）</w:t>
            </w:r>
            <w:r>
              <w:rPr>
                <w:rFonts w:ascii="宋体" w:hAnsi="宋体"/>
                <w:sz w:val="18"/>
              </w:rPr>
              <w:t>安全生产职责未覆盖所有</w:t>
            </w:r>
            <w:r>
              <w:rPr>
                <w:rFonts w:hint="eastAsia" w:ascii="宋体" w:hAnsi="宋体"/>
                <w:sz w:val="18"/>
                <w:lang w:val="en-US" w:eastAsia="zh-CN"/>
              </w:rPr>
              <w:t>部门</w:t>
            </w:r>
            <w:r>
              <w:rPr>
                <w:rFonts w:ascii="宋体" w:hAnsi="宋体"/>
                <w:sz w:val="18"/>
              </w:rPr>
              <w:t>和岗位，缺少一个部门</w:t>
            </w:r>
            <w:r>
              <w:rPr>
                <w:rFonts w:hint="eastAsia" w:ascii="宋体" w:hAnsi="宋体"/>
                <w:sz w:val="18"/>
              </w:rPr>
              <w:t>或</w:t>
            </w:r>
            <w:r>
              <w:rPr>
                <w:rFonts w:ascii="宋体" w:hAnsi="宋体"/>
                <w:sz w:val="18"/>
              </w:rPr>
              <w:t>岗位的责任制，扣</w:t>
            </w:r>
            <w:r>
              <w:rPr>
                <w:rFonts w:hint="eastAsia" w:ascii="宋体" w:hAnsi="宋体"/>
                <w:sz w:val="18"/>
              </w:rPr>
              <w:t>3</w:t>
            </w:r>
            <w:r>
              <w:rPr>
                <w:rFonts w:ascii="宋体" w:hAnsi="宋体"/>
                <w:sz w:val="18"/>
              </w:rPr>
              <w:t>分；</w:t>
            </w:r>
          </w:p>
          <w:p w14:paraId="1C5F3C22">
            <w:pPr>
              <w:widowControl/>
              <w:rPr>
                <w:rFonts w:ascii="宋体" w:hAnsi="宋体"/>
                <w:bCs/>
                <w:sz w:val="18"/>
                <w:szCs w:val="18"/>
              </w:rPr>
            </w:pPr>
            <w:r>
              <w:rPr>
                <w:rFonts w:hint="eastAsia" w:ascii="宋体" w:hAnsi="宋体"/>
                <w:sz w:val="18"/>
              </w:rPr>
              <w:t>3）</w:t>
            </w:r>
            <w:r>
              <w:rPr>
                <w:rFonts w:ascii="宋体" w:hAnsi="宋体"/>
                <w:sz w:val="18"/>
              </w:rPr>
              <w:t>安全生产职责描述不清晰，与实际不符</w:t>
            </w:r>
            <w:r>
              <w:rPr>
                <w:rFonts w:hint="eastAsia" w:ascii="宋体" w:hAnsi="宋体"/>
                <w:sz w:val="18"/>
              </w:rPr>
              <w:t>的</w:t>
            </w:r>
            <w:r>
              <w:rPr>
                <w:rFonts w:ascii="宋体" w:hAnsi="宋体"/>
                <w:sz w:val="18"/>
              </w:rPr>
              <w:t>，扣</w:t>
            </w:r>
            <w:r>
              <w:rPr>
                <w:rFonts w:hint="eastAsia" w:ascii="宋体" w:hAnsi="宋体"/>
                <w:sz w:val="18"/>
              </w:rPr>
              <w:t>3</w:t>
            </w:r>
            <w:r>
              <w:rPr>
                <w:rFonts w:ascii="宋体" w:hAnsi="宋体"/>
                <w:sz w:val="18"/>
              </w:rPr>
              <w:t>分</w:t>
            </w:r>
            <w:r>
              <w:rPr>
                <w:rFonts w:hint="eastAsia" w:ascii="宋体" w:hAnsi="宋体"/>
                <w:sz w:val="18"/>
              </w:rPr>
              <w:t>。</w:t>
            </w:r>
          </w:p>
        </w:tc>
        <w:tc>
          <w:tcPr>
            <w:tcW w:w="645" w:type="dxa"/>
            <w:tcBorders>
              <w:top w:val="single" w:color="auto" w:sz="8" w:space="0"/>
              <w:left w:val="single" w:color="auto" w:sz="4" w:space="0"/>
              <w:bottom w:val="single" w:color="auto" w:sz="8" w:space="0"/>
              <w:right w:val="single" w:color="auto" w:sz="4" w:space="0"/>
            </w:tcBorders>
            <w:noWrap w:val="0"/>
            <w:vAlign w:val="center"/>
          </w:tcPr>
          <w:p w14:paraId="7DD6AB8C">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65788907">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0C46696E">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r w14:paraId="4C2F05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1FF286CF">
            <w:pPr>
              <w:widowControl/>
              <w:jc w:val="center"/>
              <w:rPr>
                <w:rFonts w:ascii="宋体" w:hAnsi="宋体"/>
                <w:bCs/>
                <w:sz w:val="18"/>
                <w:szCs w:val="18"/>
              </w:rPr>
            </w:pPr>
            <w:r>
              <w:rPr>
                <w:rFonts w:hint="eastAsia" w:ascii="宋体" w:hAnsi="宋体"/>
                <w:bCs/>
                <w:sz w:val="18"/>
                <w:szCs w:val="18"/>
              </w:rPr>
              <w:t>1.1.2</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2A58CBD4">
            <w:pPr>
              <w:widowControl/>
              <w:jc w:val="left"/>
              <w:rPr>
                <w:rFonts w:ascii="宋体" w:hAnsi="宋体"/>
                <w:bCs/>
                <w:sz w:val="18"/>
                <w:szCs w:val="18"/>
              </w:rPr>
            </w:pPr>
            <w:r>
              <w:rPr>
                <w:rFonts w:hint="eastAsia" w:ascii="宋体" w:hAnsi="宋体"/>
                <w:sz w:val="18"/>
                <w:szCs w:val="18"/>
                <w:lang w:eastAsia="zh-CN"/>
              </w:rPr>
              <w:t>景区</w:t>
            </w:r>
            <w:r>
              <w:rPr>
                <w:rFonts w:hint="eastAsia" w:ascii="宋体" w:hAnsi="宋体"/>
                <w:sz w:val="18"/>
                <w:szCs w:val="18"/>
              </w:rPr>
              <w:t>应制定年度安全生产目标，并逐级签订年度安全生产责任书。</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077F19BF">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01737B76">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7223E4AD">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4403" w:type="dxa"/>
            <w:tcBorders>
              <w:top w:val="single" w:color="auto" w:sz="8" w:space="0"/>
              <w:left w:val="single" w:color="auto" w:sz="4" w:space="0"/>
              <w:bottom w:val="single" w:color="auto" w:sz="8" w:space="0"/>
              <w:right w:val="single" w:color="auto" w:sz="4" w:space="0"/>
            </w:tcBorders>
            <w:noWrap w:val="0"/>
            <w:vAlign w:val="center"/>
          </w:tcPr>
          <w:p w14:paraId="7C8A7F25">
            <w:pPr>
              <w:adjustRightInd w:val="0"/>
              <w:snapToGrid w:val="0"/>
              <w:rPr>
                <w:rFonts w:hint="eastAsia" w:ascii="宋体"/>
                <w:sz w:val="18"/>
                <w:szCs w:val="18"/>
              </w:rPr>
            </w:pPr>
            <w:r>
              <w:rPr>
                <w:rFonts w:hint="eastAsia" w:ascii="宋体"/>
                <w:sz w:val="18"/>
                <w:szCs w:val="18"/>
              </w:rPr>
              <w:t>1）未制定年度安全生产目标的，不得分；</w:t>
            </w:r>
          </w:p>
          <w:p w14:paraId="44327696">
            <w:pPr>
              <w:adjustRightInd w:val="0"/>
              <w:snapToGrid w:val="0"/>
              <w:rPr>
                <w:rFonts w:ascii="宋体"/>
                <w:sz w:val="18"/>
                <w:szCs w:val="18"/>
              </w:rPr>
            </w:pPr>
            <w:r>
              <w:rPr>
                <w:rFonts w:hint="eastAsia" w:ascii="宋体"/>
                <w:sz w:val="18"/>
                <w:szCs w:val="18"/>
              </w:rPr>
              <w:t>2）</w:t>
            </w:r>
            <w:r>
              <w:rPr>
                <w:rFonts w:ascii="宋体"/>
                <w:sz w:val="18"/>
                <w:szCs w:val="18"/>
              </w:rPr>
              <w:t>缺少</w:t>
            </w:r>
            <w:r>
              <w:rPr>
                <w:rFonts w:ascii="宋体" w:hAnsi="宋体"/>
                <w:sz w:val="18"/>
              </w:rPr>
              <w:t>一</w:t>
            </w:r>
            <w:r>
              <w:rPr>
                <w:rFonts w:ascii="宋体"/>
                <w:sz w:val="18"/>
                <w:szCs w:val="18"/>
              </w:rPr>
              <w:t>个部门、岗位的安全生产责任书，扣</w:t>
            </w:r>
            <w:r>
              <w:rPr>
                <w:rFonts w:hint="eastAsia" w:ascii="宋体"/>
                <w:sz w:val="18"/>
                <w:szCs w:val="18"/>
              </w:rPr>
              <w:t>3</w:t>
            </w:r>
            <w:r>
              <w:rPr>
                <w:rFonts w:ascii="宋体"/>
                <w:sz w:val="18"/>
                <w:szCs w:val="18"/>
              </w:rPr>
              <w:t>分；</w:t>
            </w:r>
          </w:p>
          <w:p w14:paraId="52B31D12">
            <w:pPr>
              <w:adjustRightInd w:val="0"/>
              <w:snapToGrid w:val="0"/>
              <w:rPr>
                <w:rFonts w:ascii="宋体"/>
                <w:sz w:val="18"/>
                <w:szCs w:val="18"/>
              </w:rPr>
            </w:pPr>
            <w:r>
              <w:rPr>
                <w:rFonts w:hint="eastAsia" w:ascii="宋体"/>
                <w:sz w:val="18"/>
                <w:szCs w:val="18"/>
              </w:rPr>
              <w:t>3）</w:t>
            </w:r>
            <w:r>
              <w:rPr>
                <w:rFonts w:ascii="宋体"/>
                <w:sz w:val="18"/>
                <w:szCs w:val="18"/>
              </w:rPr>
              <w:t>责任书内容不全的，扣</w:t>
            </w:r>
            <w:r>
              <w:rPr>
                <w:rFonts w:hint="eastAsia" w:ascii="宋体"/>
                <w:sz w:val="18"/>
                <w:szCs w:val="18"/>
              </w:rPr>
              <w:t>2</w:t>
            </w:r>
            <w:r>
              <w:rPr>
                <w:rFonts w:ascii="宋体"/>
                <w:sz w:val="18"/>
                <w:szCs w:val="18"/>
              </w:rPr>
              <w:t>分；</w:t>
            </w:r>
          </w:p>
          <w:p w14:paraId="21F75A9E">
            <w:pPr>
              <w:widowControl/>
              <w:jc w:val="left"/>
              <w:rPr>
                <w:rFonts w:ascii="宋体"/>
                <w:sz w:val="18"/>
                <w:szCs w:val="18"/>
              </w:rPr>
            </w:pPr>
            <w:r>
              <w:rPr>
                <w:rFonts w:hint="eastAsia" w:ascii="宋体"/>
                <w:sz w:val="18"/>
                <w:szCs w:val="18"/>
              </w:rPr>
              <w:t>4）</w:t>
            </w:r>
            <w:r>
              <w:rPr>
                <w:rFonts w:ascii="宋体"/>
                <w:sz w:val="18"/>
                <w:szCs w:val="18"/>
              </w:rPr>
              <w:t>责任书未亲笔签字的，扣</w:t>
            </w:r>
            <w:r>
              <w:rPr>
                <w:rFonts w:hint="eastAsia" w:ascii="宋体"/>
                <w:sz w:val="18"/>
                <w:szCs w:val="18"/>
              </w:rPr>
              <w:t>2</w:t>
            </w:r>
            <w:r>
              <w:rPr>
                <w:rFonts w:ascii="宋体"/>
                <w:sz w:val="18"/>
                <w:szCs w:val="18"/>
              </w:rPr>
              <w:t>分。</w:t>
            </w:r>
          </w:p>
        </w:tc>
        <w:tc>
          <w:tcPr>
            <w:tcW w:w="645" w:type="dxa"/>
            <w:tcBorders>
              <w:top w:val="single" w:color="auto" w:sz="8" w:space="0"/>
              <w:left w:val="single" w:color="auto" w:sz="4" w:space="0"/>
              <w:bottom w:val="single" w:color="auto" w:sz="8" w:space="0"/>
              <w:right w:val="single" w:color="auto" w:sz="4" w:space="0"/>
            </w:tcBorders>
            <w:noWrap w:val="0"/>
            <w:vAlign w:val="center"/>
          </w:tcPr>
          <w:p w14:paraId="755BCBD3">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3943837B">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002365BB">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r w14:paraId="2EEB20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0FEC0384">
            <w:pPr>
              <w:widowControl/>
              <w:jc w:val="center"/>
              <w:rPr>
                <w:rFonts w:ascii="宋体" w:hAnsi="宋体"/>
                <w:bCs/>
                <w:sz w:val="18"/>
                <w:szCs w:val="18"/>
              </w:rPr>
            </w:pPr>
            <w:r>
              <w:rPr>
                <w:rFonts w:hint="eastAsia" w:ascii="宋体" w:hAnsi="宋体"/>
                <w:bCs/>
                <w:sz w:val="18"/>
                <w:szCs w:val="18"/>
              </w:rPr>
              <w:t>1.1.3</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721700B9">
            <w:pPr>
              <w:widowControl/>
              <w:jc w:val="left"/>
              <w:rPr>
                <w:rFonts w:hint="default" w:ascii="宋体" w:hAnsi="宋体" w:eastAsia="宋体"/>
                <w:bCs/>
                <w:sz w:val="18"/>
                <w:szCs w:val="18"/>
                <w:lang w:val="en-US" w:eastAsia="zh-CN"/>
              </w:rPr>
            </w:pPr>
            <w:r>
              <w:rPr>
                <w:rFonts w:hint="eastAsia" w:ascii="宋体" w:hAnsi="宋体"/>
                <w:sz w:val="18"/>
                <w:szCs w:val="18"/>
              </w:rPr>
              <w:t>安全生产职责应每年审核，适时更新，并保存记录。</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2E48EBDB">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6788EC6E">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55867470">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4403" w:type="dxa"/>
            <w:tcBorders>
              <w:top w:val="single" w:color="auto" w:sz="8" w:space="0"/>
              <w:left w:val="single" w:color="auto" w:sz="4" w:space="0"/>
              <w:bottom w:val="single" w:color="auto" w:sz="8" w:space="0"/>
              <w:right w:val="single" w:color="auto" w:sz="4" w:space="0"/>
            </w:tcBorders>
            <w:noWrap w:val="0"/>
            <w:vAlign w:val="center"/>
          </w:tcPr>
          <w:p w14:paraId="1E4FA234">
            <w:pPr>
              <w:adjustRightInd w:val="0"/>
              <w:snapToGrid w:val="0"/>
              <w:rPr>
                <w:rFonts w:ascii="宋体" w:hAnsi="宋体"/>
                <w:sz w:val="18"/>
                <w:szCs w:val="18"/>
              </w:rPr>
            </w:pPr>
            <w:r>
              <w:rPr>
                <w:rFonts w:hint="eastAsia" w:ascii="宋体" w:hAnsi="宋体"/>
                <w:sz w:val="18"/>
                <w:szCs w:val="18"/>
              </w:rPr>
              <w:t>1）未定期评审、更新责任制的，不得分；</w:t>
            </w:r>
          </w:p>
          <w:p w14:paraId="10584D6F">
            <w:pPr>
              <w:widowControl/>
              <w:jc w:val="left"/>
              <w:rPr>
                <w:rFonts w:ascii="宋体" w:hAnsi="宋体"/>
                <w:sz w:val="18"/>
                <w:szCs w:val="18"/>
              </w:rPr>
            </w:pPr>
            <w:r>
              <w:rPr>
                <w:rFonts w:hint="eastAsia" w:ascii="宋体" w:hAnsi="宋体"/>
                <w:sz w:val="18"/>
                <w:szCs w:val="18"/>
              </w:rPr>
              <w:t>2）</w:t>
            </w:r>
            <w:r>
              <w:rPr>
                <w:rFonts w:ascii="宋体" w:hAnsi="宋体"/>
                <w:sz w:val="18"/>
                <w:szCs w:val="18"/>
              </w:rPr>
              <w:t>其他不符合一</w:t>
            </w:r>
            <w:r>
              <w:rPr>
                <w:rFonts w:hint="eastAsia" w:ascii="宋体" w:hAnsi="宋体"/>
                <w:sz w:val="18"/>
                <w:szCs w:val="18"/>
              </w:rPr>
              <w:t>处</w:t>
            </w:r>
            <w:r>
              <w:rPr>
                <w:rFonts w:ascii="宋体" w:hAnsi="宋体"/>
                <w:sz w:val="18"/>
                <w:szCs w:val="18"/>
              </w:rPr>
              <w:t>扣</w:t>
            </w:r>
            <w:r>
              <w:rPr>
                <w:rFonts w:hint="eastAsia" w:ascii="宋体" w:hAnsi="宋体"/>
                <w:sz w:val="18"/>
                <w:szCs w:val="18"/>
              </w:rPr>
              <w:t>2分。</w:t>
            </w:r>
          </w:p>
        </w:tc>
        <w:tc>
          <w:tcPr>
            <w:tcW w:w="645" w:type="dxa"/>
            <w:tcBorders>
              <w:top w:val="single" w:color="auto" w:sz="8" w:space="0"/>
              <w:left w:val="single" w:color="auto" w:sz="4" w:space="0"/>
              <w:bottom w:val="single" w:color="auto" w:sz="8" w:space="0"/>
              <w:right w:val="single" w:color="auto" w:sz="4" w:space="0"/>
            </w:tcBorders>
            <w:noWrap w:val="0"/>
            <w:vAlign w:val="center"/>
          </w:tcPr>
          <w:p w14:paraId="1B5BACBB">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37875DF2">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4748966A">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r w14:paraId="76D4C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77" w:type="dxa"/>
            <w:tcBorders>
              <w:top w:val="single" w:color="auto" w:sz="8" w:space="0"/>
              <w:left w:val="single" w:color="auto" w:sz="8" w:space="0"/>
              <w:bottom w:val="single" w:color="auto" w:sz="8" w:space="0"/>
              <w:right w:val="single" w:color="auto" w:sz="4" w:space="0"/>
            </w:tcBorders>
            <w:noWrap w:val="0"/>
            <w:vAlign w:val="center"/>
          </w:tcPr>
          <w:p w14:paraId="14C3E9E9">
            <w:pPr>
              <w:widowControl/>
              <w:jc w:val="center"/>
              <w:rPr>
                <w:rFonts w:ascii="宋体" w:hAnsi="宋体"/>
                <w:bCs/>
                <w:sz w:val="18"/>
                <w:szCs w:val="18"/>
              </w:rPr>
            </w:pPr>
            <w:r>
              <w:rPr>
                <w:rFonts w:hint="eastAsia" w:ascii="宋体" w:hAnsi="宋体"/>
                <w:bCs/>
                <w:sz w:val="18"/>
                <w:szCs w:val="18"/>
              </w:rPr>
              <w:t>1.1.4</w:t>
            </w:r>
          </w:p>
        </w:tc>
        <w:tc>
          <w:tcPr>
            <w:tcW w:w="5359" w:type="dxa"/>
            <w:tcBorders>
              <w:top w:val="single" w:color="auto" w:sz="8" w:space="0"/>
              <w:left w:val="single" w:color="auto" w:sz="4" w:space="0"/>
              <w:bottom w:val="single" w:color="auto" w:sz="8" w:space="0"/>
              <w:right w:val="single" w:color="auto" w:sz="4" w:space="0"/>
            </w:tcBorders>
            <w:noWrap w:val="0"/>
            <w:vAlign w:val="center"/>
          </w:tcPr>
          <w:p w14:paraId="0EEFC9F1">
            <w:pPr>
              <w:widowControl/>
              <w:rPr>
                <w:rFonts w:ascii="宋体" w:hAnsi="宋体"/>
                <w:bCs/>
                <w:sz w:val="18"/>
                <w:szCs w:val="18"/>
              </w:rPr>
            </w:pPr>
            <w:r>
              <w:rPr>
                <w:rFonts w:hint="eastAsia" w:ascii="宋体" w:hAnsi="宋体"/>
                <w:sz w:val="18"/>
                <w:szCs w:val="18"/>
                <w:lang w:eastAsia="zh-CN"/>
              </w:rPr>
              <w:t>景区</w:t>
            </w:r>
            <w:r>
              <w:rPr>
                <w:rFonts w:hint="eastAsia" w:ascii="宋体" w:hAnsi="宋体"/>
                <w:sz w:val="18"/>
                <w:szCs w:val="18"/>
              </w:rPr>
              <w:t>应每年考核安全生产职责的履行情况。</w:t>
            </w:r>
          </w:p>
        </w:tc>
        <w:tc>
          <w:tcPr>
            <w:tcW w:w="752" w:type="dxa"/>
            <w:tcBorders>
              <w:top w:val="single" w:color="auto" w:sz="8" w:space="0"/>
              <w:left w:val="single" w:color="auto" w:sz="4" w:space="0"/>
              <w:bottom w:val="single" w:color="auto" w:sz="8" w:space="0"/>
              <w:right w:val="single" w:color="auto" w:sz="4" w:space="0"/>
            </w:tcBorders>
            <w:noWrap w:val="0"/>
            <w:vAlign w:val="center"/>
          </w:tcPr>
          <w:p w14:paraId="5829016B">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7D13CD72">
            <w:pPr>
              <w:widowControl/>
              <w:jc w:val="center"/>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29A9E46F">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4403" w:type="dxa"/>
            <w:tcBorders>
              <w:top w:val="single" w:color="auto" w:sz="8" w:space="0"/>
              <w:left w:val="single" w:color="auto" w:sz="4" w:space="0"/>
              <w:bottom w:val="single" w:color="auto" w:sz="8" w:space="0"/>
              <w:right w:val="single" w:color="auto" w:sz="4" w:space="0"/>
            </w:tcBorders>
            <w:noWrap w:val="0"/>
            <w:vAlign w:val="center"/>
          </w:tcPr>
          <w:p w14:paraId="7A417DA6">
            <w:pPr>
              <w:widowControl/>
              <w:jc w:val="left"/>
              <w:rPr>
                <w:rFonts w:ascii="宋体" w:hAnsi="宋体"/>
                <w:bCs/>
                <w:sz w:val="18"/>
                <w:szCs w:val="18"/>
              </w:rPr>
            </w:pPr>
            <w:r>
              <w:rPr>
                <w:rFonts w:ascii="宋体" w:hAnsi="宋体"/>
                <w:sz w:val="18"/>
                <w:szCs w:val="18"/>
              </w:rPr>
              <w:t>缺少部门或人员责任制</w:t>
            </w:r>
            <w:r>
              <w:rPr>
                <w:rFonts w:hint="eastAsia" w:ascii="宋体" w:hAnsi="宋体"/>
                <w:sz w:val="18"/>
                <w:szCs w:val="18"/>
              </w:rPr>
              <w:t>履行</w:t>
            </w:r>
            <w:r>
              <w:rPr>
                <w:rFonts w:ascii="宋体" w:hAnsi="宋体"/>
                <w:sz w:val="18"/>
                <w:szCs w:val="18"/>
              </w:rPr>
              <w:t>情况考核奖惩记录的</w:t>
            </w:r>
            <w:r>
              <w:rPr>
                <w:rFonts w:hint="eastAsia" w:ascii="宋体" w:hAnsi="宋体"/>
                <w:sz w:val="18"/>
                <w:szCs w:val="18"/>
              </w:rPr>
              <w:t>，扣2分</w:t>
            </w:r>
            <w:r>
              <w:rPr>
                <w:rFonts w:ascii="宋体" w:hAnsi="宋体"/>
                <w:sz w:val="18"/>
                <w:szCs w:val="18"/>
              </w:rPr>
              <w:t>。</w:t>
            </w:r>
          </w:p>
        </w:tc>
        <w:tc>
          <w:tcPr>
            <w:tcW w:w="645" w:type="dxa"/>
            <w:tcBorders>
              <w:top w:val="single" w:color="auto" w:sz="8" w:space="0"/>
              <w:left w:val="single" w:color="auto" w:sz="4" w:space="0"/>
              <w:bottom w:val="single" w:color="auto" w:sz="8" w:space="0"/>
              <w:right w:val="single" w:color="auto" w:sz="4" w:space="0"/>
            </w:tcBorders>
            <w:noWrap w:val="0"/>
            <w:vAlign w:val="center"/>
          </w:tcPr>
          <w:p w14:paraId="4D4C97EE">
            <w:pPr>
              <w:widowControl/>
              <w:jc w:val="left"/>
              <w:rPr>
                <w:rFonts w:ascii="宋体" w:hAnsi="宋体"/>
                <w:bCs/>
                <w:sz w:val="18"/>
                <w:szCs w:val="18"/>
              </w:rPr>
            </w:pPr>
          </w:p>
        </w:tc>
        <w:tc>
          <w:tcPr>
            <w:tcW w:w="752" w:type="dxa"/>
            <w:tcBorders>
              <w:top w:val="single" w:color="auto" w:sz="8" w:space="0"/>
              <w:left w:val="single" w:color="auto" w:sz="4" w:space="0"/>
              <w:bottom w:val="single" w:color="auto" w:sz="8" w:space="0"/>
              <w:right w:val="single" w:color="auto" w:sz="4" w:space="0"/>
            </w:tcBorders>
            <w:noWrap w:val="0"/>
            <w:vAlign w:val="center"/>
          </w:tcPr>
          <w:p w14:paraId="458B0494">
            <w:pPr>
              <w:widowControl/>
              <w:jc w:val="left"/>
              <w:rPr>
                <w:rFonts w:ascii="宋体" w:hAnsi="宋体"/>
                <w:bCs/>
                <w:sz w:val="18"/>
                <w:szCs w:val="18"/>
              </w:rPr>
            </w:pPr>
          </w:p>
        </w:tc>
        <w:tc>
          <w:tcPr>
            <w:tcW w:w="961" w:type="dxa"/>
            <w:tcBorders>
              <w:top w:val="single" w:color="auto" w:sz="8" w:space="0"/>
              <w:left w:val="single" w:color="auto" w:sz="4" w:space="0"/>
              <w:bottom w:val="single" w:color="auto" w:sz="8" w:space="0"/>
              <w:right w:val="single" w:color="auto" w:sz="8" w:space="0"/>
            </w:tcBorders>
            <w:noWrap w:val="0"/>
            <w:vAlign w:val="center"/>
          </w:tcPr>
          <w:p w14:paraId="768E6092">
            <w:pPr>
              <w:widowControl/>
              <w:jc w:val="center"/>
              <w:rPr>
                <w:rFonts w:ascii="宋体" w:hAnsi="宋体"/>
                <w:bCs/>
                <w:sz w:val="18"/>
                <w:szCs w:val="18"/>
              </w:rPr>
            </w:pPr>
            <w:r>
              <w:rPr>
                <w:rFonts w:hint="eastAsia" w:ascii="宋体" w:hAnsi="宋体"/>
                <w:bCs/>
                <w:sz w:val="18"/>
                <w:szCs w:val="18"/>
                <w:lang w:eastAsia="zh-CN"/>
              </w:rPr>
              <w:t>4.</w:t>
            </w:r>
            <w:r>
              <w:rPr>
                <w:rFonts w:hint="eastAsia" w:ascii="宋体" w:hAnsi="宋体"/>
                <w:bCs/>
                <w:sz w:val="18"/>
                <w:szCs w:val="18"/>
              </w:rPr>
              <w:t>1</w:t>
            </w:r>
          </w:p>
        </w:tc>
      </w:tr>
    </w:tbl>
    <w:p w14:paraId="08EC3336">
      <w:pPr>
        <w:pStyle w:val="168"/>
        <w:numPr>
          <w:ilvl w:val="0"/>
          <w:numId w:val="0"/>
        </w:numPr>
        <w:spacing w:before="156" w:after="156"/>
        <w:jc w:val="both"/>
      </w:pPr>
    </w:p>
    <w:p w14:paraId="77FB0491">
      <w:pPr>
        <w:pStyle w:val="168"/>
        <w:numPr>
          <w:ilvl w:val="0"/>
          <w:numId w:val="0"/>
        </w:numPr>
        <w:spacing w:before="156" w:after="156"/>
        <w:rPr>
          <w:rFonts w:hint="eastAsia"/>
        </w:rPr>
      </w:pP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5460"/>
        <w:gridCol w:w="735"/>
        <w:gridCol w:w="735"/>
        <w:gridCol w:w="630"/>
        <w:gridCol w:w="4305"/>
        <w:gridCol w:w="735"/>
        <w:gridCol w:w="756"/>
        <w:gridCol w:w="1029"/>
      </w:tblGrid>
      <w:tr w14:paraId="31ECAD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 w:type="dxa"/>
            <w:tcBorders>
              <w:top w:val="single" w:color="auto" w:sz="8" w:space="0"/>
              <w:bottom w:val="single" w:color="auto" w:sz="8" w:space="0"/>
            </w:tcBorders>
            <w:noWrap w:val="0"/>
            <w:vAlign w:val="center"/>
          </w:tcPr>
          <w:p w14:paraId="3450A23F">
            <w:pPr>
              <w:adjustRightInd w:val="0"/>
              <w:snapToGrid w:val="0"/>
              <w:jc w:val="center"/>
              <w:rPr>
                <w:rFonts w:ascii="宋体"/>
                <w:sz w:val="18"/>
                <w:szCs w:val="18"/>
              </w:rPr>
            </w:pPr>
            <w:r>
              <w:rPr>
                <w:rFonts w:ascii="宋体"/>
                <w:bCs/>
                <w:sz w:val="18"/>
                <w:szCs w:val="18"/>
              </w:rPr>
              <w:t>序号</w:t>
            </w:r>
          </w:p>
        </w:tc>
        <w:tc>
          <w:tcPr>
            <w:tcW w:w="5460" w:type="dxa"/>
            <w:tcBorders>
              <w:top w:val="single" w:color="auto" w:sz="8" w:space="0"/>
              <w:bottom w:val="single" w:color="auto" w:sz="8" w:space="0"/>
            </w:tcBorders>
            <w:noWrap w:val="0"/>
            <w:vAlign w:val="center"/>
          </w:tcPr>
          <w:p w14:paraId="5FA92A49">
            <w:pPr>
              <w:adjustRightInd w:val="0"/>
              <w:snapToGrid w:val="0"/>
              <w:jc w:val="center"/>
              <w:rPr>
                <w:rFonts w:ascii="宋体" w:hAnsi="宋体"/>
                <w:sz w:val="18"/>
                <w:szCs w:val="18"/>
              </w:rPr>
            </w:pPr>
            <w:r>
              <w:rPr>
                <w:rFonts w:ascii="宋体" w:hAnsi="宋体"/>
                <w:bCs/>
                <w:sz w:val="18"/>
                <w:szCs w:val="18"/>
              </w:rPr>
              <w:t>评定内容</w:t>
            </w:r>
          </w:p>
        </w:tc>
        <w:tc>
          <w:tcPr>
            <w:tcW w:w="735" w:type="dxa"/>
            <w:tcBorders>
              <w:top w:val="single" w:color="auto" w:sz="8" w:space="0"/>
              <w:bottom w:val="single" w:color="auto" w:sz="8" w:space="0"/>
            </w:tcBorders>
            <w:noWrap w:val="0"/>
            <w:vAlign w:val="center"/>
          </w:tcPr>
          <w:p w14:paraId="6D4761EA">
            <w:pPr>
              <w:adjustRightInd w:val="0"/>
              <w:snapToGrid w:val="0"/>
              <w:jc w:val="center"/>
              <w:rPr>
                <w:rFonts w:ascii="宋体"/>
                <w:sz w:val="18"/>
                <w:szCs w:val="18"/>
              </w:rPr>
            </w:pPr>
            <w:r>
              <w:rPr>
                <w:rFonts w:ascii="宋体"/>
                <w:bCs/>
                <w:sz w:val="18"/>
                <w:szCs w:val="18"/>
              </w:rPr>
              <w:t>评定要素分值</w:t>
            </w:r>
          </w:p>
        </w:tc>
        <w:tc>
          <w:tcPr>
            <w:tcW w:w="735" w:type="dxa"/>
            <w:tcBorders>
              <w:top w:val="single" w:color="auto" w:sz="8" w:space="0"/>
              <w:bottom w:val="single" w:color="auto" w:sz="8" w:space="0"/>
            </w:tcBorders>
            <w:noWrap w:val="0"/>
            <w:vAlign w:val="center"/>
          </w:tcPr>
          <w:p w14:paraId="0FC162E9">
            <w:pPr>
              <w:adjustRightInd w:val="0"/>
              <w:snapToGrid w:val="0"/>
              <w:jc w:val="center"/>
              <w:rPr>
                <w:rFonts w:ascii="宋体"/>
                <w:sz w:val="18"/>
                <w:szCs w:val="18"/>
              </w:rPr>
            </w:pPr>
            <w:r>
              <w:rPr>
                <w:rFonts w:ascii="宋体"/>
                <w:bCs/>
                <w:sz w:val="18"/>
                <w:szCs w:val="18"/>
              </w:rPr>
              <w:t>评定细项分值</w:t>
            </w:r>
          </w:p>
        </w:tc>
        <w:tc>
          <w:tcPr>
            <w:tcW w:w="630" w:type="dxa"/>
            <w:tcBorders>
              <w:top w:val="single" w:color="auto" w:sz="8" w:space="0"/>
              <w:bottom w:val="single" w:color="auto" w:sz="8" w:space="0"/>
            </w:tcBorders>
            <w:noWrap w:val="0"/>
            <w:vAlign w:val="center"/>
          </w:tcPr>
          <w:p w14:paraId="298CF904">
            <w:pPr>
              <w:adjustRightInd w:val="0"/>
              <w:snapToGrid w:val="0"/>
              <w:jc w:val="center"/>
              <w:rPr>
                <w:rFonts w:ascii="宋体"/>
                <w:sz w:val="18"/>
                <w:szCs w:val="18"/>
              </w:rPr>
            </w:pPr>
            <w:r>
              <w:rPr>
                <w:rFonts w:ascii="宋体"/>
                <w:bCs/>
                <w:sz w:val="18"/>
                <w:szCs w:val="18"/>
              </w:rPr>
              <w:t>评定条款分值</w:t>
            </w:r>
          </w:p>
        </w:tc>
        <w:tc>
          <w:tcPr>
            <w:tcW w:w="4305" w:type="dxa"/>
            <w:tcBorders>
              <w:top w:val="single" w:color="auto" w:sz="8" w:space="0"/>
              <w:bottom w:val="single" w:color="auto" w:sz="8" w:space="0"/>
            </w:tcBorders>
            <w:noWrap w:val="0"/>
            <w:vAlign w:val="center"/>
          </w:tcPr>
          <w:p w14:paraId="0CBCC3F3">
            <w:pPr>
              <w:adjustRightInd w:val="0"/>
              <w:snapToGrid w:val="0"/>
              <w:jc w:val="center"/>
              <w:rPr>
                <w:rFonts w:ascii="宋体"/>
                <w:sz w:val="18"/>
                <w:szCs w:val="18"/>
              </w:rPr>
            </w:pPr>
            <w:r>
              <w:rPr>
                <w:rFonts w:ascii="宋体"/>
                <w:bCs/>
                <w:sz w:val="18"/>
                <w:szCs w:val="18"/>
              </w:rPr>
              <w:t>评分标准</w:t>
            </w:r>
          </w:p>
        </w:tc>
        <w:tc>
          <w:tcPr>
            <w:tcW w:w="735" w:type="dxa"/>
            <w:tcBorders>
              <w:top w:val="single" w:color="auto" w:sz="8" w:space="0"/>
              <w:bottom w:val="single" w:color="auto" w:sz="8" w:space="0"/>
            </w:tcBorders>
            <w:noWrap w:val="0"/>
            <w:vAlign w:val="center"/>
          </w:tcPr>
          <w:p w14:paraId="6536CF01">
            <w:pPr>
              <w:adjustRightInd w:val="0"/>
              <w:snapToGrid w:val="0"/>
              <w:jc w:val="center"/>
              <w:rPr>
                <w:rFonts w:ascii="宋体" w:hAnsi="宋体"/>
                <w:sz w:val="18"/>
                <w:szCs w:val="18"/>
              </w:rPr>
            </w:pPr>
            <w:r>
              <w:rPr>
                <w:rFonts w:ascii="宋体" w:hAnsi="宋体"/>
                <w:bCs/>
                <w:sz w:val="18"/>
                <w:szCs w:val="18"/>
              </w:rPr>
              <w:t>评定得分</w:t>
            </w:r>
          </w:p>
        </w:tc>
        <w:tc>
          <w:tcPr>
            <w:tcW w:w="756" w:type="dxa"/>
            <w:tcBorders>
              <w:top w:val="single" w:color="auto" w:sz="8" w:space="0"/>
              <w:bottom w:val="single" w:color="auto" w:sz="8" w:space="0"/>
            </w:tcBorders>
            <w:noWrap w:val="0"/>
            <w:vAlign w:val="center"/>
          </w:tcPr>
          <w:p w14:paraId="447048C1">
            <w:pPr>
              <w:adjustRightInd w:val="0"/>
              <w:snapToGrid w:val="0"/>
              <w:jc w:val="center"/>
              <w:rPr>
                <w:rFonts w:hint="eastAsia" w:ascii="宋体" w:hAnsi="宋体"/>
                <w:bCs/>
                <w:sz w:val="18"/>
                <w:szCs w:val="18"/>
              </w:rPr>
            </w:pPr>
            <w:r>
              <w:rPr>
                <w:rFonts w:ascii="宋体" w:hAnsi="宋体"/>
                <w:bCs/>
                <w:sz w:val="18"/>
                <w:szCs w:val="18"/>
              </w:rPr>
              <w:t>扣分</w:t>
            </w:r>
          </w:p>
          <w:p w14:paraId="40B37B43">
            <w:pPr>
              <w:adjustRightInd w:val="0"/>
              <w:snapToGrid w:val="0"/>
              <w:jc w:val="center"/>
              <w:rPr>
                <w:rFonts w:ascii="宋体" w:hAnsi="宋体"/>
                <w:sz w:val="18"/>
                <w:szCs w:val="18"/>
              </w:rPr>
            </w:pPr>
            <w:r>
              <w:rPr>
                <w:rFonts w:ascii="宋体" w:hAnsi="宋体"/>
                <w:bCs/>
                <w:sz w:val="18"/>
                <w:szCs w:val="18"/>
              </w:rPr>
              <w:t>说明</w:t>
            </w:r>
          </w:p>
        </w:tc>
        <w:tc>
          <w:tcPr>
            <w:tcW w:w="1029" w:type="dxa"/>
            <w:tcBorders>
              <w:top w:val="single" w:color="auto" w:sz="8" w:space="0"/>
              <w:bottom w:val="single" w:color="auto" w:sz="8" w:space="0"/>
            </w:tcBorders>
            <w:noWrap w:val="0"/>
            <w:vAlign w:val="center"/>
          </w:tcPr>
          <w:p w14:paraId="224F19B1">
            <w:pPr>
              <w:adjustRightInd w:val="0"/>
              <w:snapToGrid w:val="0"/>
              <w:jc w:val="center"/>
              <w:rPr>
                <w:rFonts w:ascii="宋体" w:hAnsi="宋体"/>
                <w:sz w:val="18"/>
                <w:szCs w:val="18"/>
              </w:rPr>
            </w:pPr>
            <w:r>
              <w:rPr>
                <w:rFonts w:ascii="宋体" w:hAnsi="宋体"/>
                <w:bCs/>
                <w:sz w:val="18"/>
                <w:szCs w:val="18"/>
              </w:rPr>
              <w:t>对应条款编号</w:t>
            </w:r>
          </w:p>
        </w:tc>
      </w:tr>
      <w:tr w14:paraId="4BD8A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 w:type="dxa"/>
            <w:tcBorders>
              <w:top w:val="single" w:color="auto" w:sz="8" w:space="0"/>
              <w:bottom w:val="single" w:color="auto" w:sz="8" w:space="0"/>
            </w:tcBorders>
            <w:noWrap w:val="0"/>
            <w:vAlign w:val="center"/>
          </w:tcPr>
          <w:p w14:paraId="12078D73">
            <w:pPr>
              <w:adjustRightInd w:val="0"/>
              <w:snapToGrid w:val="0"/>
              <w:jc w:val="center"/>
              <w:rPr>
                <w:rFonts w:ascii="宋体"/>
                <w:sz w:val="18"/>
              </w:rPr>
            </w:pPr>
            <w:r>
              <w:rPr>
                <w:rFonts w:hint="eastAsia" w:ascii="宋体"/>
                <w:sz w:val="18"/>
              </w:rPr>
              <w:t>1.2</w:t>
            </w:r>
          </w:p>
        </w:tc>
        <w:tc>
          <w:tcPr>
            <w:tcW w:w="5460" w:type="dxa"/>
            <w:tcBorders>
              <w:top w:val="single" w:color="auto" w:sz="8" w:space="0"/>
              <w:bottom w:val="single" w:color="auto" w:sz="8" w:space="0"/>
            </w:tcBorders>
            <w:noWrap w:val="0"/>
            <w:vAlign w:val="center"/>
          </w:tcPr>
          <w:p w14:paraId="247637C4">
            <w:pPr>
              <w:adjustRightInd w:val="0"/>
              <w:snapToGrid w:val="0"/>
              <w:rPr>
                <w:rFonts w:ascii="宋体"/>
                <w:sz w:val="18"/>
              </w:rPr>
            </w:pPr>
            <w:r>
              <w:rPr>
                <w:rFonts w:hint="eastAsia" w:ascii="宋体"/>
                <w:sz w:val="18"/>
              </w:rPr>
              <w:t>安全生产规章制度</w:t>
            </w:r>
          </w:p>
        </w:tc>
        <w:tc>
          <w:tcPr>
            <w:tcW w:w="735" w:type="dxa"/>
            <w:tcBorders>
              <w:top w:val="single" w:color="auto" w:sz="8" w:space="0"/>
              <w:bottom w:val="single" w:color="auto" w:sz="8" w:space="0"/>
            </w:tcBorders>
            <w:noWrap w:val="0"/>
            <w:vAlign w:val="center"/>
          </w:tcPr>
          <w:p w14:paraId="0F098292">
            <w:pPr>
              <w:adjustRightInd w:val="0"/>
              <w:snapToGrid w:val="0"/>
              <w:jc w:val="center"/>
              <w:rPr>
                <w:rFonts w:ascii="宋体"/>
                <w:sz w:val="18"/>
              </w:rPr>
            </w:pPr>
            <w:r>
              <w:rPr>
                <w:rFonts w:hint="eastAsia" w:ascii="宋体"/>
                <w:sz w:val="18"/>
              </w:rPr>
              <w:t>40</w:t>
            </w:r>
          </w:p>
        </w:tc>
        <w:tc>
          <w:tcPr>
            <w:tcW w:w="735" w:type="dxa"/>
            <w:tcBorders>
              <w:top w:val="single" w:color="auto" w:sz="8" w:space="0"/>
              <w:bottom w:val="single" w:color="auto" w:sz="8" w:space="0"/>
            </w:tcBorders>
            <w:noWrap w:val="0"/>
            <w:vAlign w:val="center"/>
          </w:tcPr>
          <w:p w14:paraId="5E12CBC7">
            <w:pPr>
              <w:adjustRightInd w:val="0"/>
              <w:snapToGrid w:val="0"/>
              <w:jc w:val="center"/>
              <w:rPr>
                <w:rFonts w:ascii="宋体"/>
                <w:sz w:val="18"/>
              </w:rPr>
            </w:pPr>
          </w:p>
        </w:tc>
        <w:tc>
          <w:tcPr>
            <w:tcW w:w="630" w:type="dxa"/>
            <w:tcBorders>
              <w:top w:val="single" w:color="auto" w:sz="8" w:space="0"/>
              <w:bottom w:val="single" w:color="auto" w:sz="8" w:space="0"/>
            </w:tcBorders>
            <w:noWrap w:val="0"/>
            <w:vAlign w:val="center"/>
          </w:tcPr>
          <w:p w14:paraId="0C53BD55">
            <w:pPr>
              <w:adjustRightInd w:val="0"/>
              <w:snapToGrid w:val="0"/>
              <w:jc w:val="center"/>
              <w:rPr>
                <w:rFonts w:ascii="宋体"/>
                <w:sz w:val="18"/>
              </w:rPr>
            </w:pPr>
          </w:p>
        </w:tc>
        <w:tc>
          <w:tcPr>
            <w:tcW w:w="4305" w:type="dxa"/>
            <w:tcBorders>
              <w:top w:val="single" w:color="auto" w:sz="8" w:space="0"/>
              <w:bottom w:val="single" w:color="auto" w:sz="8" w:space="0"/>
            </w:tcBorders>
            <w:noWrap w:val="0"/>
            <w:vAlign w:val="top"/>
          </w:tcPr>
          <w:p w14:paraId="672F10C1">
            <w:pPr>
              <w:adjustRightInd w:val="0"/>
              <w:snapToGrid w:val="0"/>
              <w:rPr>
                <w:rFonts w:ascii="宋体"/>
                <w:sz w:val="18"/>
              </w:rPr>
            </w:pPr>
          </w:p>
        </w:tc>
        <w:tc>
          <w:tcPr>
            <w:tcW w:w="735" w:type="dxa"/>
            <w:tcBorders>
              <w:top w:val="single" w:color="auto" w:sz="8" w:space="0"/>
              <w:bottom w:val="single" w:color="auto" w:sz="8" w:space="0"/>
            </w:tcBorders>
            <w:noWrap w:val="0"/>
            <w:vAlign w:val="top"/>
          </w:tcPr>
          <w:p w14:paraId="66D4FCDD">
            <w:pPr>
              <w:adjustRightInd w:val="0"/>
              <w:snapToGrid w:val="0"/>
              <w:rPr>
                <w:rFonts w:ascii="宋体"/>
                <w:sz w:val="18"/>
              </w:rPr>
            </w:pPr>
          </w:p>
        </w:tc>
        <w:tc>
          <w:tcPr>
            <w:tcW w:w="756" w:type="dxa"/>
            <w:tcBorders>
              <w:top w:val="single" w:color="auto" w:sz="8" w:space="0"/>
              <w:bottom w:val="single" w:color="auto" w:sz="8" w:space="0"/>
            </w:tcBorders>
            <w:noWrap w:val="0"/>
            <w:vAlign w:val="top"/>
          </w:tcPr>
          <w:p w14:paraId="1A3337E8">
            <w:pPr>
              <w:adjustRightInd w:val="0"/>
              <w:snapToGrid w:val="0"/>
              <w:rPr>
                <w:rFonts w:ascii="宋体"/>
                <w:sz w:val="18"/>
              </w:rPr>
            </w:pPr>
          </w:p>
        </w:tc>
        <w:tc>
          <w:tcPr>
            <w:tcW w:w="1029" w:type="dxa"/>
            <w:tcBorders>
              <w:top w:val="single" w:color="auto" w:sz="8" w:space="0"/>
              <w:bottom w:val="single" w:color="auto" w:sz="8" w:space="0"/>
            </w:tcBorders>
            <w:noWrap w:val="0"/>
            <w:vAlign w:val="center"/>
          </w:tcPr>
          <w:p w14:paraId="1C0D7720">
            <w:pPr>
              <w:jc w:val="center"/>
            </w:pPr>
            <w:r>
              <w:rPr>
                <w:rFonts w:hint="eastAsia" w:ascii="宋体" w:hAnsi="宋体"/>
                <w:bCs/>
                <w:sz w:val="18"/>
                <w:szCs w:val="18"/>
                <w:lang w:eastAsia="zh-CN"/>
              </w:rPr>
              <w:t>4.</w:t>
            </w:r>
            <w:r>
              <w:rPr>
                <w:rFonts w:hint="eastAsia" w:ascii="宋体" w:hAnsi="宋体"/>
                <w:bCs/>
                <w:sz w:val="18"/>
                <w:szCs w:val="18"/>
              </w:rPr>
              <w:t>1</w:t>
            </w:r>
          </w:p>
        </w:tc>
      </w:tr>
      <w:tr w14:paraId="7DB31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48" w:type="dxa"/>
            <w:tcBorders>
              <w:top w:val="single" w:color="auto" w:sz="8" w:space="0"/>
              <w:bottom w:val="single" w:color="auto" w:sz="8" w:space="0"/>
            </w:tcBorders>
            <w:noWrap w:val="0"/>
            <w:vAlign w:val="center"/>
          </w:tcPr>
          <w:p w14:paraId="63A3D58B">
            <w:pPr>
              <w:adjustRightInd w:val="0"/>
              <w:snapToGrid w:val="0"/>
              <w:jc w:val="center"/>
              <w:rPr>
                <w:rFonts w:hint="default" w:ascii="宋体" w:eastAsia="宋体"/>
                <w:sz w:val="18"/>
                <w:lang w:val="en-US" w:eastAsia="zh-CN"/>
              </w:rPr>
            </w:pPr>
            <w:r>
              <w:rPr>
                <w:rFonts w:hint="eastAsia" w:ascii="宋体"/>
                <w:sz w:val="18"/>
                <w:lang w:val="en-US" w:eastAsia="zh-CN"/>
              </w:rPr>
              <w:t>1.2.1</w:t>
            </w:r>
          </w:p>
        </w:tc>
        <w:tc>
          <w:tcPr>
            <w:tcW w:w="5460" w:type="dxa"/>
            <w:tcBorders>
              <w:top w:val="single" w:color="auto" w:sz="8" w:space="0"/>
              <w:bottom w:val="single" w:color="auto" w:sz="8" w:space="0"/>
            </w:tcBorders>
            <w:noWrap w:val="0"/>
            <w:vAlign w:val="center"/>
          </w:tcPr>
          <w:p w14:paraId="390B2E8A">
            <w:pPr>
              <w:pStyle w:val="186"/>
              <w:numPr>
                <w:ilvl w:val="0"/>
                <w:numId w:val="0"/>
              </w:numPr>
              <w:adjustRightInd/>
              <w:snapToGrid w:val="0"/>
              <w:rPr>
                <w:rFonts w:hint="eastAsia" w:hAnsi="宋体"/>
                <w:sz w:val="18"/>
                <w:szCs w:val="18"/>
              </w:rPr>
            </w:pPr>
            <w:r>
              <w:rPr>
                <w:rFonts w:hint="eastAsia" w:hAnsi="宋体"/>
                <w:sz w:val="18"/>
                <w:szCs w:val="18"/>
              </w:rPr>
              <w:t>应结合实际情况，建立、健全安全生产规章制度，应包括下列内容：</w:t>
            </w:r>
          </w:p>
          <w:p w14:paraId="735FC2A4">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安全生产教育和培训：规定组织实施的部门及职责分工，培训目的、计划、形式、内容、学时及培训档案等要求；</w:t>
            </w:r>
          </w:p>
          <w:p w14:paraId="7B29DA41">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安全风险分级管控：规定组织实施的部门及职责分工，风险辨识评估的范围、内容、方法和周期，分级管控的过程管理及档案，安全风险公告等要求；</w:t>
            </w:r>
          </w:p>
          <w:p w14:paraId="0EE6FDC0">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lang w:val="en-US" w:eastAsia="zh-CN"/>
              </w:rPr>
              <w:t>安全检查和</w:t>
            </w:r>
            <w:r>
              <w:rPr>
                <w:rFonts w:hint="eastAsia" w:ascii="宋体" w:hAnsi="宋体"/>
                <w:sz w:val="18"/>
                <w:szCs w:val="18"/>
              </w:rPr>
              <w:t>事故隐患排查治理：规定组织实施的部门及职责分工，</w:t>
            </w:r>
            <w:r>
              <w:rPr>
                <w:rFonts w:hint="eastAsia" w:ascii="宋体" w:hAnsi="宋体" w:eastAsia="宋体" w:cs="Times New Roman"/>
                <w:sz w:val="18"/>
                <w:szCs w:val="18"/>
                <w:lang w:val="en-US" w:eastAsia="zh-CN"/>
              </w:rPr>
              <w:t>安全检查和隐患</w:t>
            </w:r>
            <w:r>
              <w:rPr>
                <w:rFonts w:hint="eastAsia" w:ascii="宋体" w:hAnsi="宋体"/>
                <w:sz w:val="18"/>
                <w:szCs w:val="18"/>
              </w:rPr>
              <w:t>排查范围、内容、方法和周期，事故隐患的登记、报告、监控、治理、验收各环节过程管理及档案等要求；</w:t>
            </w:r>
          </w:p>
          <w:p w14:paraId="1C8DA6E2">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劳动防护用品配备和管理：规定组织实施的部门及职责分工，劳动保护用品选择、采购、发放、使用、维护、更换、报废及台账记录等要求；</w:t>
            </w:r>
          </w:p>
          <w:p w14:paraId="43D23215">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安全生产奖励和惩罚：规定组织实施的部门及职责分工，考核方法、内容及奖惩档案等要求；</w:t>
            </w:r>
          </w:p>
          <w:p w14:paraId="305C751E">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事件事故管理：规定组织实施部门及职责分工，事件事故报告程序、时限、内容，调查处理流程及档案等要求；</w:t>
            </w:r>
          </w:p>
          <w:p w14:paraId="4D26522E">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具有较大危险因素的生产经营场所、设备和设施的安全管理：规定责任部门及职责分工，危险源范围、防范措施及人员行为等要求</w:t>
            </w:r>
            <w:r>
              <w:rPr>
                <w:rFonts w:hint="eastAsia" w:ascii="宋体" w:hAnsi="宋体"/>
                <w:sz w:val="18"/>
                <w:szCs w:val="18"/>
                <w:lang w:eastAsia="zh-CN"/>
              </w:rPr>
              <w:t>，可制定专项管理制度</w:t>
            </w:r>
            <w:r>
              <w:rPr>
                <w:rFonts w:hint="eastAsia" w:ascii="宋体" w:hAnsi="宋体"/>
                <w:sz w:val="18"/>
                <w:szCs w:val="18"/>
              </w:rPr>
              <w:t>；</w:t>
            </w:r>
          </w:p>
          <w:p w14:paraId="6A7C3540">
            <w:pPr>
              <w:numPr>
                <w:ilvl w:val="0"/>
                <w:numId w:val="45"/>
              </w:numPr>
              <w:adjustRightInd/>
              <w:snapToGrid w:val="0"/>
              <w:spacing w:beforeLines="0" w:afterLines="0"/>
              <w:rPr>
                <w:rFonts w:hint="eastAsia" w:ascii="宋体" w:hAnsi="宋体"/>
                <w:sz w:val="18"/>
                <w:szCs w:val="18"/>
              </w:rPr>
            </w:pPr>
            <w:r>
              <w:rPr>
                <w:rFonts w:hint="eastAsia" w:ascii="宋体" w:hAnsi="宋体"/>
                <w:sz w:val="18"/>
                <w:szCs w:val="18"/>
              </w:rPr>
              <w:t>危险作业（动火、有限空间、高处、临时用电等作业）管理：规定责任部门及职责分工，审批程序、防范措施及记录等要求；</w:t>
            </w:r>
          </w:p>
          <w:p w14:paraId="725E5534">
            <w:pPr>
              <w:numPr>
                <w:ilvl w:val="0"/>
                <w:numId w:val="45"/>
              </w:numPr>
              <w:adjustRightInd/>
              <w:snapToGrid w:val="0"/>
              <w:rPr>
                <w:rFonts w:hint="eastAsia" w:ascii="宋体" w:hAnsi="宋体"/>
                <w:sz w:val="18"/>
                <w:szCs w:val="18"/>
              </w:rPr>
            </w:pPr>
            <w:r>
              <w:rPr>
                <w:rFonts w:hint="eastAsia" w:ascii="宋体" w:hAnsi="宋体"/>
                <w:sz w:val="18"/>
                <w:szCs w:val="18"/>
              </w:rPr>
              <w:t>特种作业人员和特种设备作业人员管理：规定责任部门及职责分工，培训、取证、复审、证书保管及档案等要求；</w:t>
            </w:r>
          </w:p>
          <w:p w14:paraId="3A611DBF">
            <w:pPr>
              <w:numPr>
                <w:ilvl w:val="0"/>
                <w:numId w:val="45"/>
              </w:numPr>
              <w:adjustRightInd/>
              <w:snapToGrid w:val="0"/>
              <w:spacing w:beforeLines="0" w:afterLines="0"/>
              <w:rPr>
                <w:rFonts w:hint="eastAsia" w:ascii="宋体"/>
                <w:sz w:val="18"/>
              </w:rPr>
            </w:pPr>
            <w:r>
              <w:rPr>
                <w:rFonts w:hint="eastAsia" w:ascii="宋体" w:hAnsi="宋体"/>
                <w:sz w:val="18"/>
                <w:szCs w:val="18"/>
              </w:rPr>
              <w:t>消防设施和器材管理：规定责任部门及职责分工，消防设施和器材配备、日常维护保养及档案等要求；</w:t>
            </w:r>
          </w:p>
          <w:p w14:paraId="5412D4BE">
            <w:pPr>
              <w:numPr>
                <w:ilvl w:val="0"/>
                <w:numId w:val="45"/>
              </w:numPr>
              <w:adjustRightInd/>
              <w:snapToGrid w:val="0"/>
              <w:spacing w:beforeLines="0" w:afterLines="0"/>
              <w:rPr>
                <w:rFonts w:hint="eastAsia" w:ascii="宋体"/>
                <w:sz w:val="18"/>
              </w:rPr>
            </w:pPr>
            <w:r>
              <w:rPr>
                <w:rFonts w:hint="eastAsia" w:ascii="宋体" w:hAnsi="宋体"/>
                <w:sz w:val="18"/>
                <w:szCs w:val="18"/>
              </w:rPr>
              <w:t>设备设施</w:t>
            </w:r>
            <w:r>
              <w:rPr>
                <w:rFonts w:hint="eastAsia" w:ascii="宋体" w:hAnsi="宋体"/>
                <w:sz w:val="18"/>
                <w:szCs w:val="18"/>
                <w:lang w:eastAsia="zh-CN"/>
              </w:rPr>
              <w:t>（</w:t>
            </w:r>
            <w:r>
              <w:rPr>
                <w:rFonts w:hint="eastAsia" w:ascii="宋体" w:hAnsi="宋体"/>
                <w:sz w:val="18"/>
                <w:szCs w:val="18"/>
                <w:lang w:val="en-US" w:eastAsia="zh-CN"/>
              </w:rPr>
              <w:t>包括特种设备</w:t>
            </w:r>
            <w:r>
              <w:rPr>
                <w:rFonts w:hint="eastAsia" w:ascii="宋体" w:hAnsi="宋体"/>
                <w:sz w:val="18"/>
                <w:szCs w:val="18"/>
                <w:lang w:eastAsia="zh-CN"/>
              </w:rPr>
              <w:t>）</w:t>
            </w:r>
            <w:r>
              <w:rPr>
                <w:rFonts w:hint="eastAsia" w:ascii="宋体" w:hAnsi="宋体"/>
                <w:sz w:val="18"/>
                <w:szCs w:val="18"/>
              </w:rPr>
              <w:t>安全管理：规定责任部门及职责分工，设备设施验收、检查检测、维护保养、报废及台账档案等要求；</w:t>
            </w:r>
          </w:p>
        </w:tc>
        <w:tc>
          <w:tcPr>
            <w:tcW w:w="735" w:type="dxa"/>
            <w:tcBorders>
              <w:top w:val="single" w:color="auto" w:sz="8" w:space="0"/>
              <w:bottom w:val="single" w:color="auto" w:sz="8" w:space="0"/>
            </w:tcBorders>
            <w:noWrap w:val="0"/>
            <w:vAlign w:val="center"/>
          </w:tcPr>
          <w:p w14:paraId="449F017A">
            <w:pPr>
              <w:adjustRightInd w:val="0"/>
              <w:snapToGrid w:val="0"/>
              <w:jc w:val="center"/>
              <w:rPr>
                <w:rFonts w:hint="eastAsia" w:ascii="宋体"/>
                <w:sz w:val="18"/>
              </w:rPr>
            </w:pPr>
          </w:p>
        </w:tc>
        <w:tc>
          <w:tcPr>
            <w:tcW w:w="735" w:type="dxa"/>
            <w:tcBorders>
              <w:top w:val="single" w:color="auto" w:sz="8" w:space="0"/>
              <w:bottom w:val="single" w:color="auto" w:sz="8" w:space="0"/>
            </w:tcBorders>
            <w:noWrap w:val="0"/>
            <w:vAlign w:val="center"/>
          </w:tcPr>
          <w:p w14:paraId="6A6BD3E2">
            <w:pPr>
              <w:adjustRightInd w:val="0"/>
              <w:snapToGrid w:val="0"/>
              <w:jc w:val="center"/>
              <w:rPr>
                <w:rFonts w:ascii="宋体"/>
                <w:sz w:val="18"/>
              </w:rPr>
            </w:pPr>
          </w:p>
        </w:tc>
        <w:tc>
          <w:tcPr>
            <w:tcW w:w="630" w:type="dxa"/>
            <w:tcBorders>
              <w:top w:val="single" w:color="auto" w:sz="8" w:space="0"/>
              <w:bottom w:val="single" w:color="auto" w:sz="8" w:space="0"/>
            </w:tcBorders>
            <w:noWrap w:val="0"/>
            <w:vAlign w:val="center"/>
          </w:tcPr>
          <w:p w14:paraId="269210A8">
            <w:pPr>
              <w:adjustRightInd w:val="0"/>
              <w:snapToGrid w:val="0"/>
              <w:jc w:val="center"/>
              <w:rPr>
                <w:rFonts w:ascii="宋体" w:hAnsi="Times New Roman" w:eastAsia="宋体" w:cs="Times New Roman"/>
                <w:kern w:val="2"/>
                <w:sz w:val="18"/>
                <w:szCs w:val="24"/>
                <w:lang w:val="en-US" w:eastAsia="zh-CN" w:bidi="ar-SA"/>
              </w:rPr>
            </w:pPr>
            <w:r>
              <w:rPr>
                <w:rFonts w:hint="eastAsia" w:ascii="宋体"/>
                <w:sz w:val="18"/>
              </w:rPr>
              <w:t>25</w:t>
            </w:r>
          </w:p>
        </w:tc>
        <w:tc>
          <w:tcPr>
            <w:tcW w:w="4305" w:type="dxa"/>
            <w:tcBorders>
              <w:top w:val="single" w:color="auto" w:sz="8" w:space="0"/>
              <w:bottom w:val="single" w:color="auto" w:sz="8" w:space="0"/>
            </w:tcBorders>
            <w:noWrap w:val="0"/>
            <w:vAlign w:val="center"/>
          </w:tcPr>
          <w:p w14:paraId="5DDF024D">
            <w:pPr>
              <w:adjustRightInd w:val="0"/>
              <w:snapToGrid w:val="0"/>
              <w:rPr>
                <w:rFonts w:ascii="宋体"/>
                <w:sz w:val="18"/>
                <w:szCs w:val="18"/>
              </w:rPr>
            </w:pPr>
            <w:r>
              <w:rPr>
                <w:rFonts w:hint="eastAsia" w:ascii="宋体"/>
                <w:sz w:val="18"/>
                <w:szCs w:val="18"/>
              </w:rPr>
              <w:t>1）</w:t>
            </w:r>
            <w:r>
              <w:rPr>
                <w:rFonts w:ascii="宋体"/>
                <w:sz w:val="18"/>
                <w:szCs w:val="18"/>
              </w:rPr>
              <w:t>一</w:t>
            </w:r>
            <w:r>
              <w:rPr>
                <w:rFonts w:hint="eastAsia" w:ascii="宋体" w:hAnsi="宋体"/>
                <w:sz w:val="18"/>
                <w:szCs w:val="18"/>
              </w:rPr>
              <w:t>处</w:t>
            </w:r>
            <w:r>
              <w:rPr>
                <w:rFonts w:ascii="宋体"/>
                <w:sz w:val="18"/>
                <w:szCs w:val="18"/>
              </w:rPr>
              <w:t>规章制度中未包含上述内容的（如不涉及相关内容，可没有相关内容），扣</w:t>
            </w:r>
            <w:r>
              <w:rPr>
                <w:rFonts w:hint="eastAsia" w:ascii="宋体"/>
                <w:sz w:val="18"/>
                <w:szCs w:val="18"/>
              </w:rPr>
              <w:t>5分</w:t>
            </w:r>
            <w:r>
              <w:rPr>
                <w:rFonts w:ascii="宋体"/>
                <w:sz w:val="18"/>
                <w:szCs w:val="18"/>
              </w:rPr>
              <w:t>；</w:t>
            </w:r>
          </w:p>
          <w:p w14:paraId="2C161205">
            <w:pPr>
              <w:adjustRightInd w:val="0"/>
              <w:snapToGrid w:val="0"/>
              <w:rPr>
                <w:rFonts w:ascii="宋体"/>
                <w:sz w:val="18"/>
                <w:szCs w:val="18"/>
              </w:rPr>
            </w:pPr>
            <w:r>
              <w:rPr>
                <w:rFonts w:ascii="宋体"/>
                <w:sz w:val="18"/>
                <w:szCs w:val="18"/>
              </w:rPr>
              <w:t>2</w:t>
            </w:r>
            <w:r>
              <w:rPr>
                <w:rFonts w:hint="eastAsia" w:ascii="宋体"/>
                <w:sz w:val="18"/>
                <w:szCs w:val="18"/>
              </w:rPr>
              <w:t>）</w:t>
            </w:r>
            <w:r>
              <w:rPr>
                <w:rFonts w:hint="eastAsia" w:ascii="宋体"/>
                <w:sz w:val="18"/>
              </w:rPr>
              <w:t>一</w:t>
            </w:r>
            <w:r>
              <w:rPr>
                <w:rFonts w:hint="eastAsia" w:ascii="宋体" w:hAnsi="宋体"/>
                <w:sz w:val="18"/>
                <w:szCs w:val="18"/>
              </w:rPr>
              <w:t>处</w:t>
            </w:r>
            <w:r>
              <w:rPr>
                <w:rFonts w:hint="eastAsia" w:ascii="宋体"/>
                <w:sz w:val="18"/>
              </w:rPr>
              <w:t>制度内容不全，或与实际不符的</w:t>
            </w:r>
            <w:r>
              <w:rPr>
                <w:rFonts w:ascii="宋体"/>
                <w:sz w:val="18"/>
                <w:szCs w:val="18"/>
              </w:rPr>
              <w:t>，扣</w:t>
            </w:r>
            <w:r>
              <w:rPr>
                <w:rFonts w:hint="eastAsia" w:ascii="宋体"/>
                <w:sz w:val="18"/>
                <w:szCs w:val="18"/>
              </w:rPr>
              <w:t>3</w:t>
            </w:r>
            <w:r>
              <w:rPr>
                <w:rFonts w:ascii="宋体"/>
                <w:sz w:val="18"/>
                <w:szCs w:val="18"/>
              </w:rPr>
              <w:t>分</w:t>
            </w:r>
            <w:r>
              <w:rPr>
                <w:rFonts w:hint="eastAsia" w:ascii="宋体"/>
                <w:sz w:val="18"/>
                <w:szCs w:val="18"/>
              </w:rPr>
              <w:t>；</w:t>
            </w:r>
          </w:p>
          <w:p w14:paraId="521254B0">
            <w:pPr>
              <w:adjustRightInd w:val="0"/>
              <w:snapToGrid w:val="0"/>
              <w:rPr>
                <w:rFonts w:ascii="宋体" w:hAnsi="Times New Roman" w:eastAsia="宋体" w:cs="Times New Roman"/>
                <w:kern w:val="2"/>
                <w:sz w:val="18"/>
                <w:szCs w:val="24"/>
                <w:lang w:val="en-US" w:eastAsia="zh-CN" w:bidi="ar-SA"/>
              </w:rPr>
            </w:pPr>
            <w:r>
              <w:rPr>
                <w:rFonts w:hint="eastAsia" w:ascii="宋体"/>
                <w:sz w:val="18"/>
                <w:szCs w:val="18"/>
              </w:rPr>
              <w:t>3）</w:t>
            </w:r>
            <w:r>
              <w:rPr>
                <w:rFonts w:hint="eastAsia" w:ascii="宋体"/>
                <w:sz w:val="18"/>
              </w:rPr>
              <w:t>一</w:t>
            </w:r>
            <w:r>
              <w:rPr>
                <w:rFonts w:hint="eastAsia" w:ascii="宋体" w:hAnsi="宋体"/>
                <w:sz w:val="18"/>
                <w:szCs w:val="18"/>
              </w:rPr>
              <w:t>处</w:t>
            </w:r>
            <w:r>
              <w:rPr>
                <w:rFonts w:hint="eastAsia" w:ascii="宋体"/>
                <w:sz w:val="18"/>
              </w:rPr>
              <w:t>制度涉及的档案记录不全，或伪造记录，或未保存三年的，扣3分</w:t>
            </w:r>
            <w:r>
              <w:rPr>
                <w:rFonts w:ascii="宋体"/>
                <w:sz w:val="18"/>
                <w:szCs w:val="18"/>
              </w:rPr>
              <w:t>。</w:t>
            </w:r>
          </w:p>
        </w:tc>
        <w:tc>
          <w:tcPr>
            <w:tcW w:w="735" w:type="dxa"/>
            <w:tcBorders>
              <w:top w:val="single" w:color="auto" w:sz="8" w:space="0"/>
              <w:bottom w:val="single" w:color="auto" w:sz="8" w:space="0"/>
            </w:tcBorders>
            <w:noWrap w:val="0"/>
            <w:vAlign w:val="top"/>
          </w:tcPr>
          <w:p w14:paraId="6B831E82">
            <w:pPr>
              <w:adjustRightInd w:val="0"/>
              <w:snapToGrid w:val="0"/>
              <w:rPr>
                <w:rFonts w:ascii="宋体" w:hAnsi="Times New Roman" w:eastAsia="宋体" w:cs="Times New Roman"/>
                <w:kern w:val="2"/>
                <w:sz w:val="18"/>
                <w:szCs w:val="24"/>
                <w:lang w:val="en-US" w:eastAsia="zh-CN" w:bidi="ar-SA"/>
              </w:rPr>
            </w:pPr>
          </w:p>
        </w:tc>
        <w:tc>
          <w:tcPr>
            <w:tcW w:w="756" w:type="dxa"/>
            <w:tcBorders>
              <w:top w:val="single" w:color="auto" w:sz="8" w:space="0"/>
              <w:bottom w:val="single" w:color="auto" w:sz="8" w:space="0"/>
            </w:tcBorders>
            <w:noWrap w:val="0"/>
            <w:vAlign w:val="top"/>
          </w:tcPr>
          <w:p w14:paraId="03E37BAA">
            <w:pPr>
              <w:adjustRightInd w:val="0"/>
              <w:snapToGrid w:val="0"/>
              <w:rPr>
                <w:rFonts w:ascii="宋体" w:hAnsi="Times New Roman" w:eastAsia="宋体" w:cs="Times New Roman"/>
                <w:kern w:val="2"/>
                <w:sz w:val="18"/>
                <w:szCs w:val="24"/>
                <w:lang w:val="en-US" w:eastAsia="zh-CN" w:bidi="ar-SA"/>
              </w:rPr>
            </w:pPr>
          </w:p>
        </w:tc>
        <w:tc>
          <w:tcPr>
            <w:tcW w:w="1029" w:type="dxa"/>
            <w:tcBorders>
              <w:top w:val="single" w:color="auto" w:sz="8" w:space="0"/>
              <w:bottom w:val="single" w:color="auto" w:sz="8" w:space="0"/>
            </w:tcBorders>
            <w:noWrap w:val="0"/>
            <w:vAlign w:val="center"/>
          </w:tcPr>
          <w:p w14:paraId="78384B1D">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bl>
    <w:p w14:paraId="0FC51C91">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2"/>
        <w:gridCol w:w="5874"/>
        <w:gridCol w:w="580"/>
        <w:gridCol w:w="605"/>
        <w:gridCol w:w="605"/>
        <w:gridCol w:w="4563"/>
        <w:gridCol w:w="605"/>
        <w:gridCol w:w="605"/>
        <w:gridCol w:w="1004"/>
      </w:tblGrid>
      <w:tr w14:paraId="03A829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3169442D">
            <w:pPr>
              <w:adjustRightInd w:val="0"/>
              <w:snapToGrid w:val="0"/>
              <w:jc w:val="center"/>
              <w:rPr>
                <w:rFonts w:ascii="宋体"/>
                <w:sz w:val="18"/>
                <w:szCs w:val="18"/>
              </w:rPr>
            </w:pPr>
            <w:r>
              <w:rPr>
                <w:rFonts w:ascii="宋体"/>
                <w:bCs/>
                <w:sz w:val="18"/>
                <w:szCs w:val="18"/>
              </w:rPr>
              <w:t>序号</w:t>
            </w:r>
          </w:p>
        </w:tc>
        <w:tc>
          <w:tcPr>
            <w:tcW w:w="5874" w:type="dxa"/>
            <w:tcBorders>
              <w:top w:val="single" w:color="auto" w:sz="8" w:space="0"/>
              <w:bottom w:val="single" w:color="auto" w:sz="8" w:space="0"/>
            </w:tcBorders>
            <w:noWrap w:val="0"/>
            <w:vAlign w:val="center"/>
          </w:tcPr>
          <w:p w14:paraId="73809AE7">
            <w:pPr>
              <w:adjustRightInd w:val="0"/>
              <w:snapToGrid w:val="0"/>
              <w:jc w:val="center"/>
              <w:rPr>
                <w:rFonts w:ascii="宋体" w:hAnsi="宋体"/>
                <w:sz w:val="18"/>
                <w:szCs w:val="18"/>
              </w:rPr>
            </w:pPr>
            <w:r>
              <w:rPr>
                <w:rFonts w:ascii="宋体" w:hAnsi="宋体"/>
                <w:bCs/>
                <w:sz w:val="18"/>
                <w:szCs w:val="18"/>
              </w:rPr>
              <w:t>评定内容</w:t>
            </w:r>
          </w:p>
        </w:tc>
        <w:tc>
          <w:tcPr>
            <w:tcW w:w="580" w:type="dxa"/>
            <w:tcBorders>
              <w:top w:val="single" w:color="auto" w:sz="8" w:space="0"/>
              <w:bottom w:val="single" w:color="auto" w:sz="8" w:space="0"/>
            </w:tcBorders>
            <w:noWrap w:val="0"/>
            <w:vAlign w:val="center"/>
          </w:tcPr>
          <w:p w14:paraId="273350AC">
            <w:pPr>
              <w:adjustRightInd w:val="0"/>
              <w:snapToGrid w:val="0"/>
              <w:jc w:val="center"/>
              <w:rPr>
                <w:rFonts w:ascii="宋体"/>
                <w:sz w:val="18"/>
                <w:szCs w:val="18"/>
              </w:rPr>
            </w:pPr>
            <w:r>
              <w:rPr>
                <w:rFonts w:ascii="宋体"/>
                <w:bCs/>
                <w:sz w:val="18"/>
                <w:szCs w:val="18"/>
              </w:rPr>
              <w:t>评定要素分值</w:t>
            </w:r>
          </w:p>
        </w:tc>
        <w:tc>
          <w:tcPr>
            <w:tcW w:w="605" w:type="dxa"/>
            <w:tcBorders>
              <w:top w:val="single" w:color="auto" w:sz="8" w:space="0"/>
              <w:bottom w:val="single" w:color="auto" w:sz="8" w:space="0"/>
            </w:tcBorders>
            <w:noWrap w:val="0"/>
            <w:vAlign w:val="center"/>
          </w:tcPr>
          <w:p w14:paraId="51434F7D">
            <w:pPr>
              <w:adjustRightInd w:val="0"/>
              <w:snapToGrid w:val="0"/>
              <w:jc w:val="center"/>
              <w:rPr>
                <w:rFonts w:ascii="宋体"/>
                <w:sz w:val="18"/>
                <w:szCs w:val="18"/>
              </w:rPr>
            </w:pPr>
            <w:r>
              <w:rPr>
                <w:rFonts w:ascii="宋体"/>
                <w:bCs/>
                <w:sz w:val="18"/>
                <w:szCs w:val="18"/>
              </w:rPr>
              <w:t>评定细项分值</w:t>
            </w:r>
          </w:p>
        </w:tc>
        <w:tc>
          <w:tcPr>
            <w:tcW w:w="605" w:type="dxa"/>
            <w:tcBorders>
              <w:top w:val="single" w:color="auto" w:sz="8" w:space="0"/>
              <w:bottom w:val="single" w:color="auto" w:sz="8" w:space="0"/>
            </w:tcBorders>
            <w:noWrap w:val="0"/>
            <w:vAlign w:val="center"/>
          </w:tcPr>
          <w:p w14:paraId="792300FB">
            <w:pPr>
              <w:adjustRightInd w:val="0"/>
              <w:snapToGrid w:val="0"/>
              <w:jc w:val="center"/>
              <w:rPr>
                <w:rFonts w:ascii="宋体"/>
                <w:sz w:val="18"/>
                <w:szCs w:val="18"/>
              </w:rPr>
            </w:pPr>
            <w:r>
              <w:rPr>
                <w:rFonts w:ascii="宋体"/>
                <w:bCs/>
                <w:sz w:val="18"/>
                <w:szCs w:val="18"/>
              </w:rPr>
              <w:t>评定条款分值</w:t>
            </w:r>
          </w:p>
        </w:tc>
        <w:tc>
          <w:tcPr>
            <w:tcW w:w="4563" w:type="dxa"/>
            <w:tcBorders>
              <w:top w:val="single" w:color="auto" w:sz="8" w:space="0"/>
              <w:bottom w:val="single" w:color="auto" w:sz="8" w:space="0"/>
            </w:tcBorders>
            <w:noWrap w:val="0"/>
            <w:vAlign w:val="center"/>
          </w:tcPr>
          <w:p w14:paraId="0BF9F522">
            <w:pPr>
              <w:adjustRightInd w:val="0"/>
              <w:snapToGrid w:val="0"/>
              <w:jc w:val="center"/>
              <w:rPr>
                <w:rFonts w:ascii="宋体"/>
                <w:sz w:val="18"/>
                <w:szCs w:val="18"/>
              </w:rPr>
            </w:pPr>
            <w:r>
              <w:rPr>
                <w:rFonts w:ascii="宋体"/>
                <w:bCs/>
                <w:sz w:val="18"/>
                <w:szCs w:val="18"/>
              </w:rPr>
              <w:t>评分标准</w:t>
            </w:r>
          </w:p>
        </w:tc>
        <w:tc>
          <w:tcPr>
            <w:tcW w:w="605" w:type="dxa"/>
            <w:tcBorders>
              <w:top w:val="single" w:color="auto" w:sz="8" w:space="0"/>
              <w:bottom w:val="single" w:color="auto" w:sz="8" w:space="0"/>
            </w:tcBorders>
            <w:noWrap w:val="0"/>
            <w:vAlign w:val="center"/>
          </w:tcPr>
          <w:p w14:paraId="3A8A6F56">
            <w:pPr>
              <w:adjustRightInd w:val="0"/>
              <w:snapToGrid w:val="0"/>
              <w:jc w:val="center"/>
              <w:rPr>
                <w:rFonts w:ascii="宋体" w:hAnsi="宋体"/>
                <w:sz w:val="18"/>
                <w:szCs w:val="18"/>
              </w:rPr>
            </w:pPr>
            <w:r>
              <w:rPr>
                <w:rFonts w:ascii="宋体" w:hAnsi="宋体"/>
                <w:bCs/>
                <w:sz w:val="18"/>
                <w:szCs w:val="18"/>
              </w:rPr>
              <w:t>评定得分</w:t>
            </w:r>
          </w:p>
        </w:tc>
        <w:tc>
          <w:tcPr>
            <w:tcW w:w="605" w:type="dxa"/>
            <w:tcBorders>
              <w:top w:val="single" w:color="auto" w:sz="8" w:space="0"/>
              <w:bottom w:val="single" w:color="auto" w:sz="8" w:space="0"/>
            </w:tcBorders>
            <w:noWrap w:val="0"/>
            <w:vAlign w:val="center"/>
          </w:tcPr>
          <w:p w14:paraId="2E8F1791">
            <w:pPr>
              <w:adjustRightInd w:val="0"/>
              <w:snapToGrid w:val="0"/>
              <w:jc w:val="center"/>
              <w:rPr>
                <w:rFonts w:ascii="宋体" w:hAnsi="宋体"/>
                <w:sz w:val="18"/>
                <w:szCs w:val="18"/>
              </w:rPr>
            </w:pPr>
            <w:r>
              <w:rPr>
                <w:rFonts w:ascii="宋体" w:hAnsi="宋体"/>
                <w:bCs/>
                <w:sz w:val="18"/>
                <w:szCs w:val="18"/>
              </w:rPr>
              <w:t>扣分说明</w:t>
            </w:r>
          </w:p>
        </w:tc>
        <w:tc>
          <w:tcPr>
            <w:tcW w:w="1004" w:type="dxa"/>
            <w:tcBorders>
              <w:top w:val="single" w:color="auto" w:sz="8" w:space="0"/>
              <w:bottom w:val="single" w:color="auto" w:sz="8" w:space="0"/>
            </w:tcBorders>
            <w:noWrap w:val="0"/>
            <w:vAlign w:val="center"/>
          </w:tcPr>
          <w:p w14:paraId="6FF69535">
            <w:pPr>
              <w:adjustRightInd w:val="0"/>
              <w:snapToGrid w:val="0"/>
              <w:jc w:val="center"/>
              <w:rPr>
                <w:rFonts w:ascii="宋体" w:hAnsi="宋体"/>
                <w:sz w:val="18"/>
                <w:szCs w:val="18"/>
              </w:rPr>
            </w:pPr>
            <w:r>
              <w:rPr>
                <w:rFonts w:ascii="宋体" w:hAnsi="宋体"/>
                <w:bCs/>
                <w:sz w:val="18"/>
                <w:szCs w:val="18"/>
              </w:rPr>
              <w:t>对应条款编号</w:t>
            </w:r>
          </w:p>
        </w:tc>
      </w:tr>
      <w:tr w14:paraId="71D35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2C36F8DA">
            <w:pPr>
              <w:adjustRightInd w:val="0"/>
              <w:snapToGrid w:val="0"/>
              <w:rPr>
                <w:rFonts w:ascii="宋体"/>
                <w:sz w:val="18"/>
              </w:rPr>
            </w:pPr>
          </w:p>
        </w:tc>
        <w:tc>
          <w:tcPr>
            <w:tcW w:w="5874" w:type="dxa"/>
            <w:tcBorders>
              <w:top w:val="single" w:color="auto" w:sz="8" w:space="0"/>
              <w:bottom w:val="single" w:color="auto" w:sz="8" w:space="0"/>
            </w:tcBorders>
            <w:noWrap w:val="0"/>
            <w:vAlign w:val="center"/>
          </w:tcPr>
          <w:p w14:paraId="66A2199A">
            <w:pPr>
              <w:numPr>
                <w:ilvl w:val="0"/>
                <w:numId w:val="45"/>
              </w:numPr>
              <w:adjustRightInd/>
              <w:snapToGrid w:val="0"/>
              <w:rPr>
                <w:rFonts w:hint="eastAsia" w:ascii="宋体" w:hAnsi="宋体"/>
                <w:sz w:val="18"/>
                <w:szCs w:val="18"/>
              </w:rPr>
            </w:pPr>
            <w:r>
              <w:rPr>
                <w:rFonts w:hint="eastAsia" w:ascii="宋体" w:hAnsi="宋体"/>
                <w:sz w:val="18"/>
                <w:szCs w:val="18"/>
              </w:rPr>
              <w:t>相关方（供应商和承包商）安全管理：规定责任部门及职责分工，准入条件、监督指导、评价考核等要求；</w:t>
            </w:r>
          </w:p>
          <w:p w14:paraId="710A529F">
            <w:pPr>
              <w:numPr>
                <w:ilvl w:val="0"/>
                <w:numId w:val="45"/>
              </w:numPr>
              <w:adjustRightInd/>
              <w:snapToGrid w:val="0"/>
              <w:rPr>
                <w:rFonts w:hint="eastAsia" w:ascii="宋体" w:hAnsi="宋体"/>
                <w:kern w:val="2"/>
                <w:sz w:val="18"/>
                <w:szCs w:val="18"/>
              </w:rPr>
            </w:pPr>
            <w:r>
              <w:rPr>
                <w:rFonts w:hint="eastAsia" w:ascii="宋体" w:hAnsi="宋体"/>
                <w:kern w:val="2"/>
                <w:sz w:val="18"/>
                <w:szCs w:val="18"/>
              </w:rPr>
              <w:t>安全投入保障：规定责任部门及职责分工，经费提取</w:t>
            </w:r>
            <w:r>
              <w:rPr>
                <w:rFonts w:hint="eastAsia" w:ascii="Times New Roman" w:hAnsi="宋体"/>
                <w:kern w:val="2"/>
                <w:sz w:val="18"/>
                <w:szCs w:val="18"/>
                <w:lang w:val="en-US" w:eastAsia="zh-CN"/>
              </w:rPr>
              <w:t>或预算</w:t>
            </w:r>
            <w:r>
              <w:rPr>
                <w:rFonts w:hint="eastAsia" w:ascii="Times New Roman" w:hAnsi="宋体"/>
                <w:kern w:val="2"/>
                <w:sz w:val="18"/>
                <w:szCs w:val="18"/>
              </w:rPr>
              <w:t>、</w:t>
            </w:r>
            <w:r>
              <w:rPr>
                <w:rFonts w:hint="eastAsia" w:ascii="Times New Roman" w:hAnsi="宋体"/>
                <w:kern w:val="2"/>
                <w:sz w:val="18"/>
                <w:szCs w:val="18"/>
                <w:lang w:val="en-US" w:eastAsia="zh-CN"/>
              </w:rPr>
              <w:t>使用</w:t>
            </w:r>
            <w:r>
              <w:rPr>
                <w:rFonts w:hint="eastAsia" w:ascii="Times New Roman" w:hAnsi="宋体"/>
                <w:kern w:val="2"/>
                <w:sz w:val="18"/>
                <w:szCs w:val="18"/>
              </w:rPr>
              <w:t>、</w:t>
            </w:r>
            <w:r>
              <w:rPr>
                <w:rFonts w:hint="eastAsia" w:ascii="Times New Roman" w:hAnsi="宋体"/>
                <w:kern w:val="2"/>
                <w:sz w:val="18"/>
                <w:szCs w:val="18"/>
                <w:lang w:val="en-US" w:eastAsia="zh-CN"/>
              </w:rPr>
              <w:t>监督</w:t>
            </w:r>
            <w:r>
              <w:rPr>
                <w:rFonts w:hint="eastAsia" w:hAnsi="宋体"/>
                <w:kern w:val="2"/>
                <w:sz w:val="18"/>
                <w:szCs w:val="18"/>
                <w:lang w:val="en-US" w:eastAsia="zh-CN"/>
              </w:rPr>
              <w:t>及</w:t>
            </w:r>
            <w:r>
              <w:rPr>
                <w:rFonts w:hint="eastAsia" w:ascii="宋体" w:hAnsi="宋体"/>
                <w:kern w:val="2"/>
                <w:sz w:val="18"/>
                <w:szCs w:val="18"/>
              </w:rPr>
              <w:t>档案等要求；</w:t>
            </w:r>
          </w:p>
          <w:p w14:paraId="7FD1D6D0">
            <w:pPr>
              <w:numPr>
                <w:ilvl w:val="0"/>
                <w:numId w:val="45"/>
              </w:numPr>
              <w:adjustRightInd/>
              <w:snapToGrid w:val="0"/>
              <w:jc w:val="left"/>
              <w:rPr>
                <w:rFonts w:hint="eastAsia" w:ascii="宋体" w:hAnsi="宋体"/>
                <w:sz w:val="18"/>
                <w:szCs w:val="18"/>
              </w:rPr>
            </w:pPr>
            <w:r>
              <w:rPr>
                <w:rFonts w:hint="eastAsia" w:ascii="宋体" w:hAnsi="宋体"/>
                <w:sz w:val="18"/>
                <w:szCs w:val="18"/>
              </w:rPr>
              <w:t>应急管理：规定应急管理的组织机构及职责分工，救援队伍建设，应急预案编制、评审和演练，应急设施、装备、物资的配置和使用等要求；</w:t>
            </w:r>
          </w:p>
          <w:p w14:paraId="0C6E4D68">
            <w:pPr>
              <w:numPr>
                <w:ilvl w:val="0"/>
                <w:numId w:val="45"/>
              </w:numPr>
              <w:adjustRightInd/>
              <w:snapToGrid w:val="0"/>
              <w:jc w:val="left"/>
              <w:rPr>
                <w:rFonts w:hint="eastAsia" w:ascii="宋体" w:hAnsi="宋体"/>
                <w:sz w:val="18"/>
                <w:szCs w:val="18"/>
              </w:rPr>
            </w:pPr>
            <w:r>
              <w:rPr>
                <w:rFonts w:hint="eastAsia" w:ascii="宋体" w:hAnsi="宋体"/>
                <w:sz w:val="18"/>
                <w:szCs w:val="18"/>
              </w:rPr>
              <w:t>其他保障安全生产的规章制度。</w:t>
            </w:r>
          </w:p>
        </w:tc>
        <w:tc>
          <w:tcPr>
            <w:tcW w:w="580" w:type="dxa"/>
            <w:tcBorders>
              <w:top w:val="single" w:color="auto" w:sz="8" w:space="0"/>
              <w:bottom w:val="single" w:color="auto" w:sz="8" w:space="0"/>
            </w:tcBorders>
            <w:noWrap w:val="0"/>
            <w:vAlign w:val="center"/>
          </w:tcPr>
          <w:p w14:paraId="4769D50D">
            <w:pPr>
              <w:adjustRightInd w:val="0"/>
              <w:snapToGrid w:val="0"/>
              <w:jc w:val="center"/>
              <w:rPr>
                <w:rFonts w:ascii="宋体"/>
                <w:sz w:val="18"/>
              </w:rPr>
            </w:pPr>
          </w:p>
        </w:tc>
        <w:tc>
          <w:tcPr>
            <w:tcW w:w="605" w:type="dxa"/>
            <w:tcBorders>
              <w:top w:val="single" w:color="auto" w:sz="8" w:space="0"/>
              <w:bottom w:val="single" w:color="auto" w:sz="8" w:space="0"/>
            </w:tcBorders>
            <w:noWrap w:val="0"/>
            <w:vAlign w:val="center"/>
          </w:tcPr>
          <w:p w14:paraId="44D22C7B">
            <w:pPr>
              <w:adjustRightInd w:val="0"/>
              <w:snapToGrid w:val="0"/>
              <w:jc w:val="center"/>
              <w:rPr>
                <w:rFonts w:ascii="宋体"/>
                <w:sz w:val="18"/>
              </w:rPr>
            </w:pPr>
          </w:p>
        </w:tc>
        <w:tc>
          <w:tcPr>
            <w:tcW w:w="605" w:type="dxa"/>
            <w:tcBorders>
              <w:top w:val="single" w:color="auto" w:sz="8" w:space="0"/>
              <w:bottom w:val="single" w:color="auto" w:sz="8" w:space="0"/>
            </w:tcBorders>
            <w:noWrap w:val="0"/>
            <w:vAlign w:val="center"/>
          </w:tcPr>
          <w:p w14:paraId="36C6E9BC">
            <w:pPr>
              <w:adjustRightInd w:val="0"/>
              <w:snapToGrid w:val="0"/>
              <w:jc w:val="center"/>
              <w:rPr>
                <w:rFonts w:ascii="宋体"/>
                <w:sz w:val="18"/>
              </w:rPr>
            </w:pPr>
          </w:p>
        </w:tc>
        <w:tc>
          <w:tcPr>
            <w:tcW w:w="4563" w:type="dxa"/>
            <w:tcBorders>
              <w:top w:val="single" w:color="auto" w:sz="8" w:space="0"/>
              <w:bottom w:val="single" w:color="auto" w:sz="8" w:space="0"/>
            </w:tcBorders>
            <w:noWrap w:val="0"/>
            <w:vAlign w:val="center"/>
          </w:tcPr>
          <w:p w14:paraId="56E5483B">
            <w:pPr>
              <w:adjustRightInd w:val="0"/>
              <w:snapToGrid w:val="0"/>
              <w:rPr>
                <w:rFonts w:ascii="宋体"/>
                <w:sz w:val="18"/>
                <w:szCs w:val="18"/>
              </w:rPr>
            </w:pPr>
          </w:p>
        </w:tc>
        <w:tc>
          <w:tcPr>
            <w:tcW w:w="605" w:type="dxa"/>
            <w:tcBorders>
              <w:top w:val="single" w:color="auto" w:sz="8" w:space="0"/>
              <w:bottom w:val="single" w:color="auto" w:sz="8" w:space="0"/>
            </w:tcBorders>
            <w:noWrap w:val="0"/>
            <w:vAlign w:val="center"/>
          </w:tcPr>
          <w:p w14:paraId="37C29DAE">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1BF1924E">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47DEF07A">
            <w:pPr>
              <w:adjustRightInd w:val="0"/>
              <w:snapToGrid w:val="0"/>
              <w:rPr>
                <w:rFonts w:ascii="宋体"/>
                <w:sz w:val="18"/>
              </w:rPr>
            </w:pPr>
          </w:p>
        </w:tc>
      </w:tr>
      <w:tr w14:paraId="77B53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6D49B479">
            <w:pPr>
              <w:widowControl/>
              <w:jc w:val="center"/>
              <w:rPr>
                <w:rFonts w:ascii="宋体" w:hAnsi="宋体"/>
                <w:bCs/>
                <w:sz w:val="18"/>
                <w:szCs w:val="18"/>
              </w:rPr>
            </w:pPr>
            <w:r>
              <w:rPr>
                <w:rFonts w:hint="eastAsia" w:ascii="宋体" w:hAnsi="宋体"/>
                <w:sz w:val="18"/>
              </w:rPr>
              <w:t>1.2.2</w:t>
            </w:r>
          </w:p>
        </w:tc>
        <w:tc>
          <w:tcPr>
            <w:tcW w:w="5874" w:type="dxa"/>
            <w:tcBorders>
              <w:top w:val="single" w:color="auto" w:sz="8" w:space="0"/>
              <w:bottom w:val="single" w:color="auto" w:sz="8" w:space="0"/>
            </w:tcBorders>
            <w:noWrap w:val="0"/>
            <w:vAlign w:val="center"/>
          </w:tcPr>
          <w:p w14:paraId="285E7E98">
            <w:pPr>
              <w:pStyle w:val="186"/>
              <w:numPr>
                <w:ilvl w:val="0"/>
                <w:numId w:val="0"/>
              </w:numPr>
              <w:adjustRightInd w:val="0"/>
              <w:snapToGrid w:val="0"/>
              <w:rPr>
                <w:rFonts w:hint="eastAsia" w:hAnsi="宋体"/>
                <w:sz w:val="18"/>
                <w:szCs w:val="18"/>
              </w:rPr>
            </w:pPr>
            <w:r>
              <w:rPr>
                <w:rFonts w:hint="eastAsia" w:hAnsi="宋体"/>
                <w:sz w:val="18"/>
                <w:szCs w:val="18"/>
                <w:lang w:val="en-US" w:eastAsia="zh-CN"/>
              </w:rPr>
              <w:t>景区</w:t>
            </w:r>
            <w:r>
              <w:rPr>
                <w:rFonts w:hint="eastAsia" w:hAnsi="宋体"/>
                <w:sz w:val="18"/>
                <w:szCs w:val="18"/>
              </w:rPr>
              <w:t>应及时跟踪并获取适用于其生产经营活动的安全生产法律法规、标准规范，定期更新，确保安全生产规章制度符合现行法律法规、标准规范的要求。</w:t>
            </w:r>
          </w:p>
        </w:tc>
        <w:tc>
          <w:tcPr>
            <w:tcW w:w="580" w:type="dxa"/>
            <w:tcBorders>
              <w:top w:val="single" w:color="auto" w:sz="8" w:space="0"/>
              <w:bottom w:val="single" w:color="auto" w:sz="8" w:space="0"/>
            </w:tcBorders>
            <w:noWrap w:val="0"/>
            <w:vAlign w:val="center"/>
          </w:tcPr>
          <w:p w14:paraId="505444A6">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0D7B5581">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0E166803">
            <w:pPr>
              <w:widowControl/>
              <w:jc w:val="center"/>
              <w:rPr>
                <w:rFonts w:ascii="宋体" w:hAnsi="宋体"/>
                <w:bCs/>
                <w:sz w:val="18"/>
                <w:szCs w:val="18"/>
              </w:rPr>
            </w:pPr>
            <w:r>
              <w:rPr>
                <w:rFonts w:hint="eastAsia" w:ascii="宋体" w:hAnsi="宋体"/>
                <w:sz w:val="18"/>
              </w:rPr>
              <w:t>5</w:t>
            </w:r>
          </w:p>
        </w:tc>
        <w:tc>
          <w:tcPr>
            <w:tcW w:w="4563" w:type="dxa"/>
            <w:tcBorders>
              <w:top w:val="single" w:color="auto" w:sz="8" w:space="0"/>
              <w:bottom w:val="single" w:color="auto" w:sz="8" w:space="0"/>
            </w:tcBorders>
            <w:noWrap w:val="0"/>
            <w:vAlign w:val="center"/>
          </w:tcPr>
          <w:p w14:paraId="7DFE117F">
            <w:pPr>
              <w:adjustRightInd w:val="0"/>
              <w:snapToGrid w:val="0"/>
              <w:jc w:val="left"/>
              <w:rPr>
                <w:rFonts w:ascii="宋体" w:hAnsi="宋体"/>
                <w:sz w:val="18"/>
                <w:szCs w:val="18"/>
              </w:rPr>
            </w:pPr>
            <w:r>
              <w:rPr>
                <w:rFonts w:hint="eastAsia" w:ascii="宋体" w:hAnsi="宋体"/>
                <w:sz w:val="18"/>
                <w:szCs w:val="18"/>
              </w:rPr>
              <w:t>1）未明确获取安全生产法律法规、标准规范责任部门或人员的，不得分；</w:t>
            </w:r>
          </w:p>
          <w:p w14:paraId="1E61D9B6">
            <w:pPr>
              <w:adjustRightInd w:val="0"/>
              <w:snapToGrid w:val="0"/>
              <w:jc w:val="left"/>
              <w:rPr>
                <w:rFonts w:ascii="宋体" w:hAnsi="宋体"/>
                <w:sz w:val="18"/>
                <w:szCs w:val="18"/>
              </w:rPr>
            </w:pPr>
            <w:r>
              <w:rPr>
                <w:rFonts w:hint="eastAsia" w:ascii="宋体" w:hAnsi="宋体"/>
                <w:sz w:val="18"/>
                <w:szCs w:val="18"/>
              </w:rPr>
              <w:t>2）未定期识别和获取的，扣2分；</w:t>
            </w:r>
          </w:p>
          <w:p w14:paraId="1AEEB8F3">
            <w:pPr>
              <w:adjustRightInd w:val="0"/>
              <w:snapToGrid w:val="0"/>
              <w:jc w:val="left"/>
              <w:rPr>
                <w:rFonts w:ascii="宋体" w:hAnsi="宋体"/>
                <w:bCs/>
                <w:sz w:val="18"/>
                <w:szCs w:val="18"/>
              </w:rPr>
            </w:pPr>
            <w:r>
              <w:rPr>
                <w:rFonts w:hint="eastAsia" w:ascii="宋体" w:hAnsi="宋体"/>
                <w:sz w:val="18"/>
                <w:szCs w:val="18"/>
              </w:rPr>
              <w:t>3）</w:t>
            </w:r>
            <w:r>
              <w:rPr>
                <w:rFonts w:hint="eastAsia" w:ascii="宋体" w:hAnsi="宋体"/>
                <w:sz w:val="18"/>
                <w:szCs w:val="18"/>
                <w:lang w:eastAsia="zh-CN"/>
              </w:rPr>
              <w:t>景区</w:t>
            </w:r>
            <w:r>
              <w:rPr>
                <w:rFonts w:ascii="宋体" w:hAnsi="宋体"/>
                <w:sz w:val="18"/>
                <w:szCs w:val="18"/>
              </w:rPr>
              <w:t>安全生产规章制度</w:t>
            </w:r>
            <w:r>
              <w:rPr>
                <w:rFonts w:hint="eastAsia" w:ascii="宋体" w:hAnsi="宋体"/>
                <w:sz w:val="18"/>
                <w:szCs w:val="18"/>
              </w:rPr>
              <w:t>与</w:t>
            </w:r>
            <w:r>
              <w:rPr>
                <w:rFonts w:ascii="宋体" w:hAnsi="宋体"/>
                <w:sz w:val="18"/>
                <w:szCs w:val="18"/>
              </w:rPr>
              <w:t>现行法律法规</w:t>
            </w:r>
            <w:r>
              <w:rPr>
                <w:rFonts w:hint="eastAsia" w:ascii="宋体" w:hAnsi="宋体"/>
                <w:sz w:val="18"/>
                <w:szCs w:val="18"/>
              </w:rPr>
              <w:t>、</w:t>
            </w:r>
            <w:r>
              <w:rPr>
                <w:rFonts w:ascii="宋体" w:hAnsi="宋体"/>
                <w:sz w:val="18"/>
                <w:szCs w:val="18"/>
              </w:rPr>
              <w:t>规章标准要求</w:t>
            </w:r>
            <w:r>
              <w:rPr>
                <w:rFonts w:hint="eastAsia" w:ascii="宋体" w:hAnsi="宋体"/>
                <w:sz w:val="18"/>
                <w:szCs w:val="18"/>
              </w:rPr>
              <w:t>不相符，</w:t>
            </w:r>
            <w:r>
              <w:rPr>
                <w:rFonts w:ascii="宋体" w:hAnsi="宋体"/>
                <w:sz w:val="18"/>
                <w:szCs w:val="18"/>
              </w:rPr>
              <w:t>一</w:t>
            </w:r>
            <w:r>
              <w:rPr>
                <w:rFonts w:hint="eastAsia" w:ascii="宋体" w:hAnsi="宋体"/>
                <w:sz w:val="18"/>
                <w:szCs w:val="18"/>
              </w:rPr>
              <w:t>处扣1分。</w:t>
            </w:r>
          </w:p>
        </w:tc>
        <w:tc>
          <w:tcPr>
            <w:tcW w:w="605" w:type="dxa"/>
            <w:tcBorders>
              <w:top w:val="single" w:color="auto" w:sz="8" w:space="0"/>
              <w:bottom w:val="single" w:color="auto" w:sz="8" w:space="0"/>
            </w:tcBorders>
            <w:noWrap w:val="0"/>
            <w:vAlign w:val="center"/>
          </w:tcPr>
          <w:p w14:paraId="06D9AE6C">
            <w:pPr>
              <w:adjustRightInd w:val="0"/>
              <w:snapToGrid w:val="0"/>
              <w:rPr>
                <w:rFonts w:ascii="宋体" w:hAnsi="宋体"/>
                <w:sz w:val="18"/>
              </w:rPr>
            </w:pPr>
          </w:p>
        </w:tc>
        <w:tc>
          <w:tcPr>
            <w:tcW w:w="605" w:type="dxa"/>
            <w:tcBorders>
              <w:top w:val="single" w:color="auto" w:sz="8" w:space="0"/>
              <w:bottom w:val="single" w:color="auto" w:sz="8" w:space="0"/>
            </w:tcBorders>
            <w:noWrap w:val="0"/>
            <w:vAlign w:val="center"/>
          </w:tcPr>
          <w:p w14:paraId="4D82EC8E">
            <w:pPr>
              <w:adjustRightInd w:val="0"/>
              <w:snapToGrid w:val="0"/>
              <w:rPr>
                <w:rFonts w:ascii="宋体" w:hAnsi="宋体"/>
                <w:sz w:val="18"/>
              </w:rPr>
            </w:pPr>
          </w:p>
        </w:tc>
        <w:tc>
          <w:tcPr>
            <w:tcW w:w="1004" w:type="dxa"/>
            <w:tcBorders>
              <w:top w:val="single" w:color="auto" w:sz="8" w:space="0"/>
              <w:bottom w:val="single" w:color="auto" w:sz="8" w:space="0"/>
            </w:tcBorders>
            <w:noWrap w:val="0"/>
            <w:vAlign w:val="center"/>
          </w:tcPr>
          <w:p w14:paraId="451556C1">
            <w:pPr>
              <w:jc w:val="center"/>
              <w:rPr>
                <w:rFonts w:ascii="宋体" w:hAnsi="宋体"/>
              </w:rPr>
            </w:pPr>
            <w:r>
              <w:rPr>
                <w:rFonts w:hint="eastAsia" w:ascii="宋体" w:hAnsi="宋体"/>
                <w:bCs/>
                <w:sz w:val="18"/>
                <w:szCs w:val="18"/>
                <w:lang w:eastAsia="zh-CN"/>
              </w:rPr>
              <w:t>4.</w:t>
            </w:r>
            <w:r>
              <w:rPr>
                <w:rFonts w:hint="eastAsia" w:ascii="宋体" w:hAnsi="宋体"/>
                <w:bCs/>
                <w:sz w:val="18"/>
                <w:szCs w:val="18"/>
              </w:rPr>
              <w:t>1</w:t>
            </w:r>
          </w:p>
        </w:tc>
      </w:tr>
      <w:tr w14:paraId="2EBA20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2A1F0822">
            <w:pPr>
              <w:widowControl/>
              <w:jc w:val="center"/>
              <w:rPr>
                <w:rFonts w:hint="eastAsia" w:ascii="宋体" w:hAnsi="宋体"/>
                <w:sz w:val="18"/>
              </w:rPr>
            </w:pPr>
            <w:r>
              <w:rPr>
                <w:rFonts w:hint="eastAsia" w:ascii="宋体" w:hAnsi="宋体"/>
                <w:sz w:val="18"/>
              </w:rPr>
              <w:t>1.2.3</w:t>
            </w:r>
          </w:p>
        </w:tc>
        <w:tc>
          <w:tcPr>
            <w:tcW w:w="5874" w:type="dxa"/>
            <w:tcBorders>
              <w:top w:val="single" w:color="auto" w:sz="8" w:space="0"/>
              <w:bottom w:val="single" w:color="auto" w:sz="8" w:space="0"/>
            </w:tcBorders>
            <w:noWrap w:val="0"/>
            <w:vAlign w:val="center"/>
          </w:tcPr>
          <w:p w14:paraId="592F7084">
            <w:pPr>
              <w:pStyle w:val="186"/>
              <w:numPr>
                <w:ilvl w:val="0"/>
                <w:numId w:val="0"/>
              </w:numPr>
              <w:adjustRightInd w:val="0"/>
              <w:snapToGrid w:val="0"/>
              <w:rPr>
                <w:rFonts w:hint="eastAsia" w:hAnsi="宋体"/>
                <w:sz w:val="18"/>
              </w:rPr>
            </w:pPr>
            <w:r>
              <w:rPr>
                <w:rFonts w:hint="eastAsia" w:hAnsi="宋体"/>
                <w:sz w:val="18"/>
                <w:szCs w:val="18"/>
              </w:rPr>
              <w:t>安全生产规章制度应经批准实施，现行有效版本应发放至相关岗位的从业人员。</w:t>
            </w:r>
          </w:p>
        </w:tc>
        <w:tc>
          <w:tcPr>
            <w:tcW w:w="580" w:type="dxa"/>
            <w:tcBorders>
              <w:top w:val="single" w:color="auto" w:sz="8" w:space="0"/>
              <w:bottom w:val="single" w:color="auto" w:sz="8" w:space="0"/>
            </w:tcBorders>
            <w:noWrap w:val="0"/>
            <w:vAlign w:val="center"/>
          </w:tcPr>
          <w:p w14:paraId="66B40C33">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3D6151D2">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03B86A1D">
            <w:pPr>
              <w:widowControl/>
              <w:jc w:val="center"/>
              <w:rPr>
                <w:rFonts w:hint="eastAsia" w:ascii="宋体" w:hAnsi="宋体"/>
                <w:sz w:val="18"/>
              </w:rPr>
            </w:pPr>
            <w:r>
              <w:rPr>
                <w:rFonts w:hint="eastAsia" w:ascii="宋体" w:hAnsi="宋体"/>
                <w:sz w:val="18"/>
              </w:rPr>
              <w:t>5</w:t>
            </w:r>
          </w:p>
        </w:tc>
        <w:tc>
          <w:tcPr>
            <w:tcW w:w="4563" w:type="dxa"/>
            <w:tcBorders>
              <w:top w:val="single" w:color="auto" w:sz="8" w:space="0"/>
              <w:bottom w:val="single" w:color="auto" w:sz="8" w:space="0"/>
            </w:tcBorders>
            <w:noWrap w:val="0"/>
            <w:vAlign w:val="center"/>
          </w:tcPr>
          <w:p w14:paraId="18AE47A1">
            <w:pPr>
              <w:adjustRightInd w:val="0"/>
              <w:snapToGrid w:val="0"/>
              <w:jc w:val="left"/>
              <w:rPr>
                <w:rFonts w:ascii="宋体" w:hAnsi="宋体"/>
                <w:sz w:val="18"/>
              </w:rPr>
            </w:pPr>
            <w:r>
              <w:rPr>
                <w:rFonts w:hint="eastAsia" w:ascii="宋体" w:hAnsi="宋体"/>
                <w:sz w:val="18"/>
              </w:rPr>
              <w:t>1）</w:t>
            </w:r>
            <w:r>
              <w:rPr>
                <w:rFonts w:ascii="宋体" w:hAnsi="宋体"/>
                <w:sz w:val="18"/>
                <w:szCs w:val="18"/>
              </w:rPr>
              <w:t>主要负责人未对</w:t>
            </w:r>
            <w:r>
              <w:rPr>
                <w:rFonts w:hint="eastAsia" w:ascii="宋体" w:hAnsi="宋体"/>
                <w:sz w:val="18"/>
              </w:rPr>
              <w:t>安全生产规章制度</w:t>
            </w:r>
            <w:r>
              <w:rPr>
                <w:rFonts w:ascii="宋体" w:hAnsi="宋体"/>
                <w:sz w:val="18"/>
                <w:szCs w:val="18"/>
              </w:rPr>
              <w:t>签署公布批准实施的，</w:t>
            </w:r>
            <w:r>
              <w:rPr>
                <w:rFonts w:hint="eastAsia" w:ascii="宋体" w:hAnsi="宋体"/>
                <w:sz w:val="18"/>
                <w:szCs w:val="18"/>
              </w:rPr>
              <w:t>不得分；</w:t>
            </w:r>
          </w:p>
          <w:p w14:paraId="7CCB01B4">
            <w:pPr>
              <w:adjustRightInd w:val="0"/>
              <w:snapToGrid w:val="0"/>
              <w:jc w:val="left"/>
              <w:rPr>
                <w:rFonts w:ascii="宋体" w:hAnsi="宋体"/>
                <w:sz w:val="18"/>
              </w:rPr>
            </w:pPr>
            <w:r>
              <w:rPr>
                <w:rFonts w:hint="eastAsia" w:ascii="宋体" w:hAnsi="宋体"/>
                <w:sz w:val="18"/>
              </w:rPr>
              <w:t>2）安全生产规章制度未发放的，扣2分；</w:t>
            </w:r>
          </w:p>
          <w:p w14:paraId="5D4EE46F">
            <w:pPr>
              <w:adjustRightInd w:val="0"/>
              <w:snapToGrid w:val="0"/>
              <w:jc w:val="left"/>
              <w:rPr>
                <w:rFonts w:hint="eastAsia" w:ascii="宋体" w:hAnsi="宋体"/>
                <w:sz w:val="18"/>
              </w:rPr>
            </w:pPr>
            <w:r>
              <w:rPr>
                <w:rFonts w:hint="eastAsia" w:ascii="宋体" w:hAnsi="宋体"/>
                <w:sz w:val="18"/>
              </w:rPr>
              <w:t>3）安全生产规章制度更新后未及时发放的，扣2分；</w:t>
            </w:r>
          </w:p>
          <w:p w14:paraId="27243E4B">
            <w:pPr>
              <w:adjustRightInd w:val="0"/>
              <w:snapToGrid w:val="0"/>
              <w:jc w:val="left"/>
              <w:rPr>
                <w:rFonts w:hint="eastAsia" w:ascii="宋体" w:hAnsi="宋体"/>
                <w:sz w:val="18"/>
                <w:szCs w:val="18"/>
              </w:rPr>
            </w:pPr>
            <w:r>
              <w:rPr>
                <w:rFonts w:hint="eastAsia" w:ascii="宋体" w:hAnsi="宋体"/>
                <w:sz w:val="18"/>
              </w:rPr>
              <w:t>4）员工未掌握相关内容的，一人次扣1分。</w:t>
            </w:r>
          </w:p>
        </w:tc>
        <w:tc>
          <w:tcPr>
            <w:tcW w:w="605" w:type="dxa"/>
            <w:tcBorders>
              <w:top w:val="single" w:color="auto" w:sz="8" w:space="0"/>
              <w:bottom w:val="single" w:color="auto" w:sz="8" w:space="0"/>
            </w:tcBorders>
            <w:noWrap w:val="0"/>
            <w:vAlign w:val="center"/>
          </w:tcPr>
          <w:p w14:paraId="2154E49C">
            <w:pPr>
              <w:adjustRightInd w:val="0"/>
              <w:snapToGrid w:val="0"/>
              <w:rPr>
                <w:rFonts w:ascii="宋体" w:hAnsi="宋体"/>
                <w:sz w:val="18"/>
              </w:rPr>
            </w:pPr>
          </w:p>
        </w:tc>
        <w:tc>
          <w:tcPr>
            <w:tcW w:w="605" w:type="dxa"/>
            <w:tcBorders>
              <w:top w:val="single" w:color="auto" w:sz="8" w:space="0"/>
              <w:bottom w:val="single" w:color="auto" w:sz="8" w:space="0"/>
            </w:tcBorders>
            <w:noWrap w:val="0"/>
            <w:vAlign w:val="center"/>
          </w:tcPr>
          <w:p w14:paraId="5BCD2ED9">
            <w:pPr>
              <w:adjustRightInd w:val="0"/>
              <w:snapToGrid w:val="0"/>
              <w:rPr>
                <w:rFonts w:ascii="宋体" w:hAnsi="宋体"/>
                <w:sz w:val="18"/>
              </w:rPr>
            </w:pPr>
          </w:p>
        </w:tc>
        <w:tc>
          <w:tcPr>
            <w:tcW w:w="1004" w:type="dxa"/>
            <w:tcBorders>
              <w:top w:val="single" w:color="auto" w:sz="8" w:space="0"/>
              <w:bottom w:val="single" w:color="auto" w:sz="8" w:space="0"/>
            </w:tcBorders>
            <w:noWrap w:val="0"/>
            <w:vAlign w:val="center"/>
          </w:tcPr>
          <w:p w14:paraId="62CBFA30">
            <w:pPr>
              <w:jc w:val="center"/>
              <w:rPr>
                <w:rFonts w:ascii="宋体" w:hAnsi="宋体"/>
              </w:rPr>
            </w:pPr>
            <w:r>
              <w:rPr>
                <w:rFonts w:hint="eastAsia" w:ascii="宋体" w:hAnsi="宋体"/>
                <w:bCs/>
                <w:sz w:val="18"/>
                <w:szCs w:val="18"/>
                <w:lang w:eastAsia="zh-CN"/>
              </w:rPr>
              <w:t>4.</w:t>
            </w:r>
            <w:r>
              <w:rPr>
                <w:rFonts w:hint="eastAsia" w:ascii="宋体" w:hAnsi="宋体"/>
                <w:bCs/>
                <w:sz w:val="18"/>
                <w:szCs w:val="18"/>
              </w:rPr>
              <w:t>1</w:t>
            </w:r>
          </w:p>
        </w:tc>
      </w:tr>
      <w:tr w14:paraId="1F8B7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3F50BFF5">
            <w:pPr>
              <w:widowControl/>
              <w:jc w:val="center"/>
              <w:rPr>
                <w:rFonts w:hint="eastAsia" w:ascii="宋体" w:hAnsi="宋体"/>
                <w:sz w:val="18"/>
              </w:rPr>
            </w:pPr>
            <w:r>
              <w:rPr>
                <w:rFonts w:hint="eastAsia" w:ascii="宋体" w:hAnsi="宋体"/>
                <w:sz w:val="18"/>
              </w:rPr>
              <w:t>1.2.4</w:t>
            </w:r>
          </w:p>
        </w:tc>
        <w:tc>
          <w:tcPr>
            <w:tcW w:w="5874" w:type="dxa"/>
            <w:tcBorders>
              <w:top w:val="single" w:color="auto" w:sz="8" w:space="0"/>
              <w:bottom w:val="single" w:color="auto" w:sz="8" w:space="0"/>
            </w:tcBorders>
            <w:noWrap w:val="0"/>
            <w:vAlign w:val="center"/>
          </w:tcPr>
          <w:p w14:paraId="70C514D2">
            <w:pPr>
              <w:pStyle w:val="186"/>
              <w:numPr>
                <w:ilvl w:val="0"/>
                <w:numId w:val="0"/>
              </w:numPr>
              <w:adjustRightInd w:val="0"/>
              <w:snapToGrid w:val="0"/>
              <w:rPr>
                <w:rFonts w:hint="eastAsia" w:hAnsi="宋体"/>
                <w:sz w:val="18"/>
                <w:szCs w:val="18"/>
              </w:rPr>
            </w:pPr>
            <w:r>
              <w:rPr>
                <w:rFonts w:hint="eastAsia" w:hAnsi="宋体"/>
                <w:sz w:val="18"/>
                <w:szCs w:val="18"/>
              </w:rPr>
              <w:t>安全生产规章制度应每年审核，适时更新，并保存记录。</w:t>
            </w:r>
          </w:p>
        </w:tc>
        <w:tc>
          <w:tcPr>
            <w:tcW w:w="580" w:type="dxa"/>
            <w:tcBorders>
              <w:top w:val="single" w:color="auto" w:sz="8" w:space="0"/>
              <w:bottom w:val="single" w:color="auto" w:sz="8" w:space="0"/>
            </w:tcBorders>
            <w:noWrap w:val="0"/>
            <w:vAlign w:val="center"/>
          </w:tcPr>
          <w:p w14:paraId="0EDD1233">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09E8B871">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2432C1C3">
            <w:pPr>
              <w:widowControl/>
              <w:jc w:val="center"/>
              <w:rPr>
                <w:rFonts w:hint="eastAsia" w:ascii="宋体" w:hAnsi="宋体"/>
                <w:sz w:val="18"/>
              </w:rPr>
            </w:pPr>
            <w:r>
              <w:rPr>
                <w:rFonts w:hint="eastAsia" w:ascii="宋体" w:hAnsi="宋体"/>
                <w:sz w:val="18"/>
              </w:rPr>
              <w:t>3</w:t>
            </w:r>
          </w:p>
        </w:tc>
        <w:tc>
          <w:tcPr>
            <w:tcW w:w="4563" w:type="dxa"/>
            <w:tcBorders>
              <w:top w:val="single" w:color="auto" w:sz="8" w:space="0"/>
              <w:bottom w:val="single" w:color="auto" w:sz="8" w:space="0"/>
            </w:tcBorders>
            <w:noWrap w:val="0"/>
            <w:vAlign w:val="center"/>
          </w:tcPr>
          <w:p w14:paraId="1DE86638">
            <w:pPr>
              <w:adjustRightInd w:val="0"/>
              <w:snapToGrid w:val="0"/>
              <w:jc w:val="left"/>
              <w:rPr>
                <w:rFonts w:ascii="宋体" w:hAnsi="宋体"/>
                <w:sz w:val="18"/>
              </w:rPr>
            </w:pPr>
            <w:r>
              <w:rPr>
                <w:rFonts w:hint="eastAsia" w:ascii="宋体" w:hAnsi="宋体"/>
                <w:sz w:val="18"/>
              </w:rPr>
              <w:t>1）安全生产规章制度未修订的，</w:t>
            </w:r>
            <w:r>
              <w:rPr>
                <w:rFonts w:hint="eastAsia" w:ascii="宋体" w:hAnsi="宋体"/>
                <w:sz w:val="18"/>
                <w:szCs w:val="18"/>
              </w:rPr>
              <w:t>不得分</w:t>
            </w:r>
            <w:r>
              <w:rPr>
                <w:rFonts w:hint="eastAsia" w:ascii="宋体" w:hAnsi="宋体"/>
                <w:sz w:val="18"/>
              </w:rPr>
              <w:t>；</w:t>
            </w:r>
          </w:p>
          <w:p w14:paraId="658B8F30">
            <w:pPr>
              <w:adjustRightInd w:val="0"/>
              <w:snapToGrid w:val="0"/>
              <w:jc w:val="left"/>
              <w:rPr>
                <w:rFonts w:hint="eastAsia" w:ascii="宋体" w:hAnsi="宋体"/>
                <w:sz w:val="18"/>
              </w:rPr>
            </w:pPr>
            <w:r>
              <w:rPr>
                <w:rFonts w:hint="eastAsia" w:ascii="宋体" w:hAnsi="宋体"/>
                <w:sz w:val="18"/>
              </w:rPr>
              <w:t>2）修订记录未存档的，扣1分。</w:t>
            </w:r>
          </w:p>
        </w:tc>
        <w:tc>
          <w:tcPr>
            <w:tcW w:w="605" w:type="dxa"/>
            <w:tcBorders>
              <w:top w:val="single" w:color="auto" w:sz="8" w:space="0"/>
              <w:bottom w:val="single" w:color="auto" w:sz="8" w:space="0"/>
            </w:tcBorders>
            <w:noWrap w:val="0"/>
            <w:vAlign w:val="center"/>
          </w:tcPr>
          <w:p w14:paraId="6FA2B526">
            <w:pPr>
              <w:adjustRightInd w:val="0"/>
              <w:snapToGrid w:val="0"/>
              <w:rPr>
                <w:rFonts w:ascii="宋体" w:hAnsi="宋体"/>
                <w:sz w:val="18"/>
              </w:rPr>
            </w:pPr>
          </w:p>
        </w:tc>
        <w:tc>
          <w:tcPr>
            <w:tcW w:w="605" w:type="dxa"/>
            <w:tcBorders>
              <w:top w:val="single" w:color="auto" w:sz="8" w:space="0"/>
              <w:bottom w:val="single" w:color="auto" w:sz="8" w:space="0"/>
            </w:tcBorders>
            <w:noWrap w:val="0"/>
            <w:vAlign w:val="center"/>
          </w:tcPr>
          <w:p w14:paraId="212032C4">
            <w:pPr>
              <w:adjustRightInd w:val="0"/>
              <w:snapToGrid w:val="0"/>
              <w:rPr>
                <w:rFonts w:ascii="宋体" w:hAnsi="宋体"/>
                <w:sz w:val="18"/>
              </w:rPr>
            </w:pPr>
          </w:p>
        </w:tc>
        <w:tc>
          <w:tcPr>
            <w:tcW w:w="1004" w:type="dxa"/>
            <w:tcBorders>
              <w:top w:val="single" w:color="auto" w:sz="8" w:space="0"/>
              <w:bottom w:val="single" w:color="auto" w:sz="8" w:space="0"/>
            </w:tcBorders>
            <w:noWrap w:val="0"/>
            <w:vAlign w:val="center"/>
          </w:tcPr>
          <w:p w14:paraId="1AD1D80F">
            <w:pPr>
              <w:jc w:val="center"/>
              <w:rPr>
                <w:rFonts w:ascii="宋体" w:hAnsi="宋体"/>
              </w:rPr>
            </w:pPr>
            <w:r>
              <w:rPr>
                <w:rFonts w:hint="eastAsia" w:ascii="宋体" w:hAnsi="宋体"/>
                <w:bCs/>
                <w:sz w:val="18"/>
                <w:szCs w:val="18"/>
                <w:lang w:eastAsia="zh-CN"/>
              </w:rPr>
              <w:t>4.</w:t>
            </w:r>
            <w:r>
              <w:rPr>
                <w:rFonts w:hint="eastAsia" w:ascii="宋体" w:hAnsi="宋体"/>
                <w:bCs/>
                <w:sz w:val="18"/>
                <w:szCs w:val="18"/>
              </w:rPr>
              <w:t>1</w:t>
            </w:r>
          </w:p>
        </w:tc>
      </w:tr>
      <w:tr w14:paraId="41931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100434D3">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1.2.5</w:t>
            </w:r>
          </w:p>
        </w:tc>
        <w:tc>
          <w:tcPr>
            <w:tcW w:w="5874" w:type="dxa"/>
            <w:tcBorders>
              <w:top w:val="single" w:color="auto" w:sz="8" w:space="0"/>
              <w:bottom w:val="single" w:color="auto" w:sz="8" w:space="0"/>
            </w:tcBorders>
            <w:noWrap w:val="0"/>
            <w:vAlign w:val="center"/>
          </w:tcPr>
          <w:p w14:paraId="0923B61F">
            <w:pPr>
              <w:pStyle w:val="186"/>
              <w:numPr>
                <w:ilvl w:val="0"/>
                <w:numId w:val="0"/>
              </w:numPr>
              <w:adjustRightInd w:val="0"/>
              <w:snapToGrid w:val="0"/>
              <w:ind w:left="0" w:leftChars="0" w:firstLine="0" w:firstLineChars="0"/>
              <w:rPr>
                <w:rFonts w:hint="eastAsia" w:ascii="宋体" w:hAnsi="宋体" w:eastAsia="宋体" w:cs="Times New Roman"/>
                <w:sz w:val="18"/>
                <w:szCs w:val="18"/>
                <w:lang w:val="en-US" w:eastAsia="zh-CN" w:bidi="ar-SA"/>
              </w:rPr>
            </w:pPr>
            <w:r>
              <w:rPr>
                <w:rFonts w:hint="eastAsia" w:hAnsi="宋体"/>
                <w:sz w:val="18"/>
                <w:szCs w:val="18"/>
              </w:rPr>
              <w:t>安全生产规章制度应有执行记录，相关资料应归档且至少</w:t>
            </w:r>
            <w:r>
              <w:rPr>
                <w:rFonts w:hAnsi="宋体"/>
                <w:sz w:val="18"/>
                <w:szCs w:val="18"/>
              </w:rPr>
              <w:t>保存</w:t>
            </w:r>
            <w:r>
              <w:rPr>
                <w:rFonts w:hint="eastAsia" w:hAnsi="宋体"/>
                <w:sz w:val="18"/>
                <w:szCs w:val="18"/>
              </w:rPr>
              <w:t>3</w:t>
            </w:r>
            <w:r>
              <w:rPr>
                <w:rFonts w:hAnsi="宋体"/>
                <w:sz w:val="18"/>
                <w:szCs w:val="18"/>
              </w:rPr>
              <w:t>年</w:t>
            </w:r>
            <w:r>
              <w:rPr>
                <w:rFonts w:hint="eastAsia" w:hAnsi="宋体"/>
                <w:sz w:val="18"/>
                <w:szCs w:val="18"/>
              </w:rPr>
              <w:t>。</w:t>
            </w:r>
          </w:p>
        </w:tc>
        <w:tc>
          <w:tcPr>
            <w:tcW w:w="580" w:type="dxa"/>
            <w:tcBorders>
              <w:top w:val="single" w:color="auto" w:sz="8" w:space="0"/>
              <w:bottom w:val="single" w:color="auto" w:sz="8" w:space="0"/>
            </w:tcBorders>
            <w:noWrap w:val="0"/>
            <w:vAlign w:val="center"/>
          </w:tcPr>
          <w:p w14:paraId="188416FD">
            <w:pPr>
              <w:widowControl/>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364B4F86">
            <w:pPr>
              <w:widowControl/>
              <w:jc w:val="center"/>
              <w:rPr>
                <w:rFonts w:hint="eastAsia" w:ascii="宋体" w:hAnsi="宋体"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780D547D">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2</w:t>
            </w:r>
          </w:p>
        </w:tc>
        <w:tc>
          <w:tcPr>
            <w:tcW w:w="4563" w:type="dxa"/>
            <w:tcBorders>
              <w:top w:val="single" w:color="auto" w:sz="8" w:space="0"/>
              <w:bottom w:val="single" w:color="auto" w:sz="8" w:space="0"/>
            </w:tcBorders>
            <w:noWrap w:val="0"/>
            <w:vAlign w:val="center"/>
          </w:tcPr>
          <w:p w14:paraId="077825BA">
            <w:pPr>
              <w:adjustRightInd w:val="0"/>
              <w:snapToGrid w:val="0"/>
              <w:jc w:val="left"/>
              <w:rPr>
                <w:rFonts w:ascii="宋体" w:hAnsi="宋体"/>
                <w:sz w:val="18"/>
              </w:rPr>
            </w:pPr>
            <w:r>
              <w:rPr>
                <w:rFonts w:hint="eastAsia" w:ascii="宋体" w:hAnsi="宋体"/>
                <w:sz w:val="18"/>
              </w:rPr>
              <w:t>1）安全生产规章制度的相关执行记录未存档，</w:t>
            </w:r>
            <w:r>
              <w:rPr>
                <w:rFonts w:hint="eastAsia" w:ascii="宋体" w:hAnsi="宋体"/>
                <w:sz w:val="18"/>
                <w:szCs w:val="18"/>
              </w:rPr>
              <w:t>不得分</w:t>
            </w:r>
            <w:r>
              <w:rPr>
                <w:rFonts w:hint="eastAsia" w:ascii="宋体" w:hAnsi="宋体"/>
                <w:sz w:val="18"/>
              </w:rPr>
              <w:t>；</w:t>
            </w:r>
          </w:p>
          <w:p w14:paraId="01DF196B">
            <w:pPr>
              <w:adjustRightInd w:val="0"/>
              <w:snapToGrid w:val="0"/>
              <w:jc w:val="left"/>
              <w:rPr>
                <w:rFonts w:hint="eastAsia" w:ascii="宋体" w:hAnsi="宋体" w:eastAsia="宋体" w:cs="Times New Roman"/>
                <w:kern w:val="2"/>
                <w:sz w:val="18"/>
                <w:szCs w:val="24"/>
                <w:lang w:val="en-US" w:eastAsia="zh-CN" w:bidi="ar-SA"/>
              </w:rPr>
            </w:pPr>
            <w:r>
              <w:rPr>
                <w:rFonts w:hint="eastAsia" w:ascii="宋体" w:hAnsi="宋体"/>
                <w:sz w:val="18"/>
              </w:rPr>
              <w:t>2）安全生产规章制度的相关执行记录</w:t>
            </w:r>
            <w:r>
              <w:rPr>
                <w:rFonts w:ascii="宋体" w:hAnsi="宋体"/>
                <w:sz w:val="18"/>
              </w:rPr>
              <w:t>保存期限</w:t>
            </w:r>
            <w:r>
              <w:rPr>
                <w:rFonts w:hint="eastAsia" w:ascii="宋体" w:hAnsi="宋体"/>
                <w:sz w:val="18"/>
              </w:rPr>
              <w:t>小于3</w:t>
            </w:r>
            <w:r>
              <w:rPr>
                <w:rFonts w:ascii="宋体" w:hAnsi="宋体"/>
                <w:sz w:val="18"/>
              </w:rPr>
              <w:t>年</w:t>
            </w:r>
            <w:r>
              <w:rPr>
                <w:rFonts w:hint="eastAsia" w:ascii="宋体" w:hAnsi="宋体"/>
                <w:sz w:val="18"/>
              </w:rPr>
              <w:t>，扣1分。</w:t>
            </w:r>
          </w:p>
        </w:tc>
        <w:tc>
          <w:tcPr>
            <w:tcW w:w="605" w:type="dxa"/>
            <w:tcBorders>
              <w:top w:val="single" w:color="auto" w:sz="8" w:space="0"/>
              <w:bottom w:val="single" w:color="auto" w:sz="8" w:space="0"/>
            </w:tcBorders>
            <w:noWrap w:val="0"/>
            <w:vAlign w:val="center"/>
          </w:tcPr>
          <w:p w14:paraId="08B205F9">
            <w:pPr>
              <w:adjustRightInd w:val="0"/>
              <w:snapToGrid w:val="0"/>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49D46C9C">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bottom w:val="single" w:color="auto" w:sz="8" w:space="0"/>
            </w:tcBorders>
            <w:noWrap w:val="0"/>
            <w:vAlign w:val="center"/>
          </w:tcPr>
          <w:p w14:paraId="66C60B38">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002027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44DB638D">
            <w:pPr>
              <w:adjustRightInd w:val="0"/>
              <w:snapToGrid w:val="0"/>
              <w:spacing w:line="240" w:lineRule="atLeast"/>
              <w:jc w:val="center"/>
              <w:rPr>
                <w:rFonts w:hint="eastAsia" w:ascii="宋体" w:hAnsi="Times New Roman" w:eastAsia="宋体" w:cs="Times New Roman"/>
                <w:kern w:val="2"/>
                <w:sz w:val="18"/>
                <w:szCs w:val="24"/>
                <w:lang w:val="en-US" w:eastAsia="zh-CN" w:bidi="ar-SA"/>
              </w:rPr>
            </w:pPr>
            <w:r>
              <w:rPr>
                <w:rFonts w:hint="eastAsia" w:ascii="宋体"/>
                <w:sz w:val="18"/>
              </w:rPr>
              <w:t>1.3</w:t>
            </w:r>
          </w:p>
        </w:tc>
        <w:tc>
          <w:tcPr>
            <w:tcW w:w="5874" w:type="dxa"/>
            <w:tcBorders>
              <w:top w:val="single" w:color="auto" w:sz="8" w:space="0"/>
              <w:bottom w:val="single" w:color="auto" w:sz="8" w:space="0"/>
            </w:tcBorders>
            <w:noWrap w:val="0"/>
            <w:vAlign w:val="center"/>
          </w:tcPr>
          <w:p w14:paraId="3E21424F">
            <w:pPr>
              <w:adjustRightInd w:val="0"/>
              <w:snapToGrid w:val="0"/>
              <w:spacing w:line="240" w:lineRule="atLeast"/>
              <w:rPr>
                <w:rFonts w:hint="eastAsia" w:ascii="宋体" w:hAnsi="Times New Roman" w:eastAsia="宋体" w:cs="Times New Roman"/>
                <w:kern w:val="2"/>
                <w:sz w:val="18"/>
                <w:szCs w:val="24"/>
                <w:lang w:val="en-US" w:eastAsia="zh-CN" w:bidi="ar-SA"/>
              </w:rPr>
            </w:pPr>
            <w:r>
              <w:rPr>
                <w:rFonts w:hint="eastAsia" w:ascii="宋体"/>
                <w:sz w:val="18"/>
              </w:rPr>
              <w:t>安全操作规程</w:t>
            </w:r>
          </w:p>
        </w:tc>
        <w:tc>
          <w:tcPr>
            <w:tcW w:w="580" w:type="dxa"/>
            <w:tcBorders>
              <w:top w:val="single" w:color="auto" w:sz="8" w:space="0"/>
              <w:bottom w:val="single" w:color="auto" w:sz="8" w:space="0"/>
            </w:tcBorders>
            <w:noWrap w:val="0"/>
            <w:vAlign w:val="center"/>
          </w:tcPr>
          <w:p w14:paraId="07E19A4E">
            <w:pPr>
              <w:adjustRightInd w:val="0"/>
              <w:snapToGrid w:val="0"/>
              <w:jc w:val="center"/>
              <w:rPr>
                <w:rFonts w:ascii="宋体" w:hAnsi="Times New Roman" w:eastAsia="宋体" w:cs="Times New Roman"/>
                <w:kern w:val="2"/>
                <w:sz w:val="18"/>
                <w:szCs w:val="24"/>
                <w:lang w:val="en-US" w:eastAsia="zh-CN" w:bidi="ar-SA"/>
              </w:rPr>
            </w:pPr>
            <w:r>
              <w:rPr>
                <w:rFonts w:hint="eastAsia" w:ascii="宋体"/>
                <w:sz w:val="18"/>
              </w:rPr>
              <w:t>20</w:t>
            </w:r>
          </w:p>
        </w:tc>
        <w:tc>
          <w:tcPr>
            <w:tcW w:w="605" w:type="dxa"/>
            <w:tcBorders>
              <w:top w:val="single" w:color="auto" w:sz="8" w:space="0"/>
              <w:bottom w:val="single" w:color="auto" w:sz="8" w:space="0"/>
            </w:tcBorders>
            <w:noWrap w:val="0"/>
            <w:vAlign w:val="center"/>
          </w:tcPr>
          <w:p w14:paraId="03EEC89F">
            <w:pPr>
              <w:adjustRightInd w:val="0"/>
              <w:snapToGrid w:val="0"/>
              <w:jc w:val="center"/>
              <w:rPr>
                <w:rFonts w:hint="eastAsia"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0928EB44">
            <w:pPr>
              <w:adjustRightInd w:val="0"/>
              <w:snapToGrid w:val="0"/>
              <w:jc w:val="center"/>
              <w:rPr>
                <w:rFonts w:hint="eastAsia" w:ascii="宋体" w:hAnsi="Times New Roman" w:eastAsia="宋体" w:cs="Times New Roman"/>
                <w:kern w:val="2"/>
                <w:sz w:val="18"/>
                <w:szCs w:val="24"/>
                <w:lang w:val="en-US" w:eastAsia="zh-CN" w:bidi="ar-SA"/>
              </w:rPr>
            </w:pPr>
          </w:p>
        </w:tc>
        <w:tc>
          <w:tcPr>
            <w:tcW w:w="4563" w:type="dxa"/>
            <w:tcBorders>
              <w:top w:val="single" w:color="auto" w:sz="8" w:space="0"/>
              <w:bottom w:val="single" w:color="auto" w:sz="8" w:space="0"/>
            </w:tcBorders>
            <w:noWrap w:val="0"/>
            <w:vAlign w:val="center"/>
          </w:tcPr>
          <w:p w14:paraId="7B8F3CEE">
            <w:pPr>
              <w:adjustRightInd w:val="0"/>
              <w:snapToGrid w:val="0"/>
              <w:rPr>
                <w:rFonts w:hint="eastAsia"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710C4814">
            <w:pPr>
              <w:adjustRightInd w:val="0"/>
              <w:snapToGrid w:val="0"/>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77985FDB">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bottom w:val="single" w:color="auto" w:sz="8" w:space="0"/>
            </w:tcBorders>
            <w:noWrap w:val="0"/>
            <w:vAlign w:val="center"/>
          </w:tcPr>
          <w:p w14:paraId="251FBB11">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24F00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56C3BA06">
            <w:pPr>
              <w:adjustRightInd w:val="0"/>
              <w:snapToGrid w:val="0"/>
              <w:spacing w:line="240" w:lineRule="atLeast"/>
              <w:jc w:val="center"/>
              <w:rPr>
                <w:rFonts w:hint="eastAsia" w:ascii="宋体" w:hAnsi="Times New Roman" w:eastAsia="宋体" w:cs="Times New Roman"/>
                <w:kern w:val="2"/>
                <w:sz w:val="18"/>
                <w:szCs w:val="24"/>
                <w:lang w:val="en-US" w:eastAsia="zh-CN" w:bidi="ar-SA"/>
              </w:rPr>
            </w:pPr>
            <w:r>
              <w:rPr>
                <w:rFonts w:hint="eastAsia" w:ascii="宋体"/>
                <w:sz w:val="18"/>
              </w:rPr>
              <w:t>1.3.1</w:t>
            </w:r>
          </w:p>
        </w:tc>
        <w:tc>
          <w:tcPr>
            <w:tcW w:w="5874" w:type="dxa"/>
            <w:tcBorders>
              <w:top w:val="single" w:color="auto" w:sz="8" w:space="0"/>
              <w:bottom w:val="single" w:color="auto" w:sz="8" w:space="0"/>
            </w:tcBorders>
            <w:noWrap w:val="0"/>
            <w:vAlign w:val="center"/>
          </w:tcPr>
          <w:p w14:paraId="444B5B51">
            <w:pPr>
              <w:adjustRightInd w:val="0"/>
              <w:snapToGrid w:val="0"/>
              <w:spacing w:line="240" w:lineRule="atLeast"/>
              <w:rPr>
                <w:rFonts w:hint="eastAsia" w:ascii="宋体" w:hAnsi="Times New Roman" w:eastAsia="宋体" w:cs="Times New Roman"/>
                <w:kern w:val="2"/>
                <w:sz w:val="18"/>
                <w:szCs w:val="24"/>
                <w:lang w:val="en-US" w:eastAsia="zh-CN" w:bidi="ar-SA"/>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在危险源辨识的基础上，编制餐饮作业、设备操作、设备维修、水上和冰雪活动运营、客运索道运行、大型游乐设施及其他危险性较大的游乐设施运行、危险性动物饲养和训练等现场作业活动的岗位安全操作规程。</w:t>
            </w:r>
          </w:p>
        </w:tc>
        <w:tc>
          <w:tcPr>
            <w:tcW w:w="580" w:type="dxa"/>
            <w:tcBorders>
              <w:top w:val="single" w:color="auto" w:sz="8" w:space="0"/>
              <w:bottom w:val="single" w:color="auto" w:sz="8" w:space="0"/>
            </w:tcBorders>
            <w:noWrap w:val="0"/>
            <w:vAlign w:val="center"/>
          </w:tcPr>
          <w:p w14:paraId="7A255556">
            <w:pPr>
              <w:adjustRightInd w:val="0"/>
              <w:snapToGrid w:val="0"/>
              <w:jc w:val="center"/>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38885FEB">
            <w:pPr>
              <w:adjustRightInd w:val="0"/>
              <w:snapToGrid w:val="0"/>
              <w:jc w:val="center"/>
              <w:rPr>
                <w:rFonts w:hint="eastAsia"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56B7EC43">
            <w:pPr>
              <w:adjustRightInd w:val="0"/>
              <w:snapToGrid w:val="0"/>
              <w:jc w:val="center"/>
              <w:rPr>
                <w:rFonts w:hint="eastAsia" w:ascii="宋体" w:hAnsi="Times New Roman" w:eastAsia="宋体" w:cs="Times New Roman"/>
                <w:kern w:val="2"/>
                <w:sz w:val="18"/>
                <w:szCs w:val="24"/>
                <w:lang w:val="en-US" w:eastAsia="zh-CN" w:bidi="ar-SA"/>
              </w:rPr>
            </w:pPr>
            <w:r>
              <w:rPr>
                <w:rFonts w:hint="eastAsia" w:ascii="宋体"/>
                <w:sz w:val="18"/>
              </w:rPr>
              <w:t>5</w:t>
            </w:r>
          </w:p>
        </w:tc>
        <w:tc>
          <w:tcPr>
            <w:tcW w:w="4563" w:type="dxa"/>
            <w:tcBorders>
              <w:top w:val="single" w:color="auto" w:sz="8" w:space="0"/>
              <w:bottom w:val="single" w:color="auto" w:sz="8" w:space="0"/>
            </w:tcBorders>
            <w:noWrap w:val="0"/>
            <w:vAlign w:val="center"/>
          </w:tcPr>
          <w:p w14:paraId="2A9BCC2F">
            <w:pPr>
              <w:adjustRightInd w:val="0"/>
              <w:snapToGrid w:val="0"/>
              <w:rPr>
                <w:rFonts w:ascii="宋体"/>
                <w:sz w:val="18"/>
              </w:rPr>
            </w:pPr>
            <w:r>
              <w:rPr>
                <w:rFonts w:hint="eastAsia" w:ascii="宋体"/>
                <w:sz w:val="18"/>
              </w:rPr>
              <w:t>1）无岗位安全操作规程的，“安全操作规程”评定要素不得分；</w:t>
            </w:r>
          </w:p>
          <w:p w14:paraId="738B15E0">
            <w:pPr>
              <w:adjustRightInd w:val="0"/>
              <w:snapToGrid w:val="0"/>
              <w:rPr>
                <w:rFonts w:hint="eastAsia" w:ascii="宋体" w:hAnsi="Times New Roman" w:eastAsia="宋体" w:cs="Times New Roman"/>
                <w:kern w:val="2"/>
                <w:sz w:val="18"/>
                <w:szCs w:val="24"/>
                <w:lang w:val="en-US" w:eastAsia="zh-CN" w:bidi="ar-SA"/>
              </w:rPr>
            </w:pPr>
            <w:r>
              <w:rPr>
                <w:rFonts w:hint="eastAsia" w:ascii="宋体"/>
                <w:sz w:val="18"/>
              </w:rPr>
              <w:t>2）岗位安全操作规程与实际岗位数量不符的，缺少</w:t>
            </w:r>
            <w:r>
              <w:rPr>
                <w:rFonts w:hint="eastAsia" w:ascii="宋体" w:hAnsi="宋体"/>
                <w:sz w:val="18"/>
              </w:rPr>
              <w:t>一</w:t>
            </w:r>
            <w:r>
              <w:rPr>
                <w:rFonts w:hint="eastAsia" w:ascii="宋体"/>
                <w:sz w:val="18"/>
              </w:rPr>
              <w:t>个扣2分。</w:t>
            </w:r>
          </w:p>
        </w:tc>
        <w:tc>
          <w:tcPr>
            <w:tcW w:w="605" w:type="dxa"/>
            <w:tcBorders>
              <w:top w:val="single" w:color="auto" w:sz="8" w:space="0"/>
              <w:bottom w:val="single" w:color="auto" w:sz="8" w:space="0"/>
            </w:tcBorders>
            <w:noWrap w:val="0"/>
            <w:vAlign w:val="center"/>
          </w:tcPr>
          <w:p w14:paraId="1C014FF9">
            <w:pPr>
              <w:adjustRightInd w:val="0"/>
              <w:snapToGrid w:val="0"/>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35DC70CF">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bottom w:val="single" w:color="auto" w:sz="8" w:space="0"/>
            </w:tcBorders>
            <w:noWrap w:val="0"/>
            <w:vAlign w:val="center"/>
          </w:tcPr>
          <w:p w14:paraId="7ABE13DC">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bl>
    <w:p w14:paraId="1EFA871D">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2"/>
        <w:gridCol w:w="5874"/>
        <w:gridCol w:w="580"/>
        <w:gridCol w:w="605"/>
        <w:gridCol w:w="605"/>
        <w:gridCol w:w="4563"/>
        <w:gridCol w:w="605"/>
        <w:gridCol w:w="605"/>
        <w:gridCol w:w="1004"/>
      </w:tblGrid>
      <w:tr w14:paraId="413B4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7FE9B93E">
            <w:pPr>
              <w:adjustRightInd w:val="0"/>
              <w:snapToGrid w:val="0"/>
              <w:jc w:val="center"/>
              <w:rPr>
                <w:rFonts w:ascii="宋体"/>
                <w:sz w:val="18"/>
                <w:szCs w:val="18"/>
              </w:rPr>
            </w:pPr>
            <w:r>
              <w:rPr>
                <w:rFonts w:ascii="宋体"/>
                <w:bCs/>
                <w:sz w:val="18"/>
                <w:szCs w:val="18"/>
              </w:rPr>
              <w:t>序号</w:t>
            </w:r>
          </w:p>
        </w:tc>
        <w:tc>
          <w:tcPr>
            <w:tcW w:w="5874" w:type="dxa"/>
            <w:tcBorders>
              <w:top w:val="single" w:color="auto" w:sz="8" w:space="0"/>
              <w:bottom w:val="single" w:color="auto" w:sz="8" w:space="0"/>
            </w:tcBorders>
            <w:noWrap w:val="0"/>
            <w:vAlign w:val="center"/>
          </w:tcPr>
          <w:p w14:paraId="3BC7B0A3">
            <w:pPr>
              <w:adjustRightInd w:val="0"/>
              <w:snapToGrid w:val="0"/>
              <w:jc w:val="center"/>
              <w:rPr>
                <w:rFonts w:ascii="宋体" w:hAnsi="宋体"/>
                <w:sz w:val="18"/>
                <w:szCs w:val="18"/>
              </w:rPr>
            </w:pPr>
            <w:r>
              <w:rPr>
                <w:rFonts w:ascii="宋体" w:hAnsi="宋体"/>
                <w:bCs/>
                <w:sz w:val="18"/>
                <w:szCs w:val="18"/>
              </w:rPr>
              <w:t>评定内容</w:t>
            </w:r>
          </w:p>
        </w:tc>
        <w:tc>
          <w:tcPr>
            <w:tcW w:w="580" w:type="dxa"/>
            <w:tcBorders>
              <w:top w:val="single" w:color="auto" w:sz="8" w:space="0"/>
              <w:bottom w:val="single" w:color="auto" w:sz="8" w:space="0"/>
            </w:tcBorders>
            <w:noWrap w:val="0"/>
            <w:vAlign w:val="center"/>
          </w:tcPr>
          <w:p w14:paraId="0251478D">
            <w:pPr>
              <w:adjustRightInd w:val="0"/>
              <w:snapToGrid w:val="0"/>
              <w:jc w:val="center"/>
              <w:rPr>
                <w:rFonts w:ascii="宋体"/>
                <w:sz w:val="18"/>
                <w:szCs w:val="18"/>
              </w:rPr>
            </w:pPr>
            <w:r>
              <w:rPr>
                <w:rFonts w:ascii="宋体"/>
                <w:bCs/>
                <w:sz w:val="18"/>
                <w:szCs w:val="18"/>
              </w:rPr>
              <w:t>评定要素分值</w:t>
            </w:r>
          </w:p>
        </w:tc>
        <w:tc>
          <w:tcPr>
            <w:tcW w:w="605" w:type="dxa"/>
            <w:tcBorders>
              <w:top w:val="single" w:color="auto" w:sz="8" w:space="0"/>
              <w:bottom w:val="single" w:color="auto" w:sz="8" w:space="0"/>
            </w:tcBorders>
            <w:noWrap w:val="0"/>
            <w:vAlign w:val="center"/>
          </w:tcPr>
          <w:p w14:paraId="5051DE24">
            <w:pPr>
              <w:adjustRightInd w:val="0"/>
              <w:snapToGrid w:val="0"/>
              <w:jc w:val="center"/>
              <w:rPr>
                <w:rFonts w:ascii="宋体"/>
                <w:sz w:val="18"/>
                <w:szCs w:val="18"/>
              </w:rPr>
            </w:pPr>
            <w:r>
              <w:rPr>
                <w:rFonts w:ascii="宋体"/>
                <w:bCs/>
                <w:sz w:val="18"/>
                <w:szCs w:val="18"/>
              </w:rPr>
              <w:t>评定细项分值</w:t>
            </w:r>
          </w:p>
        </w:tc>
        <w:tc>
          <w:tcPr>
            <w:tcW w:w="605" w:type="dxa"/>
            <w:tcBorders>
              <w:top w:val="single" w:color="auto" w:sz="8" w:space="0"/>
              <w:bottom w:val="single" w:color="auto" w:sz="8" w:space="0"/>
            </w:tcBorders>
            <w:noWrap w:val="0"/>
            <w:vAlign w:val="center"/>
          </w:tcPr>
          <w:p w14:paraId="71A84FC8">
            <w:pPr>
              <w:adjustRightInd w:val="0"/>
              <w:snapToGrid w:val="0"/>
              <w:jc w:val="center"/>
              <w:rPr>
                <w:rFonts w:ascii="宋体"/>
                <w:sz w:val="18"/>
                <w:szCs w:val="18"/>
              </w:rPr>
            </w:pPr>
            <w:r>
              <w:rPr>
                <w:rFonts w:ascii="宋体"/>
                <w:bCs/>
                <w:sz w:val="18"/>
                <w:szCs w:val="18"/>
              </w:rPr>
              <w:t>评定条款分值</w:t>
            </w:r>
          </w:p>
        </w:tc>
        <w:tc>
          <w:tcPr>
            <w:tcW w:w="4563" w:type="dxa"/>
            <w:tcBorders>
              <w:top w:val="single" w:color="auto" w:sz="8" w:space="0"/>
              <w:bottom w:val="single" w:color="auto" w:sz="8" w:space="0"/>
            </w:tcBorders>
            <w:noWrap w:val="0"/>
            <w:vAlign w:val="center"/>
          </w:tcPr>
          <w:p w14:paraId="7864462A">
            <w:pPr>
              <w:adjustRightInd w:val="0"/>
              <w:snapToGrid w:val="0"/>
              <w:jc w:val="center"/>
              <w:rPr>
                <w:rFonts w:ascii="宋体"/>
                <w:sz w:val="18"/>
                <w:szCs w:val="18"/>
              </w:rPr>
            </w:pPr>
            <w:r>
              <w:rPr>
                <w:rFonts w:ascii="宋体"/>
                <w:bCs/>
                <w:sz w:val="18"/>
                <w:szCs w:val="18"/>
              </w:rPr>
              <w:t>评分标准</w:t>
            </w:r>
          </w:p>
        </w:tc>
        <w:tc>
          <w:tcPr>
            <w:tcW w:w="605" w:type="dxa"/>
            <w:tcBorders>
              <w:top w:val="single" w:color="auto" w:sz="8" w:space="0"/>
              <w:bottom w:val="single" w:color="auto" w:sz="8" w:space="0"/>
            </w:tcBorders>
            <w:noWrap w:val="0"/>
            <w:vAlign w:val="center"/>
          </w:tcPr>
          <w:p w14:paraId="07C7BF84">
            <w:pPr>
              <w:adjustRightInd w:val="0"/>
              <w:snapToGrid w:val="0"/>
              <w:jc w:val="center"/>
              <w:rPr>
                <w:rFonts w:ascii="宋体" w:hAnsi="宋体"/>
                <w:sz w:val="18"/>
                <w:szCs w:val="18"/>
              </w:rPr>
            </w:pPr>
            <w:r>
              <w:rPr>
                <w:rFonts w:ascii="宋体" w:hAnsi="宋体"/>
                <w:bCs/>
                <w:sz w:val="18"/>
                <w:szCs w:val="18"/>
              </w:rPr>
              <w:t>评定得分</w:t>
            </w:r>
          </w:p>
        </w:tc>
        <w:tc>
          <w:tcPr>
            <w:tcW w:w="605" w:type="dxa"/>
            <w:tcBorders>
              <w:top w:val="single" w:color="auto" w:sz="8" w:space="0"/>
              <w:bottom w:val="single" w:color="auto" w:sz="8" w:space="0"/>
            </w:tcBorders>
            <w:noWrap w:val="0"/>
            <w:vAlign w:val="center"/>
          </w:tcPr>
          <w:p w14:paraId="26C7837F">
            <w:pPr>
              <w:adjustRightInd w:val="0"/>
              <w:snapToGrid w:val="0"/>
              <w:jc w:val="center"/>
              <w:rPr>
                <w:rFonts w:ascii="宋体" w:hAnsi="宋体"/>
                <w:sz w:val="18"/>
                <w:szCs w:val="18"/>
              </w:rPr>
            </w:pPr>
            <w:r>
              <w:rPr>
                <w:rFonts w:ascii="宋体" w:hAnsi="宋体"/>
                <w:bCs/>
                <w:sz w:val="18"/>
                <w:szCs w:val="18"/>
              </w:rPr>
              <w:t>扣分说明</w:t>
            </w:r>
          </w:p>
        </w:tc>
        <w:tc>
          <w:tcPr>
            <w:tcW w:w="1004" w:type="dxa"/>
            <w:tcBorders>
              <w:top w:val="single" w:color="auto" w:sz="8" w:space="0"/>
              <w:bottom w:val="single" w:color="auto" w:sz="8" w:space="0"/>
            </w:tcBorders>
            <w:noWrap w:val="0"/>
            <w:vAlign w:val="center"/>
          </w:tcPr>
          <w:p w14:paraId="7E598E33">
            <w:pPr>
              <w:adjustRightInd w:val="0"/>
              <w:snapToGrid w:val="0"/>
              <w:jc w:val="center"/>
              <w:rPr>
                <w:rFonts w:ascii="宋体" w:hAnsi="宋体"/>
                <w:sz w:val="18"/>
                <w:szCs w:val="18"/>
              </w:rPr>
            </w:pPr>
            <w:r>
              <w:rPr>
                <w:rFonts w:ascii="宋体" w:hAnsi="宋体"/>
                <w:bCs/>
                <w:sz w:val="18"/>
                <w:szCs w:val="18"/>
              </w:rPr>
              <w:t>对应条款编号</w:t>
            </w:r>
          </w:p>
        </w:tc>
      </w:tr>
      <w:tr w14:paraId="5A6542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912" w:type="dxa"/>
            <w:tcBorders>
              <w:top w:val="single" w:color="auto" w:sz="8" w:space="0"/>
              <w:bottom w:val="single" w:color="auto" w:sz="8" w:space="0"/>
            </w:tcBorders>
            <w:noWrap w:val="0"/>
            <w:vAlign w:val="center"/>
          </w:tcPr>
          <w:p w14:paraId="401189C3">
            <w:pPr>
              <w:widowControl/>
              <w:jc w:val="center"/>
              <w:rPr>
                <w:rFonts w:hint="eastAsia" w:ascii="宋体" w:hAnsi="宋体"/>
                <w:sz w:val="18"/>
              </w:rPr>
            </w:pPr>
            <w:r>
              <w:rPr>
                <w:rFonts w:hint="eastAsia" w:ascii="宋体" w:hAnsi="宋体"/>
                <w:sz w:val="18"/>
              </w:rPr>
              <w:t>1.3.2</w:t>
            </w:r>
          </w:p>
        </w:tc>
        <w:tc>
          <w:tcPr>
            <w:tcW w:w="5874" w:type="dxa"/>
            <w:tcBorders>
              <w:top w:val="single" w:color="auto" w:sz="8" w:space="0"/>
              <w:bottom w:val="single" w:color="auto" w:sz="8" w:space="0"/>
            </w:tcBorders>
            <w:noWrap w:val="0"/>
            <w:vAlign w:val="center"/>
          </w:tcPr>
          <w:p w14:paraId="60126B30">
            <w:pPr>
              <w:adjustRightInd w:val="0"/>
              <w:snapToGrid w:val="0"/>
              <w:jc w:val="left"/>
              <w:rPr>
                <w:rFonts w:hint="eastAsia" w:ascii="宋体" w:hAnsi="宋体"/>
                <w:sz w:val="18"/>
                <w:szCs w:val="18"/>
              </w:rPr>
            </w:pPr>
            <w:r>
              <w:rPr>
                <w:rFonts w:hint="eastAsia" w:ascii="宋体" w:hAnsi="宋体"/>
                <w:sz w:val="18"/>
                <w:szCs w:val="18"/>
              </w:rPr>
              <w:t>岗位安全操作规程应包括下列内容：</w:t>
            </w:r>
          </w:p>
          <w:p w14:paraId="4CE6241D">
            <w:pPr>
              <w:adjustRightInd w:val="0"/>
              <w:snapToGrid w:val="0"/>
              <w:jc w:val="left"/>
              <w:rPr>
                <w:rFonts w:hint="eastAsia" w:ascii="宋体" w:hAnsi="宋体"/>
                <w:sz w:val="18"/>
                <w:szCs w:val="18"/>
              </w:rPr>
            </w:pPr>
            <w:r>
              <w:rPr>
                <w:rFonts w:hint="eastAsia" w:ascii="宋体" w:hAnsi="宋体"/>
                <w:sz w:val="18"/>
                <w:szCs w:val="18"/>
              </w:rPr>
              <w:t>a）适用范围；</w:t>
            </w:r>
          </w:p>
          <w:p w14:paraId="795B1560">
            <w:pPr>
              <w:adjustRightInd w:val="0"/>
              <w:snapToGrid w:val="0"/>
              <w:jc w:val="left"/>
              <w:rPr>
                <w:rFonts w:hint="eastAsia" w:ascii="宋体" w:hAnsi="宋体"/>
                <w:sz w:val="18"/>
                <w:szCs w:val="18"/>
              </w:rPr>
            </w:pPr>
            <w:r>
              <w:rPr>
                <w:rFonts w:hint="eastAsia" w:ascii="宋体" w:hAnsi="宋体"/>
                <w:sz w:val="18"/>
                <w:szCs w:val="18"/>
              </w:rPr>
              <w:t>b）岗位存在的主要危险源及控制要求；</w:t>
            </w:r>
          </w:p>
          <w:p w14:paraId="18B837E9">
            <w:pPr>
              <w:adjustRightInd w:val="0"/>
              <w:snapToGrid w:val="0"/>
              <w:jc w:val="left"/>
              <w:rPr>
                <w:rFonts w:hint="eastAsia" w:ascii="宋体" w:hAnsi="宋体"/>
                <w:sz w:val="18"/>
                <w:szCs w:val="18"/>
              </w:rPr>
            </w:pPr>
            <w:r>
              <w:rPr>
                <w:rFonts w:hint="eastAsia" w:ascii="宋体" w:hAnsi="宋体"/>
                <w:sz w:val="18"/>
                <w:szCs w:val="18"/>
              </w:rPr>
              <w:t>c）设备使用方法或作业程序；</w:t>
            </w:r>
          </w:p>
          <w:p w14:paraId="21A5B3D3">
            <w:pPr>
              <w:adjustRightInd w:val="0"/>
              <w:snapToGrid w:val="0"/>
              <w:jc w:val="left"/>
              <w:rPr>
                <w:rFonts w:hint="eastAsia" w:ascii="宋体" w:hAnsi="宋体"/>
                <w:sz w:val="18"/>
                <w:szCs w:val="18"/>
              </w:rPr>
            </w:pPr>
            <w:r>
              <w:rPr>
                <w:rFonts w:hint="eastAsia" w:ascii="宋体" w:hAnsi="宋体"/>
                <w:sz w:val="18"/>
                <w:szCs w:val="18"/>
              </w:rPr>
              <w:t>d）个体防护要求；</w:t>
            </w:r>
          </w:p>
          <w:p w14:paraId="4132E168">
            <w:pPr>
              <w:adjustRightInd w:val="0"/>
              <w:snapToGrid w:val="0"/>
              <w:jc w:val="left"/>
              <w:rPr>
                <w:rFonts w:hint="eastAsia" w:ascii="宋体" w:hAnsi="宋体"/>
                <w:sz w:val="18"/>
                <w:szCs w:val="18"/>
              </w:rPr>
            </w:pPr>
            <w:r>
              <w:rPr>
                <w:rFonts w:hint="eastAsia" w:ascii="宋体" w:hAnsi="宋体"/>
                <w:sz w:val="18"/>
                <w:szCs w:val="18"/>
              </w:rPr>
              <w:t>e）严禁事项；</w:t>
            </w:r>
          </w:p>
          <w:p w14:paraId="71AEAE61">
            <w:pPr>
              <w:adjustRightInd w:val="0"/>
              <w:snapToGrid w:val="0"/>
              <w:jc w:val="left"/>
              <w:rPr>
                <w:rFonts w:hint="eastAsia" w:ascii="宋体" w:hAnsi="宋体"/>
                <w:sz w:val="18"/>
                <w:szCs w:val="18"/>
              </w:rPr>
            </w:pPr>
            <w:r>
              <w:rPr>
                <w:rFonts w:hint="eastAsia" w:ascii="宋体" w:hAnsi="宋体"/>
                <w:sz w:val="18"/>
                <w:szCs w:val="18"/>
              </w:rPr>
              <w:t>f）紧急情况现场处置措施。</w:t>
            </w:r>
          </w:p>
        </w:tc>
        <w:tc>
          <w:tcPr>
            <w:tcW w:w="580" w:type="dxa"/>
            <w:tcBorders>
              <w:top w:val="single" w:color="auto" w:sz="8" w:space="0"/>
              <w:bottom w:val="single" w:color="auto" w:sz="8" w:space="0"/>
            </w:tcBorders>
            <w:noWrap w:val="0"/>
            <w:vAlign w:val="center"/>
          </w:tcPr>
          <w:p w14:paraId="055AC3AC">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0EA571A2">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6270C05C">
            <w:pPr>
              <w:widowControl/>
              <w:jc w:val="center"/>
              <w:rPr>
                <w:rFonts w:hint="eastAsia" w:ascii="宋体" w:hAnsi="宋体"/>
                <w:sz w:val="18"/>
              </w:rPr>
            </w:pPr>
            <w:r>
              <w:rPr>
                <w:rFonts w:hint="eastAsia" w:ascii="宋体" w:hAnsi="宋体"/>
                <w:sz w:val="18"/>
              </w:rPr>
              <w:t>10</w:t>
            </w:r>
          </w:p>
        </w:tc>
        <w:tc>
          <w:tcPr>
            <w:tcW w:w="4563" w:type="dxa"/>
            <w:tcBorders>
              <w:top w:val="single" w:color="auto" w:sz="8" w:space="0"/>
              <w:bottom w:val="single" w:color="auto" w:sz="8" w:space="0"/>
            </w:tcBorders>
            <w:noWrap w:val="0"/>
            <w:vAlign w:val="center"/>
          </w:tcPr>
          <w:p w14:paraId="2020265C">
            <w:pPr>
              <w:adjustRightInd w:val="0"/>
              <w:snapToGrid w:val="0"/>
              <w:jc w:val="left"/>
              <w:rPr>
                <w:rFonts w:ascii="宋体" w:hAnsi="宋体"/>
                <w:sz w:val="18"/>
              </w:rPr>
            </w:pPr>
            <w:r>
              <w:rPr>
                <w:rFonts w:hint="eastAsia" w:ascii="宋体" w:hAnsi="宋体"/>
                <w:sz w:val="18"/>
              </w:rPr>
              <w:t>1）岗位操作规程内容缺少一处，扣2分；</w:t>
            </w:r>
          </w:p>
          <w:p w14:paraId="4AEBE087">
            <w:pPr>
              <w:adjustRightInd w:val="0"/>
              <w:snapToGrid w:val="0"/>
              <w:jc w:val="left"/>
              <w:rPr>
                <w:rFonts w:hint="eastAsia" w:ascii="宋体" w:hAnsi="宋体"/>
                <w:sz w:val="18"/>
              </w:rPr>
            </w:pPr>
            <w:r>
              <w:rPr>
                <w:rFonts w:hint="eastAsia" w:ascii="宋体" w:hAnsi="宋体"/>
                <w:sz w:val="18"/>
              </w:rPr>
              <w:t>2）岗位操作规程不适用、不具有可操作性的，每个扣3分。</w:t>
            </w:r>
          </w:p>
        </w:tc>
        <w:tc>
          <w:tcPr>
            <w:tcW w:w="605" w:type="dxa"/>
            <w:tcBorders>
              <w:top w:val="single" w:color="auto" w:sz="8" w:space="0"/>
              <w:bottom w:val="single" w:color="auto" w:sz="8" w:space="0"/>
            </w:tcBorders>
            <w:noWrap w:val="0"/>
            <w:vAlign w:val="center"/>
          </w:tcPr>
          <w:p w14:paraId="69C111BD">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0451D139">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658C56ED">
            <w:pPr>
              <w:jc w:val="center"/>
            </w:pPr>
            <w:r>
              <w:rPr>
                <w:rFonts w:hint="eastAsia" w:ascii="宋体" w:hAnsi="宋体"/>
                <w:bCs/>
                <w:sz w:val="18"/>
                <w:szCs w:val="18"/>
                <w:lang w:eastAsia="zh-CN"/>
              </w:rPr>
              <w:t>4.</w:t>
            </w:r>
            <w:r>
              <w:rPr>
                <w:rFonts w:hint="eastAsia" w:ascii="宋体" w:hAnsi="宋体"/>
                <w:bCs/>
                <w:sz w:val="18"/>
                <w:szCs w:val="18"/>
              </w:rPr>
              <w:t>1</w:t>
            </w:r>
          </w:p>
        </w:tc>
      </w:tr>
      <w:tr w14:paraId="1469F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06B83CD8">
            <w:pPr>
              <w:widowControl/>
              <w:jc w:val="center"/>
              <w:rPr>
                <w:rFonts w:hint="eastAsia" w:ascii="宋体" w:hAnsi="宋体"/>
                <w:sz w:val="18"/>
              </w:rPr>
            </w:pPr>
            <w:r>
              <w:rPr>
                <w:rFonts w:hint="eastAsia" w:ascii="宋体" w:hAnsi="宋体"/>
                <w:sz w:val="18"/>
              </w:rPr>
              <w:t>1.3.3</w:t>
            </w:r>
          </w:p>
        </w:tc>
        <w:tc>
          <w:tcPr>
            <w:tcW w:w="5874" w:type="dxa"/>
            <w:tcBorders>
              <w:top w:val="single" w:color="auto" w:sz="8" w:space="0"/>
              <w:bottom w:val="single" w:color="auto" w:sz="8" w:space="0"/>
            </w:tcBorders>
            <w:noWrap w:val="0"/>
            <w:vAlign w:val="center"/>
          </w:tcPr>
          <w:p w14:paraId="491C525D">
            <w:pPr>
              <w:adjustRightInd w:val="0"/>
              <w:snapToGrid w:val="0"/>
              <w:jc w:val="left"/>
              <w:rPr>
                <w:rFonts w:hint="eastAsia" w:ascii="宋体" w:hAnsi="宋体"/>
                <w:sz w:val="18"/>
                <w:szCs w:val="18"/>
              </w:rPr>
            </w:pPr>
            <w:r>
              <w:rPr>
                <w:rFonts w:hint="eastAsia" w:ascii="宋体" w:hAnsi="宋体"/>
                <w:sz w:val="18"/>
                <w:szCs w:val="18"/>
              </w:rPr>
              <w:t>岗位安全操作规程应经批准实施，现行有效版本应发放至相关岗位的从业人员。</w:t>
            </w:r>
          </w:p>
        </w:tc>
        <w:tc>
          <w:tcPr>
            <w:tcW w:w="580" w:type="dxa"/>
            <w:tcBorders>
              <w:top w:val="single" w:color="auto" w:sz="8" w:space="0"/>
              <w:bottom w:val="single" w:color="auto" w:sz="8" w:space="0"/>
            </w:tcBorders>
            <w:noWrap w:val="0"/>
            <w:vAlign w:val="center"/>
          </w:tcPr>
          <w:p w14:paraId="2A7CCA9D">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7C0BAE78">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1A856B11">
            <w:pPr>
              <w:widowControl/>
              <w:jc w:val="center"/>
              <w:rPr>
                <w:rFonts w:hint="eastAsia" w:ascii="宋体" w:hAnsi="宋体"/>
                <w:sz w:val="18"/>
              </w:rPr>
            </w:pPr>
            <w:r>
              <w:rPr>
                <w:rFonts w:hint="eastAsia" w:ascii="宋体" w:hAnsi="宋体"/>
                <w:sz w:val="18"/>
              </w:rPr>
              <w:t>3</w:t>
            </w:r>
          </w:p>
        </w:tc>
        <w:tc>
          <w:tcPr>
            <w:tcW w:w="4563" w:type="dxa"/>
            <w:tcBorders>
              <w:top w:val="single" w:color="auto" w:sz="8" w:space="0"/>
              <w:bottom w:val="single" w:color="auto" w:sz="8" w:space="0"/>
            </w:tcBorders>
            <w:noWrap w:val="0"/>
            <w:vAlign w:val="center"/>
          </w:tcPr>
          <w:p w14:paraId="51DBD4B0">
            <w:pPr>
              <w:adjustRightInd w:val="0"/>
              <w:snapToGrid w:val="0"/>
              <w:jc w:val="left"/>
              <w:rPr>
                <w:rFonts w:ascii="宋体" w:hAnsi="宋体"/>
                <w:sz w:val="18"/>
                <w:szCs w:val="18"/>
              </w:rPr>
            </w:pPr>
            <w:r>
              <w:rPr>
                <w:rFonts w:hint="eastAsia" w:ascii="宋体" w:hAnsi="宋体"/>
                <w:sz w:val="18"/>
                <w:szCs w:val="18"/>
              </w:rPr>
              <w:t>1）</w:t>
            </w:r>
            <w:r>
              <w:rPr>
                <w:rFonts w:ascii="宋体" w:hAnsi="宋体"/>
                <w:sz w:val="18"/>
                <w:szCs w:val="18"/>
              </w:rPr>
              <w:t>主要负责人未对</w:t>
            </w:r>
            <w:r>
              <w:rPr>
                <w:rFonts w:hint="eastAsia" w:ascii="宋体" w:hAnsi="宋体"/>
                <w:sz w:val="18"/>
              </w:rPr>
              <w:t>岗位安全操作规程</w:t>
            </w:r>
            <w:r>
              <w:rPr>
                <w:rFonts w:ascii="宋体" w:hAnsi="宋体"/>
                <w:sz w:val="18"/>
                <w:szCs w:val="18"/>
              </w:rPr>
              <w:t>签署公布批准实施的，</w:t>
            </w:r>
            <w:r>
              <w:rPr>
                <w:rFonts w:hint="eastAsia" w:ascii="宋体" w:hAnsi="宋体"/>
                <w:sz w:val="18"/>
                <w:szCs w:val="18"/>
              </w:rPr>
              <w:t>扣3分；</w:t>
            </w:r>
          </w:p>
          <w:p w14:paraId="7F3DD340">
            <w:pPr>
              <w:adjustRightInd w:val="0"/>
              <w:snapToGrid w:val="0"/>
              <w:jc w:val="left"/>
              <w:rPr>
                <w:rFonts w:hint="eastAsia" w:ascii="宋体" w:hAnsi="宋体"/>
                <w:sz w:val="18"/>
                <w:szCs w:val="18"/>
              </w:rPr>
            </w:pPr>
            <w:r>
              <w:rPr>
                <w:rFonts w:hint="eastAsia" w:ascii="宋体" w:hAnsi="宋体"/>
                <w:sz w:val="18"/>
                <w:szCs w:val="18"/>
              </w:rPr>
              <w:t>2）操作规程未发放至岗位的，扣2分；</w:t>
            </w:r>
          </w:p>
          <w:p w14:paraId="2532FB4A">
            <w:pPr>
              <w:adjustRightInd w:val="0"/>
              <w:snapToGrid w:val="0"/>
              <w:jc w:val="left"/>
              <w:rPr>
                <w:rFonts w:hint="eastAsia" w:ascii="宋体" w:hAnsi="宋体"/>
                <w:sz w:val="18"/>
              </w:rPr>
            </w:pPr>
            <w:r>
              <w:rPr>
                <w:rFonts w:hint="eastAsia" w:ascii="宋体" w:hAnsi="宋体"/>
                <w:sz w:val="18"/>
                <w:szCs w:val="18"/>
              </w:rPr>
              <w:t>3）员工未掌握相关内容的，</w:t>
            </w:r>
            <w:r>
              <w:rPr>
                <w:rFonts w:hint="eastAsia" w:ascii="宋体" w:hAnsi="宋体"/>
                <w:sz w:val="18"/>
              </w:rPr>
              <w:t>一</w:t>
            </w:r>
            <w:r>
              <w:rPr>
                <w:rFonts w:hint="eastAsia" w:ascii="宋体" w:hAnsi="宋体"/>
                <w:sz w:val="18"/>
                <w:szCs w:val="18"/>
              </w:rPr>
              <w:t>人次扣2分。</w:t>
            </w:r>
          </w:p>
        </w:tc>
        <w:tc>
          <w:tcPr>
            <w:tcW w:w="605" w:type="dxa"/>
            <w:tcBorders>
              <w:top w:val="single" w:color="auto" w:sz="8" w:space="0"/>
              <w:bottom w:val="single" w:color="auto" w:sz="8" w:space="0"/>
            </w:tcBorders>
            <w:noWrap w:val="0"/>
            <w:vAlign w:val="center"/>
          </w:tcPr>
          <w:p w14:paraId="1C96A70D">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0EA53AF8">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555A9BCB">
            <w:pPr>
              <w:jc w:val="center"/>
            </w:pPr>
            <w:r>
              <w:rPr>
                <w:rFonts w:hint="eastAsia" w:ascii="宋体" w:hAnsi="宋体"/>
                <w:bCs/>
                <w:sz w:val="18"/>
                <w:szCs w:val="18"/>
                <w:lang w:eastAsia="zh-CN"/>
              </w:rPr>
              <w:t>4.</w:t>
            </w:r>
            <w:r>
              <w:rPr>
                <w:rFonts w:hint="eastAsia" w:ascii="宋体" w:hAnsi="宋体"/>
                <w:bCs/>
                <w:sz w:val="18"/>
                <w:szCs w:val="18"/>
              </w:rPr>
              <w:t>1</w:t>
            </w:r>
          </w:p>
        </w:tc>
      </w:tr>
      <w:tr w14:paraId="046A9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76BAE18A">
            <w:pPr>
              <w:widowControl/>
              <w:jc w:val="center"/>
              <w:rPr>
                <w:rFonts w:hint="eastAsia" w:ascii="宋体" w:hAnsi="宋体"/>
                <w:sz w:val="18"/>
              </w:rPr>
            </w:pPr>
            <w:r>
              <w:rPr>
                <w:rFonts w:hint="eastAsia" w:ascii="宋体" w:hAnsi="宋体"/>
                <w:sz w:val="18"/>
              </w:rPr>
              <w:t>1.3.4</w:t>
            </w:r>
          </w:p>
        </w:tc>
        <w:tc>
          <w:tcPr>
            <w:tcW w:w="5874" w:type="dxa"/>
            <w:tcBorders>
              <w:top w:val="single" w:color="auto" w:sz="8" w:space="0"/>
              <w:bottom w:val="single" w:color="auto" w:sz="8" w:space="0"/>
            </w:tcBorders>
            <w:noWrap w:val="0"/>
            <w:vAlign w:val="center"/>
          </w:tcPr>
          <w:p w14:paraId="249E6826">
            <w:pPr>
              <w:adjustRightInd w:val="0"/>
              <w:snapToGrid w:val="0"/>
              <w:jc w:val="left"/>
              <w:rPr>
                <w:rFonts w:hint="eastAsia" w:ascii="宋体" w:hAnsi="宋体"/>
                <w:sz w:val="18"/>
                <w:szCs w:val="18"/>
              </w:rPr>
            </w:pPr>
            <w:r>
              <w:rPr>
                <w:rFonts w:hint="eastAsia" w:ascii="宋体" w:hAnsi="宋体"/>
                <w:sz w:val="18"/>
                <w:szCs w:val="18"/>
              </w:rPr>
              <w:t>工艺、设备发生变化后应及时修订或更新岗位安全操作规程，并保存相关记录。</w:t>
            </w:r>
          </w:p>
        </w:tc>
        <w:tc>
          <w:tcPr>
            <w:tcW w:w="580" w:type="dxa"/>
            <w:tcBorders>
              <w:top w:val="single" w:color="auto" w:sz="8" w:space="0"/>
              <w:bottom w:val="single" w:color="auto" w:sz="8" w:space="0"/>
            </w:tcBorders>
            <w:noWrap w:val="0"/>
            <w:vAlign w:val="center"/>
          </w:tcPr>
          <w:p w14:paraId="2DE8FD35">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2827FF3B">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5FB492DA">
            <w:pPr>
              <w:widowControl/>
              <w:jc w:val="center"/>
              <w:rPr>
                <w:rFonts w:hint="eastAsia" w:ascii="宋体" w:hAnsi="宋体"/>
                <w:sz w:val="18"/>
              </w:rPr>
            </w:pPr>
            <w:r>
              <w:rPr>
                <w:rFonts w:hint="eastAsia" w:ascii="宋体" w:hAnsi="宋体"/>
                <w:sz w:val="18"/>
              </w:rPr>
              <w:t>2</w:t>
            </w:r>
          </w:p>
        </w:tc>
        <w:tc>
          <w:tcPr>
            <w:tcW w:w="4563" w:type="dxa"/>
            <w:tcBorders>
              <w:top w:val="single" w:color="auto" w:sz="8" w:space="0"/>
              <w:bottom w:val="single" w:color="auto" w:sz="8" w:space="0"/>
            </w:tcBorders>
            <w:noWrap w:val="0"/>
            <w:vAlign w:val="center"/>
          </w:tcPr>
          <w:p w14:paraId="5E81F77F">
            <w:pPr>
              <w:adjustRightInd w:val="0"/>
              <w:snapToGrid w:val="0"/>
              <w:jc w:val="left"/>
              <w:rPr>
                <w:rFonts w:ascii="宋体" w:hAnsi="宋体"/>
                <w:sz w:val="18"/>
                <w:szCs w:val="18"/>
              </w:rPr>
            </w:pPr>
            <w:r>
              <w:rPr>
                <w:rFonts w:hint="eastAsia" w:ascii="宋体" w:hAnsi="宋体"/>
                <w:sz w:val="18"/>
                <w:szCs w:val="18"/>
              </w:rPr>
              <w:t>1）</w:t>
            </w:r>
            <w:r>
              <w:rPr>
                <w:rFonts w:hint="eastAsia" w:ascii="宋体" w:hAnsi="宋体"/>
                <w:sz w:val="18"/>
              </w:rPr>
              <w:t>岗位安全操作规程未及时评审、修订、更新的</w:t>
            </w:r>
            <w:r>
              <w:rPr>
                <w:rFonts w:hint="eastAsia" w:ascii="宋体" w:hAnsi="宋体"/>
                <w:sz w:val="18"/>
                <w:szCs w:val="18"/>
              </w:rPr>
              <w:t>，扣2分；</w:t>
            </w:r>
          </w:p>
          <w:p w14:paraId="21164CC2">
            <w:pPr>
              <w:adjustRightInd w:val="0"/>
              <w:snapToGrid w:val="0"/>
              <w:jc w:val="left"/>
              <w:rPr>
                <w:rFonts w:ascii="宋体" w:hAnsi="宋体"/>
                <w:sz w:val="18"/>
                <w:szCs w:val="18"/>
              </w:rPr>
            </w:pPr>
            <w:r>
              <w:rPr>
                <w:rFonts w:hint="eastAsia" w:ascii="宋体" w:hAnsi="宋体"/>
                <w:sz w:val="18"/>
                <w:szCs w:val="18"/>
              </w:rPr>
              <w:t>2）该修订而未修订的，</w:t>
            </w:r>
            <w:r>
              <w:rPr>
                <w:rFonts w:hint="eastAsia" w:ascii="宋体" w:hAnsi="宋体"/>
                <w:sz w:val="18"/>
              </w:rPr>
              <w:t>一</w:t>
            </w:r>
            <w:r>
              <w:rPr>
                <w:rFonts w:hint="eastAsia" w:ascii="宋体" w:hAnsi="宋体"/>
                <w:sz w:val="18"/>
                <w:szCs w:val="18"/>
              </w:rPr>
              <w:t>处扣1分；</w:t>
            </w:r>
          </w:p>
          <w:p w14:paraId="0D78E430">
            <w:pPr>
              <w:adjustRightInd w:val="0"/>
              <w:snapToGrid w:val="0"/>
              <w:jc w:val="left"/>
              <w:rPr>
                <w:rFonts w:hint="eastAsia" w:ascii="宋体" w:hAnsi="宋体"/>
                <w:sz w:val="18"/>
                <w:szCs w:val="18"/>
              </w:rPr>
            </w:pPr>
            <w:r>
              <w:rPr>
                <w:rFonts w:hint="eastAsia" w:ascii="宋体" w:hAnsi="宋体"/>
                <w:sz w:val="18"/>
                <w:szCs w:val="18"/>
              </w:rPr>
              <w:t>3）无相关记录资料的，扣1分。</w:t>
            </w:r>
          </w:p>
        </w:tc>
        <w:tc>
          <w:tcPr>
            <w:tcW w:w="605" w:type="dxa"/>
            <w:tcBorders>
              <w:top w:val="single" w:color="auto" w:sz="8" w:space="0"/>
              <w:bottom w:val="single" w:color="auto" w:sz="8" w:space="0"/>
            </w:tcBorders>
            <w:noWrap w:val="0"/>
            <w:vAlign w:val="center"/>
          </w:tcPr>
          <w:p w14:paraId="488F1464">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6775F7D8">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6A28A04D">
            <w:pPr>
              <w:jc w:val="center"/>
            </w:pPr>
            <w:r>
              <w:rPr>
                <w:rFonts w:hint="eastAsia" w:ascii="宋体" w:hAnsi="宋体"/>
                <w:bCs/>
                <w:sz w:val="18"/>
                <w:szCs w:val="18"/>
                <w:lang w:eastAsia="zh-CN"/>
              </w:rPr>
              <w:t>4.</w:t>
            </w:r>
            <w:r>
              <w:rPr>
                <w:rFonts w:hint="eastAsia" w:ascii="宋体" w:hAnsi="宋体"/>
                <w:bCs/>
                <w:sz w:val="18"/>
                <w:szCs w:val="18"/>
              </w:rPr>
              <w:t>1</w:t>
            </w:r>
          </w:p>
        </w:tc>
      </w:tr>
      <w:tr w14:paraId="4F918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06FCF5D0">
            <w:pPr>
              <w:widowControl/>
              <w:jc w:val="center"/>
              <w:rPr>
                <w:rFonts w:hint="eastAsia" w:ascii="宋体" w:hAnsi="宋体"/>
                <w:sz w:val="18"/>
              </w:rPr>
            </w:pPr>
            <w:r>
              <w:rPr>
                <w:rFonts w:hint="eastAsia" w:ascii="宋体" w:hAnsi="宋体"/>
                <w:sz w:val="18"/>
              </w:rPr>
              <w:t>1.4</w:t>
            </w:r>
          </w:p>
        </w:tc>
        <w:tc>
          <w:tcPr>
            <w:tcW w:w="5874" w:type="dxa"/>
            <w:tcBorders>
              <w:top w:val="single" w:color="auto" w:sz="8" w:space="0"/>
              <w:bottom w:val="single" w:color="auto" w:sz="8" w:space="0"/>
            </w:tcBorders>
            <w:noWrap w:val="0"/>
            <w:vAlign w:val="center"/>
          </w:tcPr>
          <w:p w14:paraId="4032923C">
            <w:pPr>
              <w:adjustRightInd w:val="0"/>
              <w:snapToGrid w:val="0"/>
              <w:jc w:val="left"/>
              <w:rPr>
                <w:rFonts w:hint="eastAsia" w:ascii="宋体" w:hAnsi="宋体"/>
                <w:sz w:val="18"/>
                <w:szCs w:val="18"/>
              </w:rPr>
            </w:pPr>
            <w:r>
              <w:rPr>
                <w:rFonts w:hint="eastAsia" w:ascii="宋体" w:hAnsi="宋体"/>
                <w:sz w:val="18"/>
              </w:rPr>
              <w:t>安全生产管理机构与人员</w:t>
            </w:r>
          </w:p>
        </w:tc>
        <w:tc>
          <w:tcPr>
            <w:tcW w:w="580" w:type="dxa"/>
            <w:tcBorders>
              <w:top w:val="single" w:color="auto" w:sz="8" w:space="0"/>
              <w:bottom w:val="single" w:color="auto" w:sz="8" w:space="0"/>
            </w:tcBorders>
            <w:noWrap w:val="0"/>
            <w:vAlign w:val="center"/>
          </w:tcPr>
          <w:p w14:paraId="2A4B4738">
            <w:pPr>
              <w:widowControl/>
              <w:jc w:val="center"/>
              <w:rPr>
                <w:rFonts w:hint="eastAsia" w:ascii="宋体" w:hAnsi="宋体"/>
                <w:sz w:val="18"/>
              </w:rPr>
            </w:pPr>
            <w:r>
              <w:rPr>
                <w:rFonts w:hint="eastAsia" w:ascii="宋体" w:hAnsi="宋体"/>
                <w:sz w:val="18"/>
              </w:rPr>
              <w:t>10</w:t>
            </w:r>
          </w:p>
        </w:tc>
        <w:tc>
          <w:tcPr>
            <w:tcW w:w="605" w:type="dxa"/>
            <w:tcBorders>
              <w:top w:val="single" w:color="auto" w:sz="8" w:space="0"/>
              <w:bottom w:val="single" w:color="auto" w:sz="8" w:space="0"/>
            </w:tcBorders>
            <w:noWrap w:val="0"/>
            <w:vAlign w:val="center"/>
          </w:tcPr>
          <w:p w14:paraId="04AFBC1E">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7E1E271C">
            <w:pPr>
              <w:widowControl/>
              <w:jc w:val="center"/>
              <w:rPr>
                <w:rFonts w:hint="eastAsia" w:ascii="宋体" w:hAnsi="宋体"/>
                <w:sz w:val="18"/>
              </w:rPr>
            </w:pPr>
          </w:p>
        </w:tc>
        <w:tc>
          <w:tcPr>
            <w:tcW w:w="4563" w:type="dxa"/>
            <w:tcBorders>
              <w:top w:val="single" w:color="auto" w:sz="8" w:space="0"/>
              <w:bottom w:val="single" w:color="auto" w:sz="8" w:space="0"/>
            </w:tcBorders>
            <w:noWrap w:val="0"/>
            <w:vAlign w:val="center"/>
          </w:tcPr>
          <w:p w14:paraId="0B3F07B7">
            <w:pPr>
              <w:adjustRightInd w:val="0"/>
              <w:snapToGrid w:val="0"/>
              <w:jc w:val="left"/>
              <w:rPr>
                <w:rFonts w:hint="eastAsia" w:ascii="宋体" w:hAnsi="宋体"/>
                <w:sz w:val="18"/>
                <w:szCs w:val="18"/>
              </w:rPr>
            </w:pPr>
          </w:p>
        </w:tc>
        <w:tc>
          <w:tcPr>
            <w:tcW w:w="605" w:type="dxa"/>
            <w:tcBorders>
              <w:top w:val="single" w:color="auto" w:sz="8" w:space="0"/>
              <w:bottom w:val="single" w:color="auto" w:sz="8" w:space="0"/>
            </w:tcBorders>
            <w:noWrap w:val="0"/>
            <w:vAlign w:val="center"/>
          </w:tcPr>
          <w:p w14:paraId="28F8B9D0">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49CA3323">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7FFAA81C">
            <w:pPr>
              <w:jc w:val="center"/>
            </w:pPr>
            <w:r>
              <w:rPr>
                <w:rFonts w:hint="eastAsia" w:ascii="宋体" w:hAnsi="宋体"/>
                <w:bCs/>
                <w:sz w:val="18"/>
                <w:szCs w:val="18"/>
                <w:lang w:eastAsia="zh-CN"/>
              </w:rPr>
              <w:t>4.</w:t>
            </w:r>
            <w:r>
              <w:rPr>
                <w:rFonts w:hint="eastAsia" w:ascii="宋体" w:hAnsi="宋体"/>
                <w:bCs/>
                <w:sz w:val="18"/>
                <w:szCs w:val="18"/>
              </w:rPr>
              <w:t>1</w:t>
            </w:r>
          </w:p>
        </w:tc>
      </w:tr>
      <w:tr w14:paraId="58BFD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63A61A6D">
            <w:pPr>
              <w:widowControl/>
              <w:jc w:val="center"/>
              <w:rPr>
                <w:rFonts w:hint="eastAsia" w:ascii="宋体" w:hAnsi="宋体"/>
                <w:sz w:val="18"/>
              </w:rPr>
            </w:pPr>
            <w:r>
              <w:rPr>
                <w:rFonts w:hint="eastAsia" w:ascii="宋体" w:hAnsi="宋体"/>
                <w:sz w:val="18"/>
                <w:szCs w:val="18"/>
              </w:rPr>
              <w:t>1.4.1</w:t>
            </w:r>
          </w:p>
        </w:tc>
        <w:tc>
          <w:tcPr>
            <w:tcW w:w="5874" w:type="dxa"/>
            <w:tcBorders>
              <w:top w:val="single" w:color="auto" w:sz="8" w:space="0"/>
              <w:bottom w:val="single" w:color="auto" w:sz="8" w:space="0"/>
            </w:tcBorders>
            <w:noWrap w:val="0"/>
            <w:vAlign w:val="center"/>
          </w:tcPr>
          <w:p w14:paraId="6C9FEAC8">
            <w:pPr>
              <w:adjustRightInd/>
              <w:snapToGrid w:val="0"/>
              <w:jc w:val="left"/>
              <w:rPr>
                <w:rFonts w:hint="eastAsia" w:ascii="宋体" w:hAnsi="宋体" w:eastAsia="宋体"/>
                <w:sz w:val="18"/>
                <w:szCs w:val="18"/>
                <w:lang w:eastAsia="zh-CN"/>
              </w:rPr>
            </w:pPr>
            <w:r>
              <w:rPr>
                <w:rFonts w:hint="eastAsia" w:cs="Times New Roman"/>
                <w:sz w:val="18"/>
                <w:szCs w:val="18"/>
                <w:lang w:val="en-US" w:eastAsia="zh-CN"/>
              </w:rPr>
              <w:t>从业人员总数超过300人的景区宜推行安全总监制度。</w:t>
            </w:r>
          </w:p>
        </w:tc>
        <w:tc>
          <w:tcPr>
            <w:tcW w:w="580" w:type="dxa"/>
            <w:tcBorders>
              <w:top w:val="single" w:color="auto" w:sz="8" w:space="0"/>
              <w:bottom w:val="single" w:color="auto" w:sz="8" w:space="0"/>
            </w:tcBorders>
            <w:noWrap w:val="0"/>
            <w:vAlign w:val="center"/>
          </w:tcPr>
          <w:p w14:paraId="23521C52">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1CB301D9">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5A495B24">
            <w:pPr>
              <w:widowControl/>
              <w:jc w:val="center"/>
              <w:rPr>
                <w:rFonts w:hint="eastAsia" w:ascii="宋体" w:hAnsi="宋体"/>
                <w:sz w:val="18"/>
              </w:rPr>
            </w:pPr>
            <w:r>
              <w:rPr>
                <w:rFonts w:hint="eastAsia" w:ascii="宋体" w:hAnsi="宋体"/>
                <w:sz w:val="18"/>
                <w:szCs w:val="18"/>
              </w:rPr>
              <w:t>6</w:t>
            </w:r>
          </w:p>
        </w:tc>
        <w:tc>
          <w:tcPr>
            <w:tcW w:w="4563" w:type="dxa"/>
            <w:tcBorders>
              <w:top w:val="single" w:color="auto" w:sz="8" w:space="0"/>
              <w:bottom w:val="single" w:color="auto" w:sz="8" w:space="0"/>
            </w:tcBorders>
            <w:noWrap w:val="0"/>
            <w:vAlign w:val="center"/>
          </w:tcPr>
          <w:p w14:paraId="3BFF64D6">
            <w:pPr>
              <w:adjustRightInd w:val="0"/>
              <w:snapToGrid w:val="0"/>
              <w:jc w:val="left"/>
              <w:rPr>
                <w:rFonts w:hint="eastAsia" w:ascii="宋体" w:hAnsi="宋体"/>
                <w:sz w:val="18"/>
                <w:szCs w:val="18"/>
              </w:rPr>
            </w:pPr>
            <w:r>
              <w:rPr>
                <w:rFonts w:hint="eastAsia" w:ascii="宋体" w:hAnsi="宋体"/>
                <w:sz w:val="18"/>
                <w:szCs w:val="18"/>
                <w:lang w:val="en-US" w:eastAsia="zh-CN"/>
              </w:rPr>
              <w:t>未设置安全总监的，</w:t>
            </w:r>
            <w:r>
              <w:rPr>
                <w:rFonts w:hint="eastAsia" w:ascii="宋体" w:hAnsi="宋体"/>
                <w:sz w:val="18"/>
                <w:szCs w:val="18"/>
              </w:rPr>
              <w:t>不得分</w:t>
            </w:r>
            <w:r>
              <w:rPr>
                <w:rFonts w:hint="eastAsia" w:ascii="宋体" w:hAnsi="宋体"/>
                <w:sz w:val="18"/>
                <w:szCs w:val="18"/>
                <w:lang w:eastAsia="zh-CN"/>
              </w:rPr>
              <w:t>。</w:t>
            </w:r>
          </w:p>
        </w:tc>
        <w:tc>
          <w:tcPr>
            <w:tcW w:w="605" w:type="dxa"/>
            <w:tcBorders>
              <w:top w:val="single" w:color="auto" w:sz="8" w:space="0"/>
              <w:bottom w:val="single" w:color="auto" w:sz="8" w:space="0"/>
            </w:tcBorders>
            <w:noWrap w:val="0"/>
            <w:vAlign w:val="center"/>
          </w:tcPr>
          <w:p w14:paraId="7963E339">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474DFD0F">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1C02F776">
            <w:pPr>
              <w:jc w:val="center"/>
            </w:pPr>
            <w:r>
              <w:rPr>
                <w:rFonts w:hint="eastAsia" w:ascii="宋体" w:hAnsi="宋体"/>
                <w:bCs/>
                <w:sz w:val="18"/>
                <w:szCs w:val="18"/>
                <w:lang w:eastAsia="zh-CN"/>
              </w:rPr>
              <w:t>4.</w:t>
            </w:r>
            <w:r>
              <w:rPr>
                <w:rFonts w:hint="eastAsia" w:ascii="宋体" w:hAnsi="宋体"/>
                <w:bCs/>
                <w:sz w:val="18"/>
                <w:szCs w:val="18"/>
              </w:rPr>
              <w:t>1</w:t>
            </w:r>
          </w:p>
        </w:tc>
      </w:tr>
      <w:tr w14:paraId="791B2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19A603BB">
            <w:pPr>
              <w:widowControl/>
              <w:jc w:val="center"/>
              <w:rPr>
                <w:rFonts w:hint="eastAsia" w:ascii="宋体" w:hAnsi="宋体" w:eastAsia="宋体" w:cs="Times New Roman"/>
                <w:kern w:val="2"/>
                <w:sz w:val="18"/>
                <w:szCs w:val="18"/>
                <w:lang w:val="en-US" w:eastAsia="zh-CN" w:bidi="ar-SA"/>
              </w:rPr>
            </w:pPr>
            <w:r>
              <w:rPr>
                <w:rFonts w:hint="eastAsia" w:ascii="宋体" w:hAnsi="宋体"/>
                <w:sz w:val="18"/>
                <w:szCs w:val="18"/>
              </w:rPr>
              <w:t>1.4.2</w:t>
            </w:r>
          </w:p>
        </w:tc>
        <w:tc>
          <w:tcPr>
            <w:tcW w:w="5874" w:type="dxa"/>
            <w:tcBorders>
              <w:top w:val="single" w:color="auto" w:sz="8" w:space="0"/>
              <w:bottom w:val="single" w:color="auto" w:sz="8" w:space="0"/>
            </w:tcBorders>
            <w:noWrap w:val="0"/>
            <w:vAlign w:val="center"/>
          </w:tcPr>
          <w:p w14:paraId="67F53DEA">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应建立涵盖各层级的安全生产管理网络。</w:t>
            </w:r>
          </w:p>
        </w:tc>
        <w:tc>
          <w:tcPr>
            <w:tcW w:w="580" w:type="dxa"/>
            <w:tcBorders>
              <w:top w:val="single" w:color="auto" w:sz="8" w:space="0"/>
              <w:bottom w:val="single" w:color="auto" w:sz="8" w:space="0"/>
            </w:tcBorders>
            <w:noWrap w:val="0"/>
            <w:vAlign w:val="center"/>
          </w:tcPr>
          <w:p w14:paraId="78502CAB">
            <w:pPr>
              <w:widowControl/>
              <w:jc w:val="center"/>
              <w:rPr>
                <w:rFonts w:hint="eastAsia" w:ascii="宋体" w:hAnsi="宋体"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5E3D1826">
            <w:pPr>
              <w:widowControl/>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3D2EB9FE">
            <w:pPr>
              <w:widowControl/>
              <w:jc w:val="center"/>
              <w:rPr>
                <w:rFonts w:hint="eastAsia" w:ascii="宋体" w:hAnsi="宋体" w:eastAsia="宋体" w:cs="Times New Roman"/>
                <w:kern w:val="2"/>
                <w:sz w:val="18"/>
                <w:szCs w:val="24"/>
                <w:lang w:val="en-US" w:eastAsia="zh-CN" w:bidi="ar-SA"/>
              </w:rPr>
            </w:pPr>
            <w:r>
              <w:rPr>
                <w:rFonts w:hint="eastAsia" w:ascii="宋体" w:hAnsi="宋体"/>
                <w:sz w:val="18"/>
                <w:szCs w:val="18"/>
              </w:rPr>
              <w:t>4</w:t>
            </w:r>
          </w:p>
        </w:tc>
        <w:tc>
          <w:tcPr>
            <w:tcW w:w="4563" w:type="dxa"/>
            <w:tcBorders>
              <w:top w:val="single" w:color="auto" w:sz="8" w:space="0"/>
              <w:bottom w:val="single" w:color="auto" w:sz="8" w:space="0"/>
            </w:tcBorders>
            <w:noWrap w:val="0"/>
            <w:vAlign w:val="center"/>
          </w:tcPr>
          <w:p w14:paraId="6D22BE78">
            <w:pPr>
              <w:adjustRightInd w:val="0"/>
              <w:snapToGrid w:val="0"/>
              <w:rPr>
                <w:rFonts w:hint="eastAsia" w:ascii="宋体" w:hAnsi="宋体"/>
                <w:sz w:val="18"/>
                <w:szCs w:val="18"/>
              </w:rPr>
            </w:pPr>
            <w:r>
              <w:rPr>
                <w:rFonts w:hint="eastAsia" w:ascii="宋体" w:hAnsi="宋体"/>
                <w:sz w:val="18"/>
                <w:szCs w:val="18"/>
              </w:rPr>
              <w:t>1）</w:t>
            </w:r>
            <w:r>
              <w:rPr>
                <w:rFonts w:ascii="宋体" w:hAnsi="宋体"/>
                <w:sz w:val="18"/>
                <w:szCs w:val="18"/>
              </w:rPr>
              <w:t>未建立各层级安全生产管理网络</w:t>
            </w:r>
            <w:r>
              <w:rPr>
                <w:rFonts w:hint="eastAsia" w:ascii="宋体" w:hAnsi="宋体"/>
                <w:sz w:val="18"/>
                <w:szCs w:val="18"/>
                <w:lang w:eastAsia="zh-CN"/>
              </w:rPr>
              <w:t>，</w:t>
            </w:r>
            <w:r>
              <w:rPr>
                <w:rFonts w:hint="eastAsia" w:ascii="宋体" w:hAnsi="宋体"/>
                <w:sz w:val="18"/>
                <w:szCs w:val="18"/>
              </w:rPr>
              <w:t>扣4分；</w:t>
            </w:r>
          </w:p>
          <w:p w14:paraId="2F4FDDE8">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2）少一个层级</w:t>
            </w:r>
            <w:r>
              <w:rPr>
                <w:rFonts w:hint="eastAsia" w:ascii="宋体" w:hAnsi="宋体"/>
                <w:sz w:val="18"/>
                <w:szCs w:val="18"/>
                <w:lang w:eastAsia="zh-CN"/>
              </w:rPr>
              <w:t>，</w:t>
            </w:r>
            <w:r>
              <w:rPr>
                <w:rFonts w:hint="eastAsia" w:ascii="宋体" w:hAnsi="宋体"/>
                <w:sz w:val="18"/>
                <w:szCs w:val="18"/>
              </w:rPr>
              <w:t>扣2分。</w:t>
            </w:r>
          </w:p>
        </w:tc>
        <w:tc>
          <w:tcPr>
            <w:tcW w:w="605" w:type="dxa"/>
            <w:tcBorders>
              <w:top w:val="single" w:color="auto" w:sz="8" w:space="0"/>
              <w:bottom w:val="single" w:color="auto" w:sz="8" w:space="0"/>
            </w:tcBorders>
            <w:noWrap w:val="0"/>
            <w:vAlign w:val="center"/>
          </w:tcPr>
          <w:p w14:paraId="4288BE05">
            <w:pPr>
              <w:adjustRightInd w:val="0"/>
              <w:snapToGrid w:val="0"/>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center"/>
          </w:tcPr>
          <w:p w14:paraId="3E7403D5">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bottom w:val="single" w:color="auto" w:sz="8" w:space="0"/>
            </w:tcBorders>
            <w:noWrap w:val="0"/>
            <w:vAlign w:val="center"/>
          </w:tcPr>
          <w:p w14:paraId="14ABDE6D">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25B44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7B3DDD11">
            <w:pPr>
              <w:widowControl/>
              <w:jc w:val="center"/>
              <w:rPr>
                <w:rFonts w:hint="eastAsia" w:ascii="宋体" w:hAnsi="宋体" w:eastAsia="宋体" w:cs="Times New Roman"/>
                <w:kern w:val="2"/>
                <w:sz w:val="18"/>
                <w:szCs w:val="18"/>
                <w:lang w:val="en-US" w:eastAsia="zh-CN" w:bidi="ar-SA"/>
              </w:rPr>
            </w:pPr>
            <w:r>
              <w:rPr>
                <w:rFonts w:hint="eastAsia" w:ascii="宋体" w:hAnsi="宋体"/>
                <w:sz w:val="18"/>
              </w:rPr>
              <w:t>1.5</w:t>
            </w:r>
          </w:p>
        </w:tc>
        <w:tc>
          <w:tcPr>
            <w:tcW w:w="5874" w:type="dxa"/>
            <w:tcBorders>
              <w:top w:val="single" w:color="auto" w:sz="8" w:space="0"/>
              <w:bottom w:val="single" w:color="auto" w:sz="8" w:space="0"/>
            </w:tcBorders>
            <w:noWrap w:val="0"/>
            <w:vAlign w:val="center"/>
          </w:tcPr>
          <w:p w14:paraId="17CB1858">
            <w:pPr>
              <w:adjustRightInd w:val="0"/>
              <w:snapToGrid w:val="0"/>
              <w:spacing w:line="240" w:lineRule="atLeast"/>
              <w:rPr>
                <w:rFonts w:hint="eastAsia" w:ascii="宋体" w:hAnsi="宋体" w:eastAsia="宋体" w:cs="Times New Roman"/>
                <w:kern w:val="2"/>
                <w:sz w:val="18"/>
                <w:szCs w:val="18"/>
                <w:lang w:val="en-US" w:eastAsia="zh-CN" w:bidi="ar-SA"/>
              </w:rPr>
            </w:pPr>
            <w:r>
              <w:rPr>
                <w:rFonts w:hint="eastAsia" w:ascii="宋体" w:hAnsi="宋体"/>
                <w:sz w:val="18"/>
              </w:rPr>
              <w:t>安全生产教育培训</w:t>
            </w:r>
          </w:p>
        </w:tc>
        <w:tc>
          <w:tcPr>
            <w:tcW w:w="580" w:type="dxa"/>
            <w:tcBorders>
              <w:top w:val="single" w:color="auto" w:sz="8" w:space="0"/>
              <w:bottom w:val="single" w:color="auto" w:sz="8" w:space="0"/>
            </w:tcBorders>
            <w:noWrap w:val="0"/>
            <w:vAlign w:val="center"/>
          </w:tcPr>
          <w:p w14:paraId="736DC533">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rPr>
              <w:t>40</w:t>
            </w:r>
          </w:p>
        </w:tc>
        <w:tc>
          <w:tcPr>
            <w:tcW w:w="605" w:type="dxa"/>
            <w:tcBorders>
              <w:top w:val="single" w:color="auto" w:sz="8" w:space="0"/>
              <w:bottom w:val="single" w:color="auto" w:sz="8" w:space="0"/>
            </w:tcBorders>
            <w:noWrap w:val="0"/>
            <w:vAlign w:val="center"/>
          </w:tcPr>
          <w:p w14:paraId="3D2B192D">
            <w:pPr>
              <w:widowControl/>
              <w:jc w:val="center"/>
              <w:rPr>
                <w:rFonts w:ascii="宋体" w:hAnsi="宋体" w:eastAsia="宋体" w:cs="Times New Roman"/>
                <w:bCs/>
                <w:kern w:val="2"/>
                <w:sz w:val="18"/>
                <w:szCs w:val="18"/>
                <w:lang w:val="en-US" w:eastAsia="zh-CN" w:bidi="ar-SA"/>
              </w:rPr>
            </w:pPr>
          </w:p>
        </w:tc>
        <w:tc>
          <w:tcPr>
            <w:tcW w:w="605" w:type="dxa"/>
            <w:tcBorders>
              <w:top w:val="single" w:color="auto" w:sz="8" w:space="0"/>
            </w:tcBorders>
            <w:noWrap w:val="0"/>
            <w:vAlign w:val="center"/>
          </w:tcPr>
          <w:p w14:paraId="41ACFBF0">
            <w:pPr>
              <w:widowControl/>
              <w:jc w:val="center"/>
              <w:rPr>
                <w:rFonts w:hint="eastAsia" w:ascii="宋体" w:hAnsi="宋体" w:eastAsia="宋体" w:cs="Times New Roman"/>
                <w:kern w:val="2"/>
                <w:sz w:val="18"/>
                <w:szCs w:val="18"/>
                <w:lang w:val="en-US" w:eastAsia="zh-CN" w:bidi="ar-SA"/>
              </w:rPr>
            </w:pPr>
          </w:p>
        </w:tc>
        <w:tc>
          <w:tcPr>
            <w:tcW w:w="4563" w:type="dxa"/>
            <w:tcBorders>
              <w:top w:val="single" w:color="auto" w:sz="8" w:space="0"/>
              <w:bottom w:val="single" w:color="auto" w:sz="8" w:space="0"/>
            </w:tcBorders>
            <w:noWrap w:val="0"/>
            <w:vAlign w:val="center"/>
          </w:tcPr>
          <w:p w14:paraId="73340BF2">
            <w:pPr>
              <w:widowControl/>
              <w:jc w:val="left"/>
              <w:rPr>
                <w:rFonts w:hint="eastAsia" w:ascii="宋体" w:hAnsi="宋体" w:eastAsia="宋体" w:cs="Times New Roman"/>
                <w:kern w:val="2"/>
                <w:sz w:val="18"/>
                <w:szCs w:val="18"/>
                <w:lang w:val="en-US" w:eastAsia="zh-CN" w:bidi="ar-SA"/>
              </w:rPr>
            </w:pPr>
          </w:p>
        </w:tc>
        <w:tc>
          <w:tcPr>
            <w:tcW w:w="605" w:type="dxa"/>
            <w:tcBorders>
              <w:top w:val="single" w:color="auto" w:sz="8" w:space="0"/>
              <w:bottom w:val="single" w:color="auto" w:sz="8" w:space="0"/>
            </w:tcBorders>
            <w:noWrap w:val="0"/>
            <w:vAlign w:val="center"/>
          </w:tcPr>
          <w:p w14:paraId="0833B044">
            <w:pPr>
              <w:adjustRightInd w:val="0"/>
              <w:snapToGrid w:val="0"/>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47B6006E">
            <w:pPr>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bottom w:val="single" w:color="auto" w:sz="8" w:space="0"/>
            </w:tcBorders>
            <w:noWrap w:val="0"/>
            <w:vAlign w:val="center"/>
          </w:tcPr>
          <w:p w14:paraId="3A8209F2">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12D938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81E0B7">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1.5.1</w:t>
            </w:r>
          </w:p>
        </w:tc>
        <w:tc>
          <w:tcPr>
            <w:tcW w:w="0" w:type="auto"/>
            <w:vAlign w:val="center"/>
          </w:tcPr>
          <w:p w14:paraId="55E5C912">
            <w:pPr>
              <w:adjustRightInd w:val="0"/>
              <w:snapToGrid w:val="0"/>
              <w:spacing w:line="240" w:lineRule="atLeast"/>
              <w:rPr>
                <w:rFonts w:hint="eastAsia" w:ascii="宋体" w:hAnsi="宋体" w:eastAsia="宋体" w:cs="Times New Roman"/>
                <w:kern w:val="2"/>
                <w:sz w:val="18"/>
                <w:szCs w:val="24"/>
                <w:lang w:val="en-US" w:eastAsia="zh-CN" w:bidi="ar-SA"/>
              </w:rPr>
            </w:pPr>
            <w:r>
              <w:rPr>
                <w:rFonts w:hint="eastAsia" w:ascii="宋体" w:hAnsi="宋体"/>
                <w:sz w:val="18"/>
                <w:szCs w:val="18"/>
                <w:lang w:eastAsia="zh-CN"/>
              </w:rPr>
              <w:t>景区</w:t>
            </w:r>
            <w:r>
              <w:rPr>
                <w:rFonts w:hint="eastAsia" w:ascii="宋体" w:hAnsi="宋体"/>
                <w:sz w:val="18"/>
                <w:szCs w:val="18"/>
              </w:rPr>
              <w:t>应制订年度安全生产培训计划。</w:t>
            </w:r>
          </w:p>
        </w:tc>
        <w:tc>
          <w:tcPr>
            <w:tcW w:w="0" w:type="auto"/>
            <w:vAlign w:val="center"/>
          </w:tcPr>
          <w:p w14:paraId="479BD06F">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06B096A3">
            <w:pPr>
              <w:widowControl/>
              <w:jc w:val="center"/>
              <w:rPr>
                <w:rFonts w:ascii="宋体" w:hAnsi="宋体" w:eastAsia="宋体" w:cs="Times New Roman"/>
                <w:bCs/>
                <w:kern w:val="2"/>
                <w:sz w:val="18"/>
                <w:szCs w:val="18"/>
                <w:lang w:val="en-US" w:eastAsia="zh-CN" w:bidi="ar-SA"/>
              </w:rPr>
            </w:pPr>
          </w:p>
        </w:tc>
        <w:tc>
          <w:tcPr>
            <w:tcW w:w="0" w:type="auto"/>
            <w:vAlign w:val="center"/>
          </w:tcPr>
          <w:p w14:paraId="71D3CD6A">
            <w:pPr>
              <w:widowControl/>
              <w:jc w:val="center"/>
              <w:rPr>
                <w:rFonts w:hint="eastAsia" w:ascii="宋体" w:hAnsi="宋体" w:eastAsia="宋体" w:cs="Times New Roman"/>
                <w:kern w:val="2"/>
                <w:sz w:val="18"/>
                <w:szCs w:val="18"/>
                <w:lang w:val="en-US" w:eastAsia="zh-CN" w:bidi="ar-SA"/>
              </w:rPr>
            </w:pPr>
            <w:r>
              <w:rPr>
                <w:rFonts w:hint="eastAsia" w:ascii="宋体" w:hAnsi="宋体"/>
                <w:sz w:val="18"/>
              </w:rPr>
              <w:t>5</w:t>
            </w:r>
          </w:p>
        </w:tc>
        <w:tc>
          <w:tcPr>
            <w:tcW w:w="0" w:type="auto"/>
            <w:vAlign w:val="center"/>
          </w:tcPr>
          <w:p w14:paraId="3A99EB4B">
            <w:pPr>
              <w:adjustRightInd w:val="0"/>
              <w:snapToGrid w:val="0"/>
              <w:rPr>
                <w:rFonts w:hint="eastAsia" w:ascii="宋体" w:hAnsi="宋体" w:eastAsia="宋体" w:cs="Times New Roman"/>
                <w:kern w:val="2"/>
                <w:sz w:val="18"/>
                <w:szCs w:val="18"/>
                <w:lang w:val="en-US" w:eastAsia="zh-CN" w:bidi="ar-SA"/>
              </w:rPr>
            </w:pPr>
            <w:r>
              <w:rPr>
                <w:rFonts w:ascii="宋体" w:hAnsi="宋体"/>
                <w:sz w:val="18"/>
                <w:szCs w:val="18"/>
              </w:rPr>
              <w:t>未制订年度培训计划，</w:t>
            </w:r>
            <w:r>
              <w:rPr>
                <w:rFonts w:hint="eastAsia" w:ascii="宋体" w:hAnsi="宋体"/>
                <w:sz w:val="18"/>
                <w:szCs w:val="18"/>
              </w:rPr>
              <w:t>扣5分；</w:t>
            </w:r>
            <w:r>
              <w:rPr>
                <w:rFonts w:ascii="宋体" w:hAnsi="宋体"/>
                <w:sz w:val="18"/>
                <w:szCs w:val="18"/>
              </w:rPr>
              <w:t>计划内容不完善，扣</w:t>
            </w:r>
            <w:r>
              <w:rPr>
                <w:rFonts w:hint="eastAsia" w:ascii="宋体" w:hAnsi="宋体"/>
                <w:sz w:val="18"/>
                <w:szCs w:val="18"/>
              </w:rPr>
              <w:t>3</w:t>
            </w:r>
            <w:r>
              <w:rPr>
                <w:rFonts w:ascii="宋体" w:hAnsi="宋体"/>
                <w:sz w:val="18"/>
                <w:szCs w:val="18"/>
              </w:rPr>
              <w:t>分</w:t>
            </w:r>
            <w:r>
              <w:rPr>
                <w:rFonts w:hint="eastAsia" w:ascii="宋体" w:hAnsi="宋体"/>
                <w:sz w:val="18"/>
                <w:szCs w:val="18"/>
              </w:rPr>
              <w:t>。</w:t>
            </w:r>
          </w:p>
        </w:tc>
        <w:tc>
          <w:tcPr>
            <w:tcW w:w="0" w:type="auto"/>
            <w:vAlign w:val="center"/>
          </w:tcPr>
          <w:p w14:paraId="3815107A">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384B9CC7">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7ACC842C">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0DBA60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F64F03">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1.5.2</w:t>
            </w:r>
          </w:p>
        </w:tc>
        <w:tc>
          <w:tcPr>
            <w:tcW w:w="0" w:type="auto"/>
            <w:vAlign w:val="center"/>
          </w:tcPr>
          <w:p w14:paraId="67AD7264">
            <w:pPr>
              <w:adjustRightInd w:val="0"/>
              <w:snapToGrid w:val="0"/>
              <w:spacing w:line="240" w:lineRule="atLeast"/>
              <w:jc w:val="left"/>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应按照培训计划实施培训，培训内容应包括：安全生产相关法律法规、标准规范、本</w:t>
            </w:r>
            <w:r>
              <w:rPr>
                <w:rFonts w:hint="eastAsia" w:ascii="宋体" w:hAnsi="宋体"/>
                <w:sz w:val="18"/>
                <w:szCs w:val="18"/>
                <w:lang w:eastAsia="zh-CN"/>
              </w:rPr>
              <w:t>景区</w:t>
            </w:r>
            <w:r>
              <w:rPr>
                <w:rFonts w:hint="eastAsia" w:ascii="宋体" w:hAnsi="宋体"/>
                <w:sz w:val="18"/>
                <w:szCs w:val="18"/>
                <w:lang w:val="en-US" w:eastAsia="zh-CN"/>
              </w:rPr>
              <w:t>全员</w:t>
            </w:r>
            <w:r>
              <w:rPr>
                <w:rFonts w:hint="eastAsia" w:ascii="宋体" w:hAnsi="宋体"/>
                <w:sz w:val="18"/>
                <w:szCs w:val="18"/>
              </w:rPr>
              <w:t>安全生产责任制、规章制度、操作规程、应急预案、本行业危险有害因素、安全设备设施、劳动防护用品的使用和维护、疏散和现场紧急情况的处理应对措施、典型事故案例等。</w:t>
            </w:r>
          </w:p>
        </w:tc>
        <w:tc>
          <w:tcPr>
            <w:tcW w:w="0" w:type="auto"/>
            <w:vAlign w:val="center"/>
          </w:tcPr>
          <w:p w14:paraId="1189ED4B">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6499EC94">
            <w:pPr>
              <w:widowControl/>
              <w:jc w:val="center"/>
              <w:rPr>
                <w:rFonts w:ascii="宋体" w:hAnsi="宋体" w:eastAsia="宋体" w:cs="Times New Roman"/>
                <w:bCs/>
                <w:kern w:val="2"/>
                <w:sz w:val="18"/>
                <w:szCs w:val="18"/>
                <w:lang w:val="en-US" w:eastAsia="zh-CN" w:bidi="ar-SA"/>
              </w:rPr>
            </w:pPr>
          </w:p>
        </w:tc>
        <w:tc>
          <w:tcPr>
            <w:tcW w:w="0" w:type="auto"/>
            <w:vAlign w:val="center"/>
          </w:tcPr>
          <w:p w14:paraId="28644D2C">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10</w:t>
            </w:r>
          </w:p>
        </w:tc>
        <w:tc>
          <w:tcPr>
            <w:tcW w:w="0" w:type="auto"/>
            <w:vAlign w:val="center"/>
          </w:tcPr>
          <w:p w14:paraId="48BE41A4">
            <w:pPr>
              <w:adjustRightInd w:val="0"/>
              <w:snapToGrid w:val="0"/>
              <w:rPr>
                <w:rFonts w:ascii="宋体" w:hAnsi="宋体"/>
                <w:sz w:val="18"/>
                <w:szCs w:val="18"/>
              </w:rPr>
            </w:pPr>
            <w:r>
              <w:rPr>
                <w:rFonts w:hint="eastAsia" w:ascii="宋体" w:hAnsi="宋体"/>
                <w:sz w:val="18"/>
                <w:szCs w:val="18"/>
              </w:rPr>
              <w:t>1）未按培训计划实施教育培训，扣10分；</w:t>
            </w:r>
          </w:p>
          <w:p w14:paraId="1AF73AE8">
            <w:pPr>
              <w:adjustRightInd w:val="0"/>
              <w:snapToGrid w:val="0"/>
              <w:rPr>
                <w:rFonts w:ascii="宋体" w:hAnsi="宋体"/>
                <w:sz w:val="18"/>
                <w:szCs w:val="18"/>
              </w:rPr>
            </w:pPr>
            <w:r>
              <w:rPr>
                <w:rFonts w:hint="eastAsia" w:ascii="宋体" w:hAnsi="宋体"/>
                <w:sz w:val="18"/>
                <w:szCs w:val="18"/>
              </w:rPr>
              <w:t>2）各类人员（主要负责人、专兼职安全管理人员、一线作业人员等）培训内容相同，扣5分；</w:t>
            </w:r>
          </w:p>
          <w:p w14:paraId="677139C5">
            <w:pPr>
              <w:widowControl/>
              <w:rPr>
                <w:rFonts w:hint="eastAsia" w:ascii="宋体" w:hAnsi="宋体" w:eastAsia="宋体" w:cs="Times New Roman"/>
                <w:kern w:val="2"/>
                <w:sz w:val="18"/>
                <w:szCs w:val="18"/>
                <w:lang w:val="en-US" w:eastAsia="zh-CN" w:bidi="ar-SA"/>
              </w:rPr>
            </w:pPr>
            <w:r>
              <w:rPr>
                <w:rFonts w:hint="eastAsia" w:ascii="宋体" w:hAnsi="宋体"/>
                <w:sz w:val="18"/>
                <w:szCs w:val="18"/>
              </w:rPr>
              <w:t>3）培训内容不全，缺少</w:t>
            </w:r>
            <w:r>
              <w:rPr>
                <w:rFonts w:hint="eastAsia" w:ascii="宋体" w:hAnsi="宋体"/>
                <w:sz w:val="18"/>
              </w:rPr>
              <w:t>一</w:t>
            </w:r>
            <w:r>
              <w:rPr>
                <w:rFonts w:hint="eastAsia" w:ascii="宋体" w:hAnsi="宋体"/>
                <w:sz w:val="18"/>
                <w:szCs w:val="18"/>
              </w:rPr>
              <w:t>处扣3分。</w:t>
            </w:r>
          </w:p>
        </w:tc>
        <w:tc>
          <w:tcPr>
            <w:tcW w:w="0" w:type="auto"/>
            <w:vAlign w:val="center"/>
          </w:tcPr>
          <w:p w14:paraId="55BB9CF3">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70C6BDD6">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3FE4E5B1">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bl>
    <w:p w14:paraId="52E10C92">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2"/>
        <w:gridCol w:w="5874"/>
        <w:gridCol w:w="580"/>
        <w:gridCol w:w="605"/>
        <w:gridCol w:w="605"/>
        <w:gridCol w:w="4563"/>
        <w:gridCol w:w="605"/>
        <w:gridCol w:w="605"/>
        <w:gridCol w:w="1004"/>
      </w:tblGrid>
      <w:tr w14:paraId="3240D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70CC9DE1">
            <w:pPr>
              <w:adjustRightInd w:val="0"/>
              <w:snapToGrid w:val="0"/>
              <w:jc w:val="center"/>
              <w:rPr>
                <w:rFonts w:ascii="宋体"/>
                <w:sz w:val="18"/>
                <w:szCs w:val="18"/>
              </w:rPr>
            </w:pPr>
            <w:r>
              <w:rPr>
                <w:rFonts w:ascii="宋体"/>
                <w:bCs/>
                <w:sz w:val="18"/>
                <w:szCs w:val="18"/>
              </w:rPr>
              <w:t>序号</w:t>
            </w:r>
          </w:p>
        </w:tc>
        <w:tc>
          <w:tcPr>
            <w:tcW w:w="5874" w:type="dxa"/>
            <w:tcBorders>
              <w:top w:val="single" w:color="auto" w:sz="8" w:space="0"/>
              <w:bottom w:val="single" w:color="auto" w:sz="8" w:space="0"/>
            </w:tcBorders>
            <w:noWrap w:val="0"/>
            <w:vAlign w:val="center"/>
          </w:tcPr>
          <w:p w14:paraId="6E13E582">
            <w:pPr>
              <w:adjustRightInd w:val="0"/>
              <w:snapToGrid w:val="0"/>
              <w:jc w:val="center"/>
              <w:rPr>
                <w:rFonts w:ascii="宋体" w:hAnsi="宋体"/>
                <w:sz w:val="18"/>
                <w:szCs w:val="18"/>
              </w:rPr>
            </w:pPr>
            <w:r>
              <w:rPr>
                <w:rFonts w:ascii="宋体" w:hAnsi="宋体"/>
                <w:bCs/>
                <w:sz w:val="18"/>
                <w:szCs w:val="18"/>
              </w:rPr>
              <w:t>评定内容</w:t>
            </w:r>
          </w:p>
        </w:tc>
        <w:tc>
          <w:tcPr>
            <w:tcW w:w="580" w:type="dxa"/>
            <w:tcBorders>
              <w:top w:val="single" w:color="auto" w:sz="8" w:space="0"/>
              <w:bottom w:val="single" w:color="auto" w:sz="8" w:space="0"/>
            </w:tcBorders>
            <w:noWrap w:val="0"/>
            <w:vAlign w:val="center"/>
          </w:tcPr>
          <w:p w14:paraId="2C8AF25F">
            <w:pPr>
              <w:adjustRightInd w:val="0"/>
              <w:snapToGrid w:val="0"/>
              <w:jc w:val="center"/>
              <w:rPr>
                <w:rFonts w:ascii="宋体"/>
                <w:sz w:val="18"/>
                <w:szCs w:val="18"/>
              </w:rPr>
            </w:pPr>
            <w:r>
              <w:rPr>
                <w:rFonts w:ascii="宋体"/>
                <w:bCs/>
                <w:sz w:val="18"/>
                <w:szCs w:val="18"/>
              </w:rPr>
              <w:t>评定要素分值</w:t>
            </w:r>
          </w:p>
        </w:tc>
        <w:tc>
          <w:tcPr>
            <w:tcW w:w="605" w:type="dxa"/>
            <w:tcBorders>
              <w:top w:val="single" w:color="auto" w:sz="8" w:space="0"/>
              <w:bottom w:val="single" w:color="auto" w:sz="8" w:space="0"/>
            </w:tcBorders>
            <w:noWrap w:val="0"/>
            <w:vAlign w:val="center"/>
          </w:tcPr>
          <w:p w14:paraId="0AEB39AC">
            <w:pPr>
              <w:adjustRightInd w:val="0"/>
              <w:snapToGrid w:val="0"/>
              <w:jc w:val="center"/>
              <w:rPr>
                <w:rFonts w:ascii="宋体"/>
                <w:sz w:val="18"/>
                <w:szCs w:val="18"/>
              </w:rPr>
            </w:pPr>
            <w:r>
              <w:rPr>
                <w:rFonts w:ascii="宋体"/>
                <w:bCs/>
                <w:sz w:val="18"/>
                <w:szCs w:val="18"/>
              </w:rPr>
              <w:t>评定细项分值</w:t>
            </w:r>
          </w:p>
        </w:tc>
        <w:tc>
          <w:tcPr>
            <w:tcW w:w="605" w:type="dxa"/>
            <w:tcBorders>
              <w:top w:val="single" w:color="auto" w:sz="8" w:space="0"/>
              <w:bottom w:val="single" w:color="auto" w:sz="8" w:space="0"/>
            </w:tcBorders>
            <w:noWrap w:val="0"/>
            <w:vAlign w:val="center"/>
          </w:tcPr>
          <w:p w14:paraId="462AE25D">
            <w:pPr>
              <w:adjustRightInd w:val="0"/>
              <w:snapToGrid w:val="0"/>
              <w:jc w:val="center"/>
              <w:rPr>
                <w:rFonts w:ascii="宋体"/>
                <w:sz w:val="18"/>
                <w:szCs w:val="18"/>
              </w:rPr>
            </w:pPr>
            <w:r>
              <w:rPr>
                <w:rFonts w:ascii="宋体"/>
                <w:bCs/>
                <w:sz w:val="18"/>
                <w:szCs w:val="18"/>
              </w:rPr>
              <w:t>评定条款分值</w:t>
            </w:r>
          </w:p>
        </w:tc>
        <w:tc>
          <w:tcPr>
            <w:tcW w:w="4563" w:type="dxa"/>
            <w:tcBorders>
              <w:top w:val="single" w:color="auto" w:sz="8" w:space="0"/>
              <w:bottom w:val="single" w:color="auto" w:sz="8" w:space="0"/>
            </w:tcBorders>
            <w:noWrap w:val="0"/>
            <w:vAlign w:val="center"/>
          </w:tcPr>
          <w:p w14:paraId="653847C1">
            <w:pPr>
              <w:adjustRightInd w:val="0"/>
              <w:snapToGrid w:val="0"/>
              <w:jc w:val="center"/>
              <w:rPr>
                <w:rFonts w:ascii="宋体"/>
                <w:sz w:val="18"/>
                <w:szCs w:val="18"/>
              </w:rPr>
            </w:pPr>
            <w:r>
              <w:rPr>
                <w:rFonts w:ascii="宋体"/>
                <w:bCs/>
                <w:sz w:val="18"/>
                <w:szCs w:val="18"/>
              </w:rPr>
              <w:t>评分标准</w:t>
            </w:r>
          </w:p>
        </w:tc>
        <w:tc>
          <w:tcPr>
            <w:tcW w:w="605" w:type="dxa"/>
            <w:tcBorders>
              <w:top w:val="single" w:color="auto" w:sz="8" w:space="0"/>
              <w:bottom w:val="single" w:color="auto" w:sz="8" w:space="0"/>
            </w:tcBorders>
            <w:noWrap w:val="0"/>
            <w:vAlign w:val="center"/>
          </w:tcPr>
          <w:p w14:paraId="539B0940">
            <w:pPr>
              <w:adjustRightInd w:val="0"/>
              <w:snapToGrid w:val="0"/>
              <w:jc w:val="center"/>
              <w:rPr>
                <w:rFonts w:ascii="宋体" w:hAnsi="宋体"/>
                <w:sz w:val="18"/>
                <w:szCs w:val="18"/>
              </w:rPr>
            </w:pPr>
            <w:r>
              <w:rPr>
                <w:rFonts w:ascii="宋体" w:hAnsi="宋体"/>
                <w:bCs/>
                <w:sz w:val="18"/>
                <w:szCs w:val="18"/>
              </w:rPr>
              <w:t>评定得分</w:t>
            </w:r>
          </w:p>
        </w:tc>
        <w:tc>
          <w:tcPr>
            <w:tcW w:w="605" w:type="dxa"/>
            <w:tcBorders>
              <w:top w:val="single" w:color="auto" w:sz="8" w:space="0"/>
              <w:bottom w:val="single" w:color="auto" w:sz="8" w:space="0"/>
            </w:tcBorders>
            <w:noWrap w:val="0"/>
            <w:vAlign w:val="center"/>
          </w:tcPr>
          <w:p w14:paraId="24A39311">
            <w:pPr>
              <w:adjustRightInd w:val="0"/>
              <w:snapToGrid w:val="0"/>
              <w:jc w:val="center"/>
              <w:rPr>
                <w:rFonts w:ascii="宋体" w:hAnsi="宋体"/>
                <w:sz w:val="18"/>
                <w:szCs w:val="18"/>
              </w:rPr>
            </w:pPr>
            <w:r>
              <w:rPr>
                <w:rFonts w:ascii="宋体" w:hAnsi="宋体"/>
                <w:bCs/>
                <w:sz w:val="18"/>
                <w:szCs w:val="18"/>
              </w:rPr>
              <w:t>扣分说明</w:t>
            </w:r>
          </w:p>
        </w:tc>
        <w:tc>
          <w:tcPr>
            <w:tcW w:w="1004" w:type="dxa"/>
            <w:tcBorders>
              <w:top w:val="single" w:color="auto" w:sz="8" w:space="0"/>
              <w:bottom w:val="single" w:color="auto" w:sz="8" w:space="0"/>
            </w:tcBorders>
            <w:noWrap w:val="0"/>
            <w:vAlign w:val="center"/>
          </w:tcPr>
          <w:p w14:paraId="0019691D">
            <w:pPr>
              <w:adjustRightInd w:val="0"/>
              <w:snapToGrid w:val="0"/>
              <w:jc w:val="center"/>
              <w:rPr>
                <w:rFonts w:ascii="宋体" w:hAnsi="宋体"/>
                <w:sz w:val="18"/>
                <w:szCs w:val="18"/>
              </w:rPr>
            </w:pPr>
            <w:r>
              <w:rPr>
                <w:rFonts w:ascii="宋体" w:hAnsi="宋体"/>
                <w:bCs/>
                <w:sz w:val="18"/>
                <w:szCs w:val="18"/>
              </w:rPr>
              <w:t>对应条款编号</w:t>
            </w:r>
          </w:p>
        </w:tc>
      </w:tr>
      <w:tr w14:paraId="48408C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0B7335FB">
            <w:pPr>
              <w:widowControl/>
              <w:jc w:val="center"/>
              <w:rPr>
                <w:rFonts w:hint="eastAsia" w:ascii="宋体" w:hAnsi="宋体"/>
                <w:sz w:val="18"/>
              </w:rPr>
            </w:pPr>
            <w:r>
              <w:rPr>
                <w:rFonts w:hint="eastAsia" w:ascii="宋体" w:hAnsi="宋体"/>
                <w:sz w:val="18"/>
              </w:rPr>
              <w:t>1.5.3</w:t>
            </w:r>
          </w:p>
        </w:tc>
        <w:tc>
          <w:tcPr>
            <w:tcW w:w="5874" w:type="dxa"/>
            <w:tcBorders>
              <w:top w:val="single" w:color="auto" w:sz="8" w:space="0"/>
              <w:bottom w:val="single" w:color="auto" w:sz="8" w:space="0"/>
            </w:tcBorders>
            <w:noWrap w:val="0"/>
            <w:vAlign w:val="center"/>
          </w:tcPr>
          <w:p w14:paraId="5AEB46BA">
            <w:pPr>
              <w:adjustRightInd w:val="0"/>
              <w:snapToGrid w:val="0"/>
              <w:spacing w:line="240" w:lineRule="atLeast"/>
              <w:jc w:val="left"/>
              <w:rPr>
                <w:rFonts w:ascii="宋体" w:hAnsi="宋体"/>
                <w:sz w:val="18"/>
                <w:szCs w:val="18"/>
              </w:rPr>
            </w:pPr>
            <w:r>
              <w:rPr>
                <w:rFonts w:hint="eastAsia" w:ascii="宋体" w:hAnsi="宋体"/>
                <w:sz w:val="18"/>
                <w:szCs w:val="18"/>
              </w:rPr>
              <w:t>安全生产和培训学时要求应符合：</w:t>
            </w:r>
          </w:p>
          <w:p w14:paraId="0C95B6A0">
            <w:pPr>
              <w:adjustRightInd w:val="0"/>
              <w:snapToGrid w:val="0"/>
              <w:spacing w:line="240" w:lineRule="atLeast"/>
              <w:jc w:val="left"/>
              <w:rPr>
                <w:rFonts w:ascii="宋体" w:hAnsi="宋体"/>
                <w:sz w:val="18"/>
                <w:szCs w:val="18"/>
              </w:rPr>
            </w:pPr>
            <w:r>
              <w:rPr>
                <w:rFonts w:hint="eastAsia" w:ascii="宋体" w:hAnsi="宋体"/>
                <w:sz w:val="18"/>
                <w:szCs w:val="18"/>
              </w:rPr>
              <w:t>a）</w:t>
            </w:r>
            <w:r>
              <w:rPr>
                <w:rFonts w:hint="eastAsia" w:ascii="宋体" w:hAnsi="宋体"/>
                <w:sz w:val="18"/>
                <w:szCs w:val="18"/>
                <w:lang w:eastAsia="zh-CN"/>
              </w:rPr>
              <w:t>景区</w:t>
            </w:r>
            <w:r>
              <w:rPr>
                <w:rFonts w:hint="eastAsia" w:ascii="宋体" w:hAnsi="宋体"/>
                <w:sz w:val="18"/>
                <w:szCs w:val="18"/>
              </w:rPr>
              <w:t>主要负责人和安全生产管理人员初次安全培训时间不应少于32学时，每年再培训时间不应少于12学时；</w:t>
            </w:r>
          </w:p>
          <w:p w14:paraId="7FE9B827">
            <w:pPr>
              <w:adjustRightInd w:val="0"/>
              <w:snapToGrid w:val="0"/>
              <w:spacing w:line="240" w:lineRule="atLeast"/>
              <w:jc w:val="left"/>
              <w:rPr>
                <w:rFonts w:hint="eastAsia" w:ascii="宋体" w:hAnsi="宋体"/>
                <w:sz w:val="18"/>
                <w:szCs w:val="18"/>
              </w:rPr>
            </w:pPr>
            <w:r>
              <w:rPr>
                <w:rFonts w:hint="eastAsia" w:ascii="宋体" w:hAnsi="宋体"/>
                <w:sz w:val="18"/>
                <w:szCs w:val="18"/>
              </w:rPr>
              <w:t>b）新上岗的从业人员应进行“</w:t>
            </w:r>
            <w:r>
              <w:rPr>
                <w:rFonts w:hint="eastAsia" w:ascii="宋体" w:hAnsi="宋体"/>
                <w:sz w:val="18"/>
                <w:szCs w:val="18"/>
                <w:lang w:eastAsia="zh-CN"/>
              </w:rPr>
              <w:t>景区</w:t>
            </w:r>
            <w:r>
              <w:rPr>
                <w:rFonts w:hint="eastAsia" w:ascii="宋体" w:hAnsi="宋体"/>
                <w:sz w:val="18"/>
                <w:szCs w:val="18"/>
              </w:rPr>
              <w:t>、部门、班组”三级安全培训教育，岗前安全培训不少于24学时，每年再培训不少于8学时。</w:t>
            </w:r>
          </w:p>
        </w:tc>
        <w:tc>
          <w:tcPr>
            <w:tcW w:w="580" w:type="dxa"/>
            <w:tcBorders>
              <w:top w:val="single" w:color="auto" w:sz="8" w:space="0"/>
              <w:bottom w:val="single" w:color="auto" w:sz="8" w:space="0"/>
            </w:tcBorders>
            <w:noWrap w:val="0"/>
            <w:vAlign w:val="center"/>
          </w:tcPr>
          <w:p w14:paraId="73193B38">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417DB070">
            <w:pPr>
              <w:widowControl/>
              <w:jc w:val="center"/>
              <w:rPr>
                <w:rFonts w:ascii="宋体" w:hAnsi="宋体"/>
                <w:bCs/>
                <w:sz w:val="18"/>
                <w:szCs w:val="18"/>
              </w:rPr>
            </w:pPr>
          </w:p>
        </w:tc>
        <w:tc>
          <w:tcPr>
            <w:tcW w:w="605" w:type="dxa"/>
            <w:noWrap w:val="0"/>
            <w:vAlign w:val="center"/>
          </w:tcPr>
          <w:p w14:paraId="613150F5">
            <w:pPr>
              <w:widowControl/>
              <w:jc w:val="center"/>
              <w:rPr>
                <w:rFonts w:hint="eastAsia" w:ascii="宋体" w:hAnsi="宋体"/>
                <w:sz w:val="18"/>
              </w:rPr>
            </w:pPr>
            <w:r>
              <w:rPr>
                <w:rFonts w:hint="eastAsia" w:ascii="宋体" w:hAnsi="宋体"/>
                <w:sz w:val="18"/>
              </w:rPr>
              <w:t>8</w:t>
            </w:r>
          </w:p>
        </w:tc>
        <w:tc>
          <w:tcPr>
            <w:tcW w:w="4563" w:type="dxa"/>
            <w:tcBorders>
              <w:top w:val="single" w:color="auto" w:sz="8" w:space="0"/>
              <w:bottom w:val="single" w:color="auto" w:sz="8" w:space="0"/>
            </w:tcBorders>
            <w:noWrap w:val="0"/>
            <w:vAlign w:val="center"/>
          </w:tcPr>
          <w:p w14:paraId="2A05A11D">
            <w:pPr>
              <w:adjustRightInd w:val="0"/>
              <w:snapToGrid w:val="0"/>
              <w:jc w:val="left"/>
              <w:rPr>
                <w:rFonts w:ascii="宋体" w:hAnsi="宋体"/>
                <w:sz w:val="18"/>
                <w:szCs w:val="18"/>
              </w:rPr>
            </w:pPr>
            <w:r>
              <w:rPr>
                <w:rFonts w:hint="eastAsia" w:ascii="宋体" w:hAnsi="宋体"/>
                <w:sz w:val="18"/>
                <w:szCs w:val="18"/>
              </w:rPr>
              <w:t>1）</w:t>
            </w:r>
            <w:r>
              <w:rPr>
                <w:rFonts w:hint="eastAsia" w:ascii="宋体" w:hAnsi="宋体"/>
                <w:sz w:val="18"/>
                <w:szCs w:val="18"/>
                <w:lang w:eastAsia="zh-CN"/>
              </w:rPr>
              <w:t>景区</w:t>
            </w:r>
            <w:r>
              <w:rPr>
                <w:rFonts w:ascii="宋体" w:hAnsi="宋体"/>
                <w:sz w:val="18"/>
                <w:szCs w:val="18"/>
              </w:rPr>
              <w:t>主要负责人和安全生产管理人员未接受培训的，扣</w:t>
            </w:r>
            <w:r>
              <w:rPr>
                <w:rFonts w:hint="eastAsia" w:ascii="宋体" w:hAnsi="宋体"/>
                <w:sz w:val="18"/>
                <w:szCs w:val="18"/>
              </w:rPr>
              <w:t>5分</w:t>
            </w:r>
            <w:r>
              <w:rPr>
                <w:rFonts w:ascii="宋体" w:hAnsi="宋体"/>
                <w:sz w:val="18"/>
                <w:szCs w:val="18"/>
              </w:rPr>
              <w:t>；培训时间不符合要求</w:t>
            </w:r>
            <w:r>
              <w:rPr>
                <w:rFonts w:hint="eastAsia" w:ascii="宋体" w:hAnsi="宋体"/>
                <w:sz w:val="18"/>
                <w:szCs w:val="18"/>
              </w:rPr>
              <w:t>的</w:t>
            </w:r>
            <w:r>
              <w:rPr>
                <w:rFonts w:ascii="宋体" w:hAnsi="宋体"/>
                <w:sz w:val="18"/>
                <w:szCs w:val="18"/>
              </w:rPr>
              <w:t>，扣</w:t>
            </w:r>
            <w:r>
              <w:rPr>
                <w:rFonts w:hint="eastAsia" w:ascii="宋体" w:hAnsi="宋体"/>
                <w:sz w:val="18"/>
                <w:szCs w:val="18"/>
              </w:rPr>
              <w:t>3</w:t>
            </w:r>
            <w:r>
              <w:rPr>
                <w:rFonts w:ascii="宋体" w:hAnsi="宋体"/>
                <w:sz w:val="18"/>
                <w:szCs w:val="18"/>
              </w:rPr>
              <w:t>分；</w:t>
            </w:r>
          </w:p>
          <w:p w14:paraId="19FCF774">
            <w:pPr>
              <w:adjustRightInd w:val="0"/>
              <w:snapToGrid w:val="0"/>
              <w:jc w:val="left"/>
              <w:rPr>
                <w:rFonts w:hint="eastAsia" w:ascii="宋体" w:hAnsi="宋体"/>
                <w:sz w:val="18"/>
                <w:szCs w:val="18"/>
              </w:rPr>
            </w:pPr>
            <w:r>
              <w:rPr>
                <w:rFonts w:ascii="宋体" w:hAnsi="宋体"/>
                <w:sz w:val="18"/>
                <w:szCs w:val="18"/>
              </w:rPr>
              <w:t>2</w:t>
            </w:r>
            <w:r>
              <w:rPr>
                <w:rFonts w:hint="eastAsia" w:ascii="宋体" w:hAnsi="宋体"/>
                <w:sz w:val="18"/>
                <w:szCs w:val="18"/>
              </w:rPr>
              <w:t>）新上岗的从业人员</w:t>
            </w:r>
            <w:r>
              <w:rPr>
                <w:rFonts w:ascii="宋体" w:hAnsi="宋体"/>
                <w:sz w:val="18"/>
                <w:szCs w:val="18"/>
              </w:rPr>
              <w:t>未进行</w:t>
            </w:r>
            <w:r>
              <w:rPr>
                <w:rFonts w:hint="eastAsia" w:ascii="宋体" w:hAnsi="宋体"/>
                <w:sz w:val="18"/>
                <w:szCs w:val="18"/>
              </w:rPr>
              <w:t>“</w:t>
            </w:r>
            <w:r>
              <w:rPr>
                <w:rFonts w:hint="eastAsia" w:ascii="宋体" w:hAnsi="宋体"/>
                <w:sz w:val="18"/>
                <w:szCs w:val="18"/>
                <w:lang w:eastAsia="zh-CN"/>
              </w:rPr>
              <w:t>景区</w:t>
            </w:r>
            <w:r>
              <w:rPr>
                <w:rFonts w:ascii="宋体" w:hAnsi="宋体"/>
                <w:sz w:val="18"/>
                <w:szCs w:val="18"/>
              </w:rPr>
              <w:t>、部门、班组</w:t>
            </w:r>
            <w:r>
              <w:rPr>
                <w:rFonts w:hint="eastAsia" w:ascii="宋体" w:hAnsi="宋体"/>
                <w:sz w:val="18"/>
                <w:szCs w:val="18"/>
              </w:rPr>
              <w:t>”</w:t>
            </w:r>
            <w:r>
              <w:rPr>
                <w:rFonts w:ascii="宋体" w:hAnsi="宋体"/>
                <w:sz w:val="18"/>
                <w:szCs w:val="18"/>
              </w:rPr>
              <w:t>三级安全培训教育的，扣</w:t>
            </w:r>
            <w:r>
              <w:rPr>
                <w:rFonts w:hint="eastAsia" w:ascii="宋体" w:hAnsi="宋体"/>
                <w:sz w:val="18"/>
                <w:szCs w:val="18"/>
              </w:rPr>
              <w:t>5分</w:t>
            </w:r>
            <w:r>
              <w:rPr>
                <w:rFonts w:ascii="宋体" w:hAnsi="宋体"/>
                <w:sz w:val="18"/>
                <w:szCs w:val="18"/>
              </w:rPr>
              <w:t>；</w:t>
            </w:r>
            <w:r>
              <w:rPr>
                <w:rFonts w:hint="eastAsia" w:ascii="宋体" w:hAnsi="宋体"/>
                <w:sz w:val="18"/>
                <w:szCs w:val="18"/>
              </w:rPr>
              <w:t>培训时间不符合要求的，扣3分</w:t>
            </w:r>
            <w:r>
              <w:rPr>
                <w:rFonts w:hint="eastAsia" w:ascii="宋体" w:hAnsi="宋体"/>
                <w:sz w:val="18"/>
                <w:szCs w:val="18"/>
                <w:lang w:eastAsia="zh-CN"/>
              </w:rPr>
              <w:t>。</w:t>
            </w:r>
          </w:p>
        </w:tc>
        <w:tc>
          <w:tcPr>
            <w:tcW w:w="605" w:type="dxa"/>
            <w:tcBorders>
              <w:top w:val="single" w:color="auto" w:sz="8" w:space="0"/>
              <w:bottom w:val="single" w:color="auto" w:sz="8" w:space="0"/>
            </w:tcBorders>
            <w:noWrap w:val="0"/>
            <w:vAlign w:val="center"/>
          </w:tcPr>
          <w:p w14:paraId="6488C6BA">
            <w:pPr>
              <w:adjustRightInd w:val="0"/>
              <w:snapToGrid w:val="0"/>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287ED6BC">
            <w:pPr>
              <w:adjustRightInd w:val="0"/>
              <w:snapToGrid w:val="0"/>
              <w:jc w:val="center"/>
              <w:rPr>
                <w:rFonts w:ascii="宋体" w:hAnsi="宋体"/>
                <w:bCs/>
                <w:sz w:val="18"/>
                <w:szCs w:val="18"/>
              </w:rPr>
            </w:pPr>
          </w:p>
        </w:tc>
        <w:tc>
          <w:tcPr>
            <w:tcW w:w="1004" w:type="dxa"/>
            <w:tcBorders>
              <w:top w:val="single" w:color="auto" w:sz="8" w:space="0"/>
              <w:bottom w:val="single" w:color="auto" w:sz="8" w:space="0"/>
            </w:tcBorders>
            <w:noWrap w:val="0"/>
            <w:vAlign w:val="center"/>
          </w:tcPr>
          <w:p w14:paraId="39910DBE">
            <w:pPr>
              <w:jc w:val="center"/>
            </w:pPr>
            <w:r>
              <w:rPr>
                <w:rFonts w:hint="eastAsia" w:ascii="宋体" w:hAnsi="宋体"/>
                <w:bCs/>
                <w:sz w:val="18"/>
                <w:szCs w:val="18"/>
                <w:lang w:eastAsia="zh-CN"/>
              </w:rPr>
              <w:t>4.</w:t>
            </w:r>
            <w:r>
              <w:rPr>
                <w:rFonts w:hint="eastAsia" w:ascii="宋体" w:hAnsi="宋体"/>
                <w:bCs/>
                <w:sz w:val="18"/>
                <w:szCs w:val="18"/>
              </w:rPr>
              <w:t>1</w:t>
            </w:r>
          </w:p>
        </w:tc>
      </w:tr>
      <w:tr w14:paraId="08E4E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5A5DAC16">
            <w:pPr>
              <w:widowControl/>
              <w:jc w:val="center"/>
              <w:rPr>
                <w:rFonts w:hint="eastAsia" w:ascii="宋体" w:hAnsi="宋体"/>
                <w:sz w:val="18"/>
              </w:rPr>
            </w:pPr>
            <w:r>
              <w:rPr>
                <w:rFonts w:hint="eastAsia" w:ascii="宋体" w:hAnsi="宋体"/>
                <w:sz w:val="18"/>
              </w:rPr>
              <w:t>1.5.4</w:t>
            </w:r>
          </w:p>
        </w:tc>
        <w:tc>
          <w:tcPr>
            <w:tcW w:w="5874" w:type="dxa"/>
            <w:tcBorders>
              <w:top w:val="single" w:color="auto" w:sz="8" w:space="0"/>
              <w:bottom w:val="single" w:color="auto" w:sz="8" w:space="0"/>
            </w:tcBorders>
            <w:noWrap w:val="0"/>
            <w:vAlign w:val="center"/>
          </w:tcPr>
          <w:p w14:paraId="54709FA7">
            <w:pPr>
              <w:adjustRightInd w:val="0"/>
              <w:snapToGrid w:val="0"/>
              <w:spacing w:line="240" w:lineRule="atLeast"/>
              <w:rPr>
                <w:rFonts w:hint="eastAsia" w:ascii="宋体" w:hAnsi="宋体"/>
                <w:sz w:val="18"/>
                <w:szCs w:val="18"/>
              </w:rPr>
            </w:pPr>
            <w:r>
              <w:rPr>
                <w:rFonts w:hint="eastAsia" w:ascii="宋体" w:hAnsi="宋体"/>
                <w:sz w:val="18"/>
                <w:szCs w:val="18"/>
              </w:rPr>
              <w:t>★从事特种作业、特种设备作业的人员和其他特殊岗位人员应按照规定，经安全培训、考核合格，取得相应资格后，方可上岗作业，按期参加复训和复审。</w:t>
            </w:r>
          </w:p>
        </w:tc>
        <w:tc>
          <w:tcPr>
            <w:tcW w:w="580" w:type="dxa"/>
            <w:tcBorders>
              <w:top w:val="single" w:color="auto" w:sz="8" w:space="0"/>
              <w:bottom w:val="single" w:color="auto" w:sz="8" w:space="0"/>
            </w:tcBorders>
            <w:noWrap w:val="0"/>
            <w:vAlign w:val="center"/>
          </w:tcPr>
          <w:p w14:paraId="26F44E15">
            <w:pPr>
              <w:widowControl/>
              <w:jc w:val="center"/>
              <w:rPr>
                <w:rFonts w:hint="eastAsia" w:ascii="宋体" w:hAnsi="宋体"/>
                <w:sz w:val="18"/>
              </w:rPr>
            </w:pPr>
          </w:p>
        </w:tc>
        <w:tc>
          <w:tcPr>
            <w:tcW w:w="605" w:type="dxa"/>
            <w:tcBorders>
              <w:top w:val="single" w:color="auto" w:sz="8" w:space="0"/>
              <w:bottom w:val="single" w:color="auto" w:sz="8" w:space="0"/>
            </w:tcBorders>
            <w:noWrap w:val="0"/>
            <w:vAlign w:val="center"/>
          </w:tcPr>
          <w:p w14:paraId="5F39DF2F">
            <w:pPr>
              <w:widowControl/>
              <w:jc w:val="center"/>
              <w:rPr>
                <w:rFonts w:ascii="宋体" w:hAnsi="宋体"/>
                <w:bCs/>
                <w:sz w:val="18"/>
                <w:szCs w:val="18"/>
              </w:rPr>
            </w:pPr>
          </w:p>
        </w:tc>
        <w:tc>
          <w:tcPr>
            <w:tcW w:w="605" w:type="dxa"/>
            <w:noWrap w:val="0"/>
            <w:vAlign w:val="center"/>
          </w:tcPr>
          <w:p w14:paraId="6B97B023">
            <w:pPr>
              <w:widowControl/>
              <w:jc w:val="center"/>
              <w:rPr>
                <w:rFonts w:hint="eastAsia" w:ascii="宋体" w:hAnsi="宋体"/>
                <w:sz w:val="18"/>
              </w:rPr>
            </w:pPr>
            <w:r>
              <w:rPr>
                <w:rFonts w:hint="eastAsia" w:ascii="宋体" w:hAnsi="宋体"/>
                <w:sz w:val="18"/>
              </w:rPr>
              <w:t>4</w:t>
            </w:r>
          </w:p>
        </w:tc>
        <w:tc>
          <w:tcPr>
            <w:tcW w:w="4563" w:type="dxa"/>
            <w:tcBorders>
              <w:top w:val="single" w:color="auto" w:sz="8" w:space="0"/>
              <w:bottom w:val="single" w:color="auto" w:sz="8" w:space="0"/>
            </w:tcBorders>
            <w:noWrap w:val="0"/>
            <w:vAlign w:val="center"/>
          </w:tcPr>
          <w:p w14:paraId="06EFCE5F">
            <w:pPr>
              <w:adjustRightInd w:val="0"/>
              <w:snapToGrid w:val="0"/>
              <w:rPr>
                <w:rFonts w:hint="eastAsia" w:ascii="宋体" w:hAnsi="宋体"/>
                <w:sz w:val="18"/>
                <w:szCs w:val="18"/>
              </w:rPr>
            </w:pPr>
            <w:r>
              <w:rPr>
                <w:rFonts w:hint="eastAsia" w:ascii="宋体" w:hAnsi="宋体"/>
                <w:sz w:val="18"/>
                <w:szCs w:val="18"/>
                <w:lang w:val="en-US" w:eastAsia="zh-CN"/>
              </w:rPr>
              <w:t>发现1人</w:t>
            </w:r>
            <w:r>
              <w:rPr>
                <w:rFonts w:ascii="宋体" w:hAnsi="宋体"/>
                <w:sz w:val="18"/>
                <w:szCs w:val="18"/>
              </w:rPr>
              <w:t>特种作业人员或特种设备操作人员未取证或证书过期的，</w:t>
            </w:r>
            <w:r>
              <w:rPr>
                <w:rFonts w:hint="eastAsia" w:ascii="宋体" w:hAnsi="宋体"/>
                <w:sz w:val="18"/>
                <w:szCs w:val="18"/>
              </w:rPr>
              <w:t>“</w:t>
            </w:r>
            <w:r>
              <w:rPr>
                <w:rFonts w:hint="eastAsia" w:ascii="宋体" w:hAnsi="宋体"/>
                <w:sz w:val="18"/>
                <w:szCs w:val="18"/>
                <w:lang w:val="en-US" w:eastAsia="zh-CN"/>
              </w:rPr>
              <w:t>安全生产教育培训</w:t>
            </w:r>
            <w:r>
              <w:rPr>
                <w:rFonts w:hint="eastAsia" w:ascii="宋体" w:hAnsi="宋体"/>
                <w:sz w:val="18"/>
                <w:szCs w:val="18"/>
              </w:rPr>
              <w:t>”评定要素不得分</w:t>
            </w:r>
            <w:r>
              <w:rPr>
                <w:rFonts w:ascii="宋体" w:hAnsi="宋体"/>
                <w:sz w:val="18"/>
                <w:szCs w:val="18"/>
              </w:rPr>
              <w:t>。</w:t>
            </w:r>
          </w:p>
        </w:tc>
        <w:tc>
          <w:tcPr>
            <w:tcW w:w="605" w:type="dxa"/>
            <w:tcBorders>
              <w:top w:val="single" w:color="auto" w:sz="8" w:space="0"/>
              <w:bottom w:val="single" w:color="auto" w:sz="8" w:space="0"/>
            </w:tcBorders>
            <w:noWrap w:val="0"/>
            <w:vAlign w:val="center"/>
          </w:tcPr>
          <w:p w14:paraId="3DCE81D7">
            <w:pPr>
              <w:adjustRightInd w:val="0"/>
              <w:snapToGrid w:val="0"/>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359340FC">
            <w:pPr>
              <w:adjustRightInd w:val="0"/>
              <w:snapToGrid w:val="0"/>
              <w:jc w:val="center"/>
              <w:rPr>
                <w:rFonts w:ascii="宋体" w:hAnsi="宋体"/>
                <w:bCs/>
                <w:sz w:val="18"/>
                <w:szCs w:val="18"/>
              </w:rPr>
            </w:pPr>
          </w:p>
        </w:tc>
        <w:tc>
          <w:tcPr>
            <w:tcW w:w="1004" w:type="dxa"/>
            <w:tcBorders>
              <w:top w:val="single" w:color="auto" w:sz="8" w:space="0"/>
              <w:bottom w:val="single" w:color="auto" w:sz="8" w:space="0"/>
            </w:tcBorders>
            <w:noWrap w:val="0"/>
            <w:vAlign w:val="center"/>
          </w:tcPr>
          <w:p w14:paraId="072D8328">
            <w:pPr>
              <w:jc w:val="center"/>
            </w:pPr>
            <w:r>
              <w:rPr>
                <w:rFonts w:hint="eastAsia" w:ascii="宋体" w:hAnsi="宋体"/>
                <w:bCs/>
                <w:sz w:val="18"/>
                <w:szCs w:val="18"/>
                <w:lang w:eastAsia="zh-CN"/>
              </w:rPr>
              <w:t>4.</w:t>
            </w:r>
            <w:r>
              <w:rPr>
                <w:rFonts w:hint="eastAsia" w:ascii="宋体" w:hAnsi="宋体"/>
                <w:bCs/>
                <w:sz w:val="18"/>
                <w:szCs w:val="18"/>
              </w:rPr>
              <w:t>1</w:t>
            </w:r>
          </w:p>
        </w:tc>
      </w:tr>
      <w:tr w14:paraId="39FE29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312A8D7E">
            <w:pPr>
              <w:widowControl/>
              <w:jc w:val="center"/>
              <w:rPr>
                <w:rFonts w:ascii="宋体" w:hAnsi="宋体"/>
                <w:bCs/>
                <w:sz w:val="18"/>
                <w:szCs w:val="18"/>
              </w:rPr>
            </w:pPr>
            <w:r>
              <w:rPr>
                <w:rFonts w:hint="eastAsia" w:ascii="宋体" w:hAnsi="宋体"/>
                <w:sz w:val="18"/>
              </w:rPr>
              <w:t>1.5.5</w:t>
            </w:r>
          </w:p>
        </w:tc>
        <w:tc>
          <w:tcPr>
            <w:tcW w:w="5874" w:type="dxa"/>
            <w:tcBorders>
              <w:top w:val="single" w:color="auto" w:sz="8" w:space="0"/>
              <w:bottom w:val="single" w:color="auto" w:sz="8" w:space="0"/>
            </w:tcBorders>
            <w:noWrap w:val="0"/>
            <w:vAlign w:val="center"/>
          </w:tcPr>
          <w:p w14:paraId="0E450C0C">
            <w:pPr>
              <w:widowControl/>
              <w:snapToGrid w:val="0"/>
              <w:jc w:val="left"/>
              <w:rPr>
                <w:rFonts w:ascii="宋体" w:hAnsi="宋体"/>
                <w:bCs/>
                <w:sz w:val="18"/>
                <w:szCs w:val="18"/>
              </w:rPr>
            </w:pPr>
            <w:r>
              <w:rPr>
                <w:rFonts w:hint="eastAsia" w:ascii="宋体" w:hAnsi="宋体"/>
                <w:sz w:val="18"/>
                <w:szCs w:val="18"/>
              </w:rPr>
              <w:t>从业人员在本</w:t>
            </w:r>
            <w:r>
              <w:rPr>
                <w:rFonts w:hint="eastAsia" w:ascii="宋体" w:hAnsi="宋体"/>
                <w:sz w:val="18"/>
                <w:szCs w:val="18"/>
                <w:lang w:eastAsia="zh-CN"/>
              </w:rPr>
              <w:t>景区</w:t>
            </w:r>
            <w:r>
              <w:rPr>
                <w:rFonts w:hint="eastAsia" w:ascii="宋体" w:hAnsi="宋体"/>
                <w:sz w:val="18"/>
                <w:szCs w:val="18"/>
              </w:rPr>
              <w:t>内调整工作岗位或离岗6个月以上重新上岗时，应重新接受部门和班组的安全培训。</w:t>
            </w:r>
          </w:p>
        </w:tc>
        <w:tc>
          <w:tcPr>
            <w:tcW w:w="580" w:type="dxa"/>
            <w:tcBorders>
              <w:top w:val="single" w:color="auto" w:sz="8" w:space="0"/>
              <w:bottom w:val="single" w:color="auto" w:sz="8" w:space="0"/>
            </w:tcBorders>
            <w:noWrap w:val="0"/>
            <w:vAlign w:val="center"/>
          </w:tcPr>
          <w:p w14:paraId="36BFC6EF">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5970A96D">
            <w:pPr>
              <w:widowControl/>
              <w:jc w:val="center"/>
              <w:rPr>
                <w:rFonts w:ascii="宋体" w:hAnsi="宋体"/>
                <w:bCs/>
                <w:sz w:val="18"/>
                <w:szCs w:val="18"/>
              </w:rPr>
            </w:pPr>
          </w:p>
        </w:tc>
        <w:tc>
          <w:tcPr>
            <w:tcW w:w="605" w:type="dxa"/>
            <w:noWrap w:val="0"/>
            <w:vAlign w:val="center"/>
          </w:tcPr>
          <w:p w14:paraId="66E224A8">
            <w:pPr>
              <w:widowControl/>
              <w:jc w:val="center"/>
              <w:rPr>
                <w:rFonts w:ascii="宋体" w:hAnsi="宋体"/>
                <w:bCs/>
                <w:sz w:val="18"/>
                <w:szCs w:val="18"/>
              </w:rPr>
            </w:pPr>
            <w:r>
              <w:rPr>
                <w:rFonts w:hint="eastAsia" w:ascii="宋体" w:hAnsi="宋体"/>
                <w:bCs/>
                <w:sz w:val="18"/>
                <w:szCs w:val="18"/>
              </w:rPr>
              <w:t>3</w:t>
            </w:r>
          </w:p>
        </w:tc>
        <w:tc>
          <w:tcPr>
            <w:tcW w:w="4563" w:type="dxa"/>
            <w:tcBorders>
              <w:top w:val="single" w:color="auto" w:sz="8" w:space="0"/>
              <w:bottom w:val="single" w:color="auto" w:sz="8" w:space="0"/>
            </w:tcBorders>
            <w:noWrap w:val="0"/>
            <w:vAlign w:val="center"/>
          </w:tcPr>
          <w:p w14:paraId="57DB1379">
            <w:pPr>
              <w:widowControl/>
              <w:snapToGrid w:val="0"/>
              <w:jc w:val="left"/>
              <w:rPr>
                <w:rFonts w:ascii="宋体" w:hAnsi="宋体"/>
                <w:bCs/>
                <w:sz w:val="18"/>
                <w:szCs w:val="18"/>
              </w:rPr>
            </w:pPr>
            <w:r>
              <w:rPr>
                <w:rFonts w:hint="eastAsia" w:ascii="宋体" w:hAnsi="宋体"/>
                <w:sz w:val="18"/>
                <w:szCs w:val="18"/>
              </w:rPr>
              <w:t>未重新接受部门和班组的安全培训的，不得分。</w:t>
            </w:r>
          </w:p>
        </w:tc>
        <w:tc>
          <w:tcPr>
            <w:tcW w:w="605" w:type="dxa"/>
            <w:tcBorders>
              <w:top w:val="single" w:color="auto" w:sz="8" w:space="0"/>
              <w:bottom w:val="single" w:color="auto" w:sz="8" w:space="0"/>
            </w:tcBorders>
            <w:noWrap w:val="0"/>
            <w:vAlign w:val="center"/>
          </w:tcPr>
          <w:p w14:paraId="486F5814">
            <w:pPr>
              <w:adjustRightInd w:val="0"/>
              <w:snapToGrid w:val="0"/>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47D1EBAE">
            <w:pPr>
              <w:adjustRightInd w:val="0"/>
              <w:snapToGrid w:val="0"/>
              <w:jc w:val="center"/>
              <w:rPr>
                <w:rFonts w:ascii="宋体" w:hAnsi="宋体"/>
                <w:bCs/>
                <w:sz w:val="18"/>
                <w:szCs w:val="18"/>
              </w:rPr>
            </w:pPr>
          </w:p>
        </w:tc>
        <w:tc>
          <w:tcPr>
            <w:tcW w:w="1004" w:type="dxa"/>
            <w:tcBorders>
              <w:top w:val="single" w:color="auto" w:sz="8" w:space="0"/>
              <w:bottom w:val="single" w:color="auto" w:sz="8" w:space="0"/>
            </w:tcBorders>
            <w:noWrap w:val="0"/>
            <w:vAlign w:val="center"/>
          </w:tcPr>
          <w:p w14:paraId="6D27340C">
            <w:pPr>
              <w:jc w:val="center"/>
            </w:pPr>
            <w:r>
              <w:rPr>
                <w:rFonts w:hint="eastAsia" w:ascii="宋体" w:hAnsi="宋体"/>
                <w:bCs/>
                <w:sz w:val="18"/>
                <w:szCs w:val="18"/>
                <w:lang w:eastAsia="zh-CN"/>
              </w:rPr>
              <w:t>4.</w:t>
            </w:r>
            <w:r>
              <w:rPr>
                <w:rFonts w:hint="eastAsia" w:ascii="宋体" w:hAnsi="宋体"/>
                <w:bCs/>
                <w:sz w:val="18"/>
                <w:szCs w:val="18"/>
              </w:rPr>
              <w:t>1</w:t>
            </w:r>
          </w:p>
        </w:tc>
      </w:tr>
      <w:tr w14:paraId="1B70DE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4BCB5B91">
            <w:pPr>
              <w:widowControl/>
              <w:jc w:val="center"/>
              <w:rPr>
                <w:rFonts w:hint="eastAsia" w:ascii="宋体" w:hAnsi="宋体"/>
                <w:sz w:val="18"/>
              </w:rPr>
            </w:pPr>
            <w:r>
              <w:rPr>
                <w:rFonts w:hint="eastAsia" w:ascii="宋体" w:hAnsi="宋体"/>
                <w:sz w:val="18"/>
              </w:rPr>
              <w:t>1.5.6</w:t>
            </w:r>
          </w:p>
        </w:tc>
        <w:tc>
          <w:tcPr>
            <w:tcW w:w="5874" w:type="dxa"/>
            <w:tcBorders>
              <w:top w:val="single" w:color="auto" w:sz="8" w:space="0"/>
              <w:bottom w:val="single" w:color="auto" w:sz="8" w:space="0"/>
            </w:tcBorders>
            <w:noWrap w:val="0"/>
            <w:vAlign w:val="center"/>
          </w:tcPr>
          <w:p w14:paraId="56CB8FDC">
            <w:pPr>
              <w:widowControl/>
              <w:snapToGrid w:val="0"/>
              <w:jc w:val="left"/>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应用新工艺、新技术、新材料、新设备，应对有关从业人员重新进行有针对性的安全培训。</w:t>
            </w:r>
          </w:p>
        </w:tc>
        <w:tc>
          <w:tcPr>
            <w:tcW w:w="580" w:type="dxa"/>
            <w:tcBorders>
              <w:top w:val="single" w:color="auto" w:sz="8" w:space="0"/>
              <w:bottom w:val="single" w:color="auto" w:sz="8" w:space="0"/>
            </w:tcBorders>
            <w:noWrap w:val="0"/>
            <w:vAlign w:val="center"/>
          </w:tcPr>
          <w:p w14:paraId="22DC1EDF">
            <w:pPr>
              <w:widowControl/>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4214291E">
            <w:pPr>
              <w:widowControl/>
              <w:jc w:val="center"/>
              <w:rPr>
                <w:rFonts w:ascii="宋体" w:hAnsi="宋体"/>
                <w:bCs/>
                <w:sz w:val="18"/>
                <w:szCs w:val="18"/>
              </w:rPr>
            </w:pPr>
          </w:p>
        </w:tc>
        <w:tc>
          <w:tcPr>
            <w:tcW w:w="605" w:type="dxa"/>
            <w:noWrap w:val="0"/>
            <w:vAlign w:val="center"/>
          </w:tcPr>
          <w:p w14:paraId="1B306DFF">
            <w:pPr>
              <w:widowControl/>
              <w:jc w:val="center"/>
              <w:rPr>
                <w:rFonts w:hint="eastAsia" w:ascii="宋体" w:hAnsi="宋体"/>
                <w:bCs/>
                <w:sz w:val="18"/>
                <w:szCs w:val="18"/>
              </w:rPr>
            </w:pPr>
            <w:r>
              <w:rPr>
                <w:rFonts w:hint="eastAsia" w:ascii="宋体" w:hAnsi="宋体"/>
                <w:bCs/>
                <w:sz w:val="18"/>
                <w:szCs w:val="18"/>
              </w:rPr>
              <w:t>3</w:t>
            </w:r>
          </w:p>
        </w:tc>
        <w:tc>
          <w:tcPr>
            <w:tcW w:w="4563" w:type="dxa"/>
            <w:tcBorders>
              <w:top w:val="single" w:color="auto" w:sz="8" w:space="0"/>
              <w:bottom w:val="single" w:color="auto" w:sz="8" w:space="0"/>
            </w:tcBorders>
            <w:noWrap w:val="0"/>
            <w:vAlign w:val="center"/>
          </w:tcPr>
          <w:p w14:paraId="0DE4AC82">
            <w:pPr>
              <w:widowControl/>
              <w:snapToGrid w:val="0"/>
              <w:jc w:val="left"/>
              <w:rPr>
                <w:rFonts w:hint="default" w:ascii="宋体" w:hAnsi="宋体" w:eastAsia="宋体"/>
                <w:sz w:val="18"/>
                <w:szCs w:val="18"/>
                <w:lang w:val="en-US" w:eastAsia="zh-CN"/>
              </w:rPr>
            </w:pPr>
            <w:r>
              <w:rPr>
                <w:rFonts w:hint="eastAsia" w:ascii="宋体" w:hAnsi="宋体"/>
                <w:sz w:val="18"/>
                <w:szCs w:val="18"/>
              </w:rPr>
              <w:t>未及时对有关从业人员重新进行有针对性的安全培训</w:t>
            </w:r>
            <w:r>
              <w:rPr>
                <w:rFonts w:hint="eastAsia" w:ascii="宋体" w:hAnsi="宋体"/>
                <w:sz w:val="18"/>
                <w:szCs w:val="18"/>
                <w:lang w:val="en-US" w:eastAsia="zh-CN"/>
              </w:rPr>
              <w:t>的，不得分。</w:t>
            </w:r>
          </w:p>
        </w:tc>
        <w:tc>
          <w:tcPr>
            <w:tcW w:w="605" w:type="dxa"/>
            <w:tcBorders>
              <w:top w:val="single" w:color="auto" w:sz="8" w:space="0"/>
              <w:bottom w:val="single" w:color="auto" w:sz="8" w:space="0"/>
            </w:tcBorders>
            <w:noWrap w:val="0"/>
            <w:vAlign w:val="center"/>
          </w:tcPr>
          <w:p w14:paraId="51F7222B">
            <w:pPr>
              <w:adjustRightInd w:val="0"/>
              <w:snapToGrid w:val="0"/>
              <w:jc w:val="center"/>
              <w:rPr>
                <w:rFonts w:ascii="宋体" w:hAnsi="宋体"/>
                <w:bCs/>
                <w:sz w:val="18"/>
                <w:szCs w:val="18"/>
              </w:rPr>
            </w:pPr>
          </w:p>
        </w:tc>
        <w:tc>
          <w:tcPr>
            <w:tcW w:w="605" w:type="dxa"/>
            <w:tcBorders>
              <w:top w:val="single" w:color="auto" w:sz="8" w:space="0"/>
              <w:bottom w:val="single" w:color="auto" w:sz="8" w:space="0"/>
            </w:tcBorders>
            <w:noWrap w:val="0"/>
            <w:vAlign w:val="center"/>
          </w:tcPr>
          <w:p w14:paraId="00BF9C28">
            <w:pPr>
              <w:adjustRightInd w:val="0"/>
              <w:snapToGrid w:val="0"/>
              <w:jc w:val="center"/>
              <w:rPr>
                <w:rFonts w:ascii="宋体" w:hAnsi="宋体"/>
                <w:bCs/>
                <w:sz w:val="18"/>
                <w:szCs w:val="18"/>
              </w:rPr>
            </w:pPr>
          </w:p>
        </w:tc>
        <w:tc>
          <w:tcPr>
            <w:tcW w:w="1004" w:type="dxa"/>
            <w:tcBorders>
              <w:top w:val="single" w:color="auto" w:sz="8" w:space="0"/>
              <w:bottom w:val="single" w:color="auto" w:sz="8" w:space="0"/>
            </w:tcBorders>
            <w:noWrap w:val="0"/>
            <w:vAlign w:val="center"/>
          </w:tcPr>
          <w:p w14:paraId="7C2A39F9">
            <w:pPr>
              <w:jc w:val="center"/>
            </w:pPr>
            <w:r>
              <w:rPr>
                <w:rFonts w:hint="eastAsia" w:ascii="宋体" w:hAnsi="宋体"/>
                <w:bCs/>
                <w:sz w:val="18"/>
                <w:szCs w:val="18"/>
                <w:lang w:eastAsia="zh-CN"/>
              </w:rPr>
              <w:t>4.</w:t>
            </w:r>
            <w:r>
              <w:rPr>
                <w:rFonts w:hint="eastAsia" w:ascii="宋体" w:hAnsi="宋体"/>
                <w:bCs/>
                <w:sz w:val="18"/>
                <w:szCs w:val="18"/>
              </w:rPr>
              <w:t>1</w:t>
            </w:r>
          </w:p>
        </w:tc>
      </w:tr>
      <w:tr w14:paraId="1C5A5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50E932B8">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1.5.7</w:t>
            </w:r>
          </w:p>
        </w:tc>
        <w:tc>
          <w:tcPr>
            <w:tcW w:w="5874" w:type="dxa"/>
            <w:tcBorders>
              <w:top w:val="single" w:color="auto" w:sz="8" w:space="0"/>
              <w:bottom w:val="single" w:color="auto" w:sz="8" w:space="0"/>
            </w:tcBorders>
            <w:noWrap w:val="0"/>
            <w:vAlign w:val="center"/>
          </w:tcPr>
          <w:p w14:paraId="2FBB7F1B">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应对相关方作业人员（短期临时作业人员、实习学生、学习参观人员及其他外来人员）进行安全教育培训。</w:t>
            </w:r>
          </w:p>
        </w:tc>
        <w:tc>
          <w:tcPr>
            <w:tcW w:w="580" w:type="dxa"/>
            <w:tcBorders>
              <w:top w:val="single" w:color="auto" w:sz="8" w:space="0"/>
              <w:bottom w:val="single" w:color="auto" w:sz="8" w:space="0"/>
            </w:tcBorders>
            <w:noWrap w:val="0"/>
            <w:vAlign w:val="center"/>
          </w:tcPr>
          <w:p w14:paraId="7300A58C">
            <w:pPr>
              <w:widowControl/>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13B7F4CA">
            <w:pPr>
              <w:widowControl/>
              <w:jc w:val="center"/>
              <w:rPr>
                <w:rFonts w:ascii="宋体" w:hAnsi="宋体" w:eastAsia="宋体" w:cs="Times New Roman"/>
                <w:bCs/>
                <w:kern w:val="2"/>
                <w:sz w:val="18"/>
                <w:szCs w:val="18"/>
                <w:lang w:val="en-US" w:eastAsia="zh-CN" w:bidi="ar-SA"/>
              </w:rPr>
            </w:pPr>
          </w:p>
        </w:tc>
        <w:tc>
          <w:tcPr>
            <w:tcW w:w="605" w:type="dxa"/>
            <w:noWrap w:val="0"/>
            <w:vAlign w:val="center"/>
          </w:tcPr>
          <w:p w14:paraId="37F010E7">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4</w:t>
            </w:r>
          </w:p>
        </w:tc>
        <w:tc>
          <w:tcPr>
            <w:tcW w:w="4563" w:type="dxa"/>
            <w:tcBorders>
              <w:top w:val="single" w:color="auto" w:sz="8" w:space="0"/>
              <w:bottom w:val="single" w:color="auto" w:sz="8" w:space="0"/>
            </w:tcBorders>
            <w:noWrap w:val="0"/>
            <w:vAlign w:val="center"/>
          </w:tcPr>
          <w:p w14:paraId="4F41E90D">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未对相关方作业人员进行安全教育培训或未提供培训记录的，</w:t>
            </w:r>
            <w:r>
              <w:rPr>
                <w:rFonts w:hint="eastAsia" w:ascii="宋体" w:hAnsi="宋体"/>
                <w:sz w:val="18"/>
                <w:szCs w:val="18"/>
              </w:rPr>
              <w:t>不得分</w:t>
            </w:r>
            <w:r>
              <w:rPr>
                <w:rFonts w:ascii="宋体" w:hAnsi="宋体"/>
                <w:sz w:val="18"/>
                <w:szCs w:val="18"/>
              </w:rPr>
              <w:t>。</w:t>
            </w:r>
          </w:p>
        </w:tc>
        <w:tc>
          <w:tcPr>
            <w:tcW w:w="605" w:type="dxa"/>
            <w:tcBorders>
              <w:top w:val="single" w:color="auto" w:sz="8" w:space="0"/>
              <w:bottom w:val="single" w:color="auto" w:sz="8" w:space="0"/>
            </w:tcBorders>
            <w:noWrap w:val="0"/>
            <w:vAlign w:val="center"/>
          </w:tcPr>
          <w:p w14:paraId="08324773">
            <w:pPr>
              <w:adjustRightInd w:val="0"/>
              <w:snapToGrid w:val="0"/>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2374BCDE">
            <w:pPr>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bottom w:val="single" w:color="auto" w:sz="8" w:space="0"/>
            </w:tcBorders>
            <w:noWrap w:val="0"/>
            <w:vAlign w:val="center"/>
          </w:tcPr>
          <w:p w14:paraId="53A4F404">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2374C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25CCD9">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1.5.8</w:t>
            </w:r>
          </w:p>
        </w:tc>
        <w:tc>
          <w:tcPr>
            <w:tcW w:w="0" w:type="auto"/>
            <w:vAlign w:val="center"/>
          </w:tcPr>
          <w:p w14:paraId="78ADC9FF">
            <w:pPr>
              <w:adjustRightInd w:val="0"/>
              <w:snapToGrid w:val="0"/>
              <w:spacing w:line="240" w:lineRule="atLeast"/>
              <w:jc w:val="left"/>
              <w:rPr>
                <w:rFonts w:hint="eastAsia" w:ascii="宋体" w:hAnsi="宋体" w:eastAsia="宋体" w:cs="Times New Roman"/>
                <w:kern w:val="2"/>
                <w:sz w:val="18"/>
                <w:szCs w:val="18"/>
                <w:lang w:val="en-US" w:eastAsia="zh-CN" w:bidi="ar-SA"/>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应建立安全生产教育培训档案，档案应包括培训记录表、培训签到表、培训试卷等有关书面材料和图片资料。</w:t>
            </w:r>
          </w:p>
        </w:tc>
        <w:tc>
          <w:tcPr>
            <w:tcW w:w="0" w:type="auto"/>
            <w:vAlign w:val="center"/>
          </w:tcPr>
          <w:p w14:paraId="73066079">
            <w:pPr>
              <w:adjustRightInd w:val="0"/>
              <w:snapToGrid w:val="0"/>
              <w:jc w:val="center"/>
              <w:rPr>
                <w:rFonts w:ascii="宋体" w:hAnsi="Times New Roman" w:eastAsia="宋体" w:cs="Times New Roman"/>
                <w:bCs/>
                <w:kern w:val="2"/>
                <w:sz w:val="18"/>
                <w:szCs w:val="18"/>
                <w:lang w:val="en-US" w:eastAsia="zh-CN" w:bidi="ar-SA"/>
              </w:rPr>
            </w:pPr>
          </w:p>
        </w:tc>
        <w:tc>
          <w:tcPr>
            <w:tcW w:w="0" w:type="auto"/>
            <w:vAlign w:val="center"/>
          </w:tcPr>
          <w:p w14:paraId="071284E4">
            <w:pPr>
              <w:adjustRightInd w:val="0"/>
              <w:snapToGrid w:val="0"/>
              <w:jc w:val="center"/>
              <w:rPr>
                <w:rFonts w:ascii="宋体" w:hAnsi="Times New Roman" w:eastAsia="宋体" w:cs="Times New Roman"/>
                <w:bCs/>
                <w:kern w:val="2"/>
                <w:sz w:val="18"/>
                <w:szCs w:val="18"/>
                <w:lang w:val="en-US" w:eastAsia="zh-CN" w:bidi="ar-SA"/>
              </w:rPr>
            </w:pPr>
          </w:p>
        </w:tc>
        <w:tc>
          <w:tcPr>
            <w:tcW w:w="0" w:type="auto"/>
            <w:vAlign w:val="center"/>
          </w:tcPr>
          <w:p w14:paraId="10128249">
            <w:pPr>
              <w:adjustRightInd w:val="0"/>
              <w:snapToGrid w:val="0"/>
              <w:jc w:val="center"/>
              <w:rPr>
                <w:rFonts w:hint="eastAsia" w:ascii="宋体" w:hAnsi="Times New Roman" w:eastAsia="宋体" w:cs="Times New Roman"/>
                <w:bCs/>
                <w:kern w:val="2"/>
                <w:sz w:val="18"/>
                <w:szCs w:val="18"/>
                <w:lang w:val="en-US" w:eastAsia="zh-CN" w:bidi="ar-SA"/>
              </w:rPr>
            </w:pPr>
            <w:r>
              <w:rPr>
                <w:rFonts w:hint="eastAsia" w:ascii="宋体"/>
                <w:bCs/>
                <w:sz w:val="18"/>
                <w:szCs w:val="18"/>
              </w:rPr>
              <w:t>3</w:t>
            </w:r>
          </w:p>
        </w:tc>
        <w:tc>
          <w:tcPr>
            <w:tcW w:w="0" w:type="auto"/>
            <w:vAlign w:val="center"/>
          </w:tcPr>
          <w:p w14:paraId="6CC066F3">
            <w:pPr>
              <w:adjustRightInd w:val="0"/>
              <w:snapToGrid w:val="0"/>
              <w:jc w:val="left"/>
              <w:rPr>
                <w:rFonts w:hint="eastAsia"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无教育培训档案或伪造培训档案，视同未开展安全生产教育培训，</w:t>
            </w:r>
            <w:r>
              <w:rPr>
                <w:rFonts w:hint="eastAsia" w:ascii="宋体" w:hAnsi="宋体"/>
                <w:sz w:val="18"/>
                <w:szCs w:val="18"/>
              </w:rPr>
              <w:t>“</w:t>
            </w:r>
            <w:r>
              <w:rPr>
                <w:rFonts w:hint="eastAsia" w:ascii="宋体" w:hAnsi="宋体"/>
                <w:sz w:val="18"/>
              </w:rPr>
              <w:t>安全生产教育培训</w:t>
            </w:r>
            <w:r>
              <w:rPr>
                <w:rFonts w:hint="eastAsia" w:ascii="宋体" w:hAnsi="宋体"/>
                <w:sz w:val="18"/>
                <w:szCs w:val="18"/>
              </w:rPr>
              <w:t>”评定要素不得分；</w:t>
            </w:r>
          </w:p>
          <w:p w14:paraId="67BF52E3">
            <w:pPr>
              <w:adjustRightInd w:val="0"/>
              <w:snapToGrid w:val="0"/>
              <w:jc w:val="left"/>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发现相关安全生产培训记录不完整、记录内容不详实、学时不足</w:t>
            </w:r>
            <w:r>
              <w:rPr>
                <w:rFonts w:hint="eastAsia" w:ascii="宋体" w:hAnsi="宋体"/>
                <w:sz w:val="18"/>
                <w:szCs w:val="18"/>
              </w:rPr>
              <w:t>的</w:t>
            </w:r>
            <w:r>
              <w:rPr>
                <w:rFonts w:ascii="宋体" w:hAnsi="宋体"/>
                <w:sz w:val="18"/>
                <w:szCs w:val="18"/>
              </w:rPr>
              <w:t>，扣</w:t>
            </w:r>
            <w:r>
              <w:rPr>
                <w:rFonts w:hint="eastAsia" w:ascii="宋体" w:hAnsi="宋体"/>
                <w:sz w:val="18"/>
                <w:szCs w:val="18"/>
              </w:rPr>
              <w:t>2</w:t>
            </w:r>
            <w:r>
              <w:rPr>
                <w:rFonts w:ascii="宋体" w:hAnsi="宋体"/>
                <w:sz w:val="18"/>
                <w:szCs w:val="18"/>
              </w:rPr>
              <w:t>分；</w:t>
            </w:r>
          </w:p>
          <w:p w14:paraId="4775BACC">
            <w:pPr>
              <w:adjustRightInd w:val="0"/>
              <w:snapToGrid w:val="0"/>
              <w:jc w:val="left"/>
              <w:rPr>
                <w:rFonts w:ascii="宋体" w:hAnsi="宋体"/>
                <w:sz w:val="18"/>
                <w:szCs w:val="18"/>
              </w:rPr>
            </w:pPr>
            <w:r>
              <w:rPr>
                <w:rFonts w:hint="eastAsia" w:ascii="宋体" w:hAnsi="宋体"/>
                <w:sz w:val="18"/>
                <w:szCs w:val="18"/>
              </w:rPr>
              <w:t>3）</w:t>
            </w:r>
            <w:r>
              <w:rPr>
                <w:rFonts w:ascii="宋体" w:hAnsi="宋体"/>
                <w:sz w:val="18"/>
                <w:szCs w:val="18"/>
              </w:rPr>
              <w:t>培训资料不全的，扣</w:t>
            </w:r>
            <w:r>
              <w:rPr>
                <w:rFonts w:hint="eastAsia" w:ascii="宋体" w:hAnsi="宋体"/>
                <w:sz w:val="18"/>
                <w:szCs w:val="18"/>
              </w:rPr>
              <w:t>2</w:t>
            </w:r>
            <w:r>
              <w:rPr>
                <w:rFonts w:ascii="宋体" w:hAnsi="宋体"/>
                <w:sz w:val="18"/>
                <w:szCs w:val="18"/>
              </w:rPr>
              <w:t>分；</w:t>
            </w:r>
          </w:p>
          <w:p w14:paraId="767F02AF">
            <w:pPr>
              <w:adjustRightInd w:val="0"/>
              <w:snapToGrid w:val="0"/>
              <w:rPr>
                <w:rFonts w:hint="eastAsia" w:ascii="宋体" w:hAnsi="Times New Roman" w:eastAsia="宋体" w:cs="Times New Roman"/>
                <w:bCs/>
                <w:kern w:val="2"/>
                <w:sz w:val="18"/>
                <w:szCs w:val="18"/>
                <w:lang w:val="en-US" w:eastAsia="zh-CN" w:bidi="ar-SA"/>
              </w:rPr>
            </w:pPr>
            <w:r>
              <w:rPr>
                <w:rFonts w:hint="eastAsia" w:ascii="宋体" w:hAnsi="宋体"/>
                <w:sz w:val="18"/>
                <w:szCs w:val="18"/>
              </w:rPr>
              <w:t>4）</w:t>
            </w:r>
            <w:r>
              <w:rPr>
                <w:rFonts w:ascii="宋体" w:hAnsi="宋体"/>
                <w:sz w:val="18"/>
                <w:szCs w:val="18"/>
              </w:rPr>
              <w:t>培训材料未保存三年的，扣</w:t>
            </w:r>
            <w:r>
              <w:rPr>
                <w:rFonts w:hint="eastAsia" w:ascii="宋体" w:hAnsi="宋体"/>
                <w:sz w:val="18"/>
                <w:szCs w:val="18"/>
              </w:rPr>
              <w:t>2</w:t>
            </w:r>
            <w:r>
              <w:rPr>
                <w:rFonts w:ascii="宋体" w:hAnsi="宋体"/>
                <w:sz w:val="18"/>
                <w:szCs w:val="18"/>
              </w:rPr>
              <w:t>分。</w:t>
            </w:r>
          </w:p>
        </w:tc>
        <w:tc>
          <w:tcPr>
            <w:tcW w:w="0" w:type="auto"/>
            <w:vAlign w:val="center"/>
          </w:tcPr>
          <w:p w14:paraId="1C29AD01">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4F9527A0">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4B02A0DC">
            <w:pPr>
              <w:adjustRightInd w:val="0"/>
              <w:snapToGrid w:val="0"/>
              <w:jc w:val="center"/>
              <w:rPr>
                <w:rFonts w:ascii="宋体" w:hAnsi="宋体" w:eastAsia="宋体" w:cs="Times New Roman"/>
                <w:bCs/>
                <w:kern w:val="2"/>
                <w:sz w:val="18"/>
                <w:szCs w:val="18"/>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628FFA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23A091A">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w:t>
            </w:r>
          </w:p>
        </w:tc>
        <w:tc>
          <w:tcPr>
            <w:tcW w:w="0" w:type="auto"/>
            <w:vAlign w:val="center"/>
          </w:tcPr>
          <w:p w14:paraId="4641211B">
            <w:pPr>
              <w:widowControl/>
              <w:jc w:val="left"/>
              <w:rPr>
                <w:rFonts w:hint="eastAsia" w:ascii="宋体" w:hAnsi="宋体" w:eastAsia="宋体" w:cs="Times New Roman"/>
                <w:kern w:val="2"/>
                <w:sz w:val="18"/>
                <w:szCs w:val="18"/>
                <w:lang w:val="en-US" w:eastAsia="zh-CN" w:bidi="ar-SA"/>
              </w:rPr>
            </w:pPr>
            <w:r>
              <w:rPr>
                <w:rFonts w:hint="eastAsia" w:ascii="宋体" w:hAnsi="宋体"/>
                <w:sz w:val="18"/>
              </w:rPr>
              <w:t>应急救援</w:t>
            </w:r>
          </w:p>
        </w:tc>
        <w:tc>
          <w:tcPr>
            <w:tcW w:w="0" w:type="auto"/>
            <w:vAlign w:val="center"/>
          </w:tcPr>
          <w:p w14:paraId="2BA4E835">
            <w:pPr>
              <w:widowControl/>
              <w:jc w:val="center"/>
              <w:rPr>
                <w:rFonts w:ascii="宋体" w:hAnsi="宋体" w:eastAsia="宋体" w:cs="Times New Roman"/>
                <w:bCs/>
                <w:kern w:val="2"/>
                <w:sz w:val="18"/>
                <w:szCs w:val="18"/>
                <w:lang w:val="en-US" w:eastAsia="zh-CN" w:bidi="ar-SA"/>
              </w:rPr>
            </w:pPr>
            <w:r>
              <w:rPr>
                <w:rFonts w:hint="eastAsia" w:ascii="宋体" w:hAnsi="宋体"/>
                <w:sz w:val="18"/>
              </w:rPr>
              <w:t>50</w:t>
            </w:r>
          </w:p>
        </w:tc>
        <w:tc>
          <w:tcPr>
            <w:tcW w:w="0" w:type="auto"/>
            <w:vAlign w:val="center"/>
          </w:tcPr>
          <w:p w14:paraId="29E5075E">
            <w:pPr>
              <w:widowControl/>
              <w:jc w:val="center"/>
              <w:rPr>
                <w:rFonts w:ascii="宋体" w:hAnsi="宋体" w:eastAsia="宋体" w:cs="Times New Roman"/>
                <w:bCs/>
                <w:kern w:val="2"/>
                <w:sz w:val="18"/>
                <w:szCs w:val="18"/>
                <w:lang w:val="en-US" w:eastAsia="zh-CN" w:bidi="ar-SA"/>
              </w:rPr>
            </w:pPr>
          </w:p>
        </w:tc>
        <w:tc>
          <w:tcPr>
            <w:tcW w:w="0" w:type="auto"/>
            <w:vAlign w:val="center"/>
          </w:tcPr>
          <w:p w14:paraId="63B2567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24E779A2">
            <w:pPr>
              <w:adjustRightInd w:val="0"/>
              <w:snapToGrid w:val="0"/>
              <w:jc w:val="left"/>
              <w:rPr>
                <w:rFonts w:hint="eastAsia" w:ascii="宋体" w:hAnsi="宋体" w:eastAsia="宋体" w:cs="Times New Roman"/>
                <w:kern w:val="2"/>
                <w:sz w:val="18"/>
                <w:szCs w:val="18"/>
                <w:lang w:val="en-US" w:eastAsia="zh-CN" w:bidi="ar-SA"/>
              </w:rPr>
            </w:pPr>
          </w:p>
        </w:tc>
        <w:tc>
          <w:tcPr>
            <w:tcW w:w="0" w:type="auto"/>
            <w:vAlign w:val="center"/>
          </w:tcPr>
          <w:p w14:paraId="0146DA0A">
            <w:pPr>
              <w:adjustRightInd w:val="0"/>
              <w:snapToGrid w:val="0"/>
              <w:jc w:val="left"/>
              <w:rPr>
                <w:rFonts w:ascii="宋体" w:hAnsi="宋体" w:eastAsia="宋体" w:cs="Times New Roman"/>
                <w:bCs/>
                <w:kern w:val="2"/>
                <w:sz w:val="18"/>
                <w:szCs w:val="18"/>
                <w:lang w:val="en-US" w:eastAsia="zh-CN" w:bidi="ar-SA"/>
              </w:rPr>
            </w:pPr>
          </w:p>
        </w:tc>
        <w:tc>
          <w:tcPr>
            <w:tcW w:w="0" w:type="auto"/>
            <w:vAlign w:val="center"/>
          </w:tcPr>
          <w:p w14:paraId="35355B3C">
            <w:pPr>
              <w:adjustRightInd w:val="0"/>
              <w:snapToGrid w:val="0"/>
              <w:jc w:val="left"/>
              <w:rPr>
                <w:rFonts w:ascii="宋体" w:hAnsi="宋体" w:eastAsia="宋体" w:cs="Times New Roman"/>
                <w:bCs/>
                <w:kern w:val="2"/>
                <w:sz w:val="18"/>
                <w:szCs w:val="18"/>
                <w:lang w:val="en-US" w:eastAsia="zh-CN" w:bidi="ar-SA"/>
              </w:rPr>
            </w:pPr>
          </w:p>
        </w:tc>
        <w:tc>
          <w:tcPr>
            <w:tcW w:w="0" w:type="auto"/>
            <w:vAlign w:val="center"/>
          </w:tcPr>
          <w:p w14:paraId="3391196A">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73C5A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6682A05">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1.6.1</w:t>
            </w:r>
          </w:p>
        </w:tc>
        <w:tc>
          <w:tcPr>
            <w:tcW w:w="0" w:type="auto"/>
            <w:vAlign w:val="center"/>
          </w:tcPr>
          <w:p w14:paraId="0958CA4C">
            <w:pPr>
              <w:widowControl/>
              <w:jc w:val="left"/>
              <w:rPr>
                <w:rFonts w:hint="eastAsia" w:ascii="宋体" w:hAnsi="宋体" w:eastAsia="宋体" w:cs="Times New Roman"/>
                <w:kern w:val="2"/>
                <w:sz w:val="18"/>
                <w:szCs w:val="24"/>
                <w:lang w:val="en-US" w:eastAsia="zh-CN" w:bidi="ar-SA"/>
              </w:rPr>
            </w:pPr>
            <w:r>
              <w:rPr>
                <w:rFonts w:hint="eastAsia" w:ascii="宋体" w:hAnsi="宋体"/>
                <w:sz w:val="18"/>
              </w:rPr>
              <w:t>应急救援组织或人员</w:t>
            </w:r>
          </w:p>
        </w:tc>
        <w:tc>
          <w:tcPr>
            <w:tcW w:w="0" w:type="auto"/>
            <w:vAlign w:val="center"/>
          </w:tcPr>
          <w:p w14:paraId="1C86E573">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65C14A92">
            <w:pPr>
              <w:widowControl/>
              <w:jc w:val="center"/>
              <w:rPr>
                <w:rFonts w:ascii="宋体" w:hAnsi="宋体" w:eastAsia="宋体" w:cs="Times New Roman"/>
                <w:bCs/>
                <w:kern w:val="2"/>
                <w:sz w:val="18"/>
                <w:szCs w:val="18"/>
                <w:lang w:val="en-US" w:eastAsia="zh-CN" w:bidi="ar-SA"/>
              </w:rPr>
            </w:pPr>
            <w:r>
              <w:rPr>
                <w:rFonts w:hint="eastAsia" w:ascii="宋体" w:hAnsi="宋体"/>
                <w:sz w:val="18"/>
              </w:rPr>
              <w:t>10</w:t>
            </w:r>
          </w:p>
        </w:tc>
        <w:tc>
          <w:tcPr>
            <w:tcW w:w="0" w:type="auto"/>
            <w:vAlign w:val="center"/>
          </w:tcPr>
          <w:p w14:paraId="7004EAFD">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034C912D">
            <w:pPr>
              <w:adjustRightInd w:val="0"/>
              <w:snapToGrid w:val="0"/>
              <w:jc w:val="left"/>
              <w:rPr>
                <w:rFonts w:hint="eastAsia" w:ascii="宋体" w:hAnsi="宋体" w:eastAsia="宋体" w:cs="Times New Roman"/>
                <w:kern w:val="2"/>
                <w:sz w:val="18"/>
                <w:szCs w:val="18"/>
                <w:lang w:val="en-US" w:eastAsia="zh-CN" w:bidi="ar-SA"/>
              </w:rPr>
            </w:pPr>
          </w:p>
        </w:tc>
        <w:tc>
          <w:tcPr>
            <w:tcW w:w="0" w:type="auto"/>
            <w:vAlign w:val="center"/>
          </w:tcPr>
          <w:p w14:paraId="2905FAD3">
            <w:pPr>
              <w:adjustRightInd w:val="0"/>
              <w:snapToGrid w:val="0"/>
              <w:jc w:val="left"/>
              <w:rPr>
                <w:rFonts w:ascii="宋体" w:hAnsi="宋体" w:eastAsia="宋体" w:cs="Times New Roman"/>
                <w:bCs/>
                <w:kern w:val="2"/>
                <w:sz w:val="18"/>
                <w:szCs w:val="18"/>
                <w:lang w:val="en-US" w:eastAsia="zh-CN" w:bidi="ar-SA"/>
              </w:rPr>
            </w:pPr>
          </w:p>
        </w:tc>
        <w:tc>
          <w:tcPr>
            <w:tcW w:w="0" w:type="auto"/>
            <w:vAlign w:val="center"/>
          </w:tcPr>
          <w:p w14:paraId="700D4254">
            <w:pPr>
              <w:adjustRightInd w:val="0"/>
              <w:snapToGrid w:val="0"/>
              <w:jc w:val="left"/>
              <w:rPr>
                <w:rFonts w:ascii="宋体" w:hAnsi="宋体" w:eastAsia="宋体" w:cs="Times New Roman"/>
                <w:bCs/>
                <w:kern w:val="2"/>
                <w:sz w:val="18"/>
                <w:szCs w:val="18"/>
                <w:lang w:val="en-US" w:eastAsia="zh-CN" w:bidi="ar-SA"/>
              </w:rPr>
            </w:pPr>
          </w:p>
        </w:tc>
        <w:tc>
          <w:tcPr>
            <w:tcW w:w="0" w:type="auto"/>
            <w:vAlign w:val="center"/>
          </w:tcPr>
          <w:p w14:paraId="53AD9682">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1667B5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C6269F">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1.6.1.1</w:t>
            </w:r>
          </w:p>
        </w:tc>
        <w:tc>
          <w:tcPr>
            <w:tcW w:w="0" w:type="auto"/>
            <w:vAlign w:val="center"/>
          </w:tcPr>
          <w:p w14:paraId="2C4C25B1">
            <w:pPr>
              <w:widowControl/>
              <w:jc w:val="left"/>
              <w:rPr>
                <w:rFonts w:hint="eastAsia" w:ascii="宋体" w:hAnsi="宋体" w:eastAsia="宋体" w:cs="Times New Roman"/>
                <w:kern w:val="2"/>
                <w:sz w:val="18"/>
                <w:szCs w:val="24"/>
                <w:lang w:val="en-US" w:eastAsia="zh-CN" w:bidi="ar-SA"/>
              </w:rPr>
            </w:pPr>
            <w:r>
              <w:rPr>
                <w:rFonts w:hint="eastAsia" w:ascii="宋体" w:hAnsi="宋体"/>
                <w:sz w:val="18"/>
                <w:szCs w:val="18"/>
                <w:lang w:eastAsia="zh-CN"/>
              </w:rPr>
              <w:t>景区</w:t>
            </w:r>
            <w:r>
              <w:rPr>
                <w:rFonts w:hint="eastAsia" w:ascii="宋体" w:hAnsi="宋体"/>
                <w:sz w:val="18"/>
                <w:szCs w:val="18"/>
              </w:rPr>
              <w:t>应指定兼职的应急救援人员。</w:t>
            </w:r>
          </w:p>
        </w:tc>
        <w:tc>
          <w:tcPr>
            <w:tcW w:w="0" w:type="auto"/>
            <w:vAlign w:val="center"/>
          </w:tcPr>
          <w:p w14:paraId="0B51B459">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43D3822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31E07B8">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5</w:t>
            </w:r>
          </w:p>
        </w:tc>
        <w:tc>
          <w:tcPr>
            <w:tcW w:w="0" w:type="auto"/>
            <w:vAlign w:val="center"/>
          </w:tcPr>
          <w:p w14:paraId="68951F1C">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未建立应急救援组织或</w:t>
            </w:r>
            <w:r>
              <w:rPr>
                <w:rFonts w:hint="eastAsia" w:ascii="宋体" w:hAnsi="宋体"/>
                <w:sz w:val="18"/>
                <w:szCs w:val="18"/>
              </w:rPr>
              <w:t>按要求</w:t>
            </w:r>
            <w:r>
              <w:rPr>
                <w:rFonts w:ascii="宋体" w:hAnsi="宋体"/>
                <w:sz w:val="18"/>
                <w:szCs w:val="18"/>
              </w:rPr>
              <w:t>配备应急管理人员的，</w:t>
            </w:r>
            <w:r>
              <w:rPr>
                <w:rFonts w:hint="eastAsia" w:ascii="宋体" w:hAnsi="宋体"/>
                <w:sz w:val="18"/>
                <w:szCs w:val="18"/>
              </w:rPr>
              <w:t>不得分。</w:t>
            </w:r>
          </w:p>
        </w:tc>
        <w:tc>
          <w:tcPr>
            <w:tcW w:w="0" w:type="auto"/>
            <w:vAlign w:val="center"/>
          </w:tcPr>
          <w:p w14:paraId="0D36CA02">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47931582">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6CB21FC0">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4EBE2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E827359">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1.6.1.2</w:t>
            </w:r>
          </w:p>
        </w:tc>
        <w:tc>
          <w:tcPr>
            <w:tcW w:w="0" w:type="auto"/>
            <w:vAlign w:val="center"/>
          </w:tcPr>
          <w:p w14:paraId="14F3B4E9">
            <w:pPr>
              <w:widowControl/>
              <w:jc w:val="left"/>
              <w:rPr>
                <w:rFonts w:hint="eastAsia" w:ascii="宋体" w:hAnsi="宋体" w:eastAsia="宋体" w:cs="Times New Roman"/>
                <w:kern w:val="2"/>
                <w:sz w:val="18"/>
                <w:szCs w:val="24"/>
                <w:lang w:val="en-US" w:eastAsia="zh-CN" w:bidi="ar-SA"/>
              </w:rPr>
            </w:pPr>
            <w:r>
              <w:rPr>
                <w:rFonts w:hint="eastAsia" w:ascii="宋体" w:hAnsi="宋体"/>
                <w:sz w:val="18"/>
                <w:lang w:eastAsia="zh-CN"/>
              </w:rPr>
              <w:t>景区</w:t>
            </w:r>
            <w:r>
              <w:rPr>
                <w:rFonts w:hint="eastAsia" w:ascii="宋体" w:hAnsi="宋体"/>
                <w:sz w:val="18"/>
              </w:rPr>
              <w:t>应建立专兼职应急救援队伍或与邻近专职救援队签订救援协议。</w:t>
            </w:r>
          </w:p>
        </w:tc>
        <w:tc>
          <w:tcPr>
            <w:tcW w:w="0" w:type="auto"/>
            <w:vAlign w:val="center"/>
          </w:tcPr>
          <w:p w14:paraId="614DD59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3021FB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71289523">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5</w:t>
            </w:r>
          </w:p>
        </w:tc>
        <w:tc>
          <w:tcPr>
            <w:tcW w:w="0" w:type="auto"/>
            <w:vAlign w:val="center"/>
          </w:tcPr>
          <w:p w14:paraId="30F0D6A3">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未建立专兼职应急救援队伍或未与邻近专职救援队签订救援协议的，</w:t>
            </w:r>
            <w:r>
              <w:rPr>
                <w:rFonts w:hint="eastAsia" w:ascii="宋体" w:hAnsi="宋体"/>
                <w:sz w:val="18"/>
                <w:szCs w:val="18"/>
              </w:rPr>
              <w:t>扣2分</w:t>
            </w:r>
            <w:r>
              <w:rPr>
                <w:rFonts w:ascii="宋体" w:hAnsi="宋体"/>
                <w:sz w:val="18"/>
                <w:szCs w:val="18"/>
              </w:rPr>
              <w:t>。</w:t>
            </w:r>
          </w:p>
        </w:tc>
        <w:tc>
          <w:tcPr>
            <w:tcW w:w="0" w:type="auto"/>
            <w:vAlign w:val="center"/>
          </w:tcPr>
          <w:p w14:paraId="25586418">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7001884A">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6BDA5E16">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3AE506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E638295">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1.6.2</w:t>
            </w:r>
          </w:p>
        </w:tc>
        <w:tc>
          <w:tcPr>
            <w:tcW w:w="0" w:type="auto"/>
            <w:vAlign w:val="center"/>
          </w:tcPr>
          <w:p w14:paraId="09FB85F0">
            <w:pPr>
              <w:widowControl/>
              <w:jc w:val="left"/>
              <w:rPr>
                <w:rFonts w:hint="eastAsia" w:ascii="宋体" w:hAnsi="宋体" w:eastAsia="宋体" w:cs="Times New Roman"/>
                <w:kern w:val="2"/>
                <w:sz w:val="18"/>
                <w:szCs w:val="24"/>
                <w:lang w:val="en-US" w:eastAsia="zh-CN" w:bidi="ar-SA"/>
              </w:rPr>
            </w:pPr>
            <w:r>
              <w:rPr>
                <w:rFonts w:hint="eastAsia" w:ascii="宋体" w:hAnsi="宋体"/>
                <w:sz w:val="18"/>
              </w:rPr>
              <w:t>应急预案</w:t>
            </w:r>
          </w:p>
        </w:tc>
        <w:tc>
          <w:tcPr>
            <w:tcW w:w="0" w:type="auto"/>
            <w:vAlign w:val="center"/>
          </w:tcPr>
          <w:p w14:paraId="64D2018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1B43F0E">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25</w:t>
            </w:r>
          </w:p>
        </w:tc>
        <w:tc>
          <w:tcPr>
            <w:tcW w:w="0" w:type="auto"/>
            <w:vAlign w:val="center"/>
          </w:tcPr>
          <w:p w14:paraId="4B2C45DF">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32B23D02">
            <w:pPr>
              <w:adjustRightInd w:val="0"/>
              <w:snapToGrid w:val="0"/>
              <w:jc w:val="left"/>
              <w:rPr>
                <w:rFonts w:hint="eastAsia" w:ascii="宋体" w:hAnsi="宋体" w:eastAsia="宋体" w:cs="Times New Roman"/>
                <w:kern w:val="2"/>
                <w:sz w:val="18"/>
                <w:szCs w:val="18"/>
                <w:lang w:val="en-US" w:eastAsia="zh-CN" w:bidi="ar-SA"/>
              </w:rPr>
            </w:pPr>
          </w:p>
        </w:tc>
        <w:tc>
          <w:tcPr>
            <w:tcW w:w="0" w:type="auto"/>
            <w:vAlign w:val="center"/>
          </w:tcPr>
          <w:p w14:paraId="62DBC20B">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6B9B2E2F">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366C5601">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748E9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3DAE6E0">
            <w:pPr>
              <w:widowControl/>
              <w:jc w:val="center"/>
              <w:rPr>
                <w:rFonts w:hint="eastAsia" w:ascii="宋体" w:hAnsi="宋体" w:eastAsia="宋体" w:cs="Times New Roman"/>
                <w:kern w:val="2"/>
                <w:sz w:val="18"/>
                <w:szCs w:val="24"/>
                <w:lang w:val="en-US" w:eastAsia="zh-CN" w:bidi="ar-SA"/>
              </w:rPr>
            </w:pPr>
            <w:r>
              <w:rPr>
                <w:rFonts w:ascii="宋体" w:hAnsi="宋体"/>
                <w:sz w:val="18"/>
              </w:rPr>
              <w:t>1.6.2.1</w:t>
            </w:r>
          </w:p>
        </w:tc>
        <w:tc>
          <w:tcPr>
            <w:tcW w:w="0" w:type="auto"/>
            <w:vAlign w:val="center"/>
          </w:tcPr>
          <w:p w14:paraId="5B661A3C">
            <w:pPr>
              <w:adjustRightInd w:val="0"/>
              <w:snapToGrid w:val="0"/>
              <w:spacing w:line="240" w:lineRule="atLeast"/>
              <w:jc w:val="left"/>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应在编制应急预案前进行事故风险评估和应急资源调查。</w:t>
            </w:r>
          </w:p>
        </w:tc>
        <w:tc>
          <w:tcPr>
            <w:tcW w:w="0" w:type="auto"/>
            <w:vAlign w:val="center"/>
          </w:tcPr>
          <w:p w14:paraId="4B017FF1">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7326D702">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49621B2E">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2</w:t>
            </w:r>
          </w:p>
        </w:tc>
        <w:tc>
          <w:tcPr>
            <w:tcW w:w="0" w:type="auto"/>
            <w:vAlign w:val="center"/>
          </w:tcPr>
          <w:p w14:paraId="5FAEB199">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未开展事故风险评估和应急资源调查的，不得分</w:t>
            </w:r>
          </w:p>
        </w:tc>
        <w:tc>
          <w:tcPr>
            <w:tcW w:w="0" w:type="auto"/>
            <w:vAlign w:val="center"/>
          </w:tcPr>
          <w:p w14:paraId="4FF063CA">
            <w:pPr>
              <w:adjustRightInd w:val="0"/>
              <w:snapToGrid w:val="0"/>
              <w:rPr>
                <w:rFonts w:ascii="宋体" w:hAnsi="Times New Roman" w:eastAsia="宋体" w:cs="Times New Roman"/>
                <w:kern w:val="2"/>
                <w:sz w:val="18"/>
                <w:szCs w:val="24"/>
                <w:lang w:val="en-US" w:eastAsia="zh-CN" w:bidi="ar-SA"/>
              </w:rPr>
            </w:pPr>
          </w:p>
        </w:tc>
        <w:tc>
          <w:tcPr>
            <w:tcW w:w="0" w:type="auto"/>
            <w:vAlign w:val="center"/>
          </w:tcPr>
          <w:p w14:paraId="2010EC92">
            <w:pPr>
              <w:adjustRightInd w:val="0"/>
              <w:snapToGrid w:val="0"/>
              <w:rPr>
                <w:rFonts w:ascii="宋体" w:hAnsi="Times New Roman" w:eastAsia="宋体" w:cs="Times New Roman"/>
                <w:kern w:val="2"/>
                <w:sz w:val="18"/>
                <w:szCs w:val="24"/>
                <w:lang w:val="en-US" w:eastAsia="zh-CN" w:bidi="ar-SA"/>
              </w:rPr>
            </w:pPr>
          </w:p>
        </w:tc>
        <w:tc>
          <w:tcPr>
            <w:tcW w:w="0" w:type="auto"/>
            <w:vAlign w:val="center"/>
          </w:tcPr>
          <w:p w14:paraId="42160C94">
            <w:pPr>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bl>
    <w:p w14:paraId="22583F79">
      <w:pPr>
        <w:pStyle w:val="168"/>
        <w:numPr>
          <w:ilvl w:val="0"/>
          <w:numId w:val="0"/>
        </w:numPr>
        <w:spacing w:before="156" w:after="156"/>
      </w:pP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2"/>
        <w:gridCol w:w="5874"/>
        <w:gridCol w:w="580"/>
        <w:gridCol w:w="605"/>
        <w:gridCol w:w="605"/>
        <w:gridCol w:w="4563"/>
        <w:gridCol w:w="605"/>
        <w:gridCol w:w="605"/>
        <w:gridCol w:w="1004"/>
      </w:tblGrid>
      <w:tr w14:paraId="0CAE6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5AB5F215">
            <w:pPr>
              <w:adjustRightInd w:val="0"/>
              <w:snapToGrid w:val="0"/>
              <w:jc w:val="center"/>
              <w:rPr>
                <w:rFonts w:ascii="宋体"/>
                <w:sz w:val="18"/>
                <w:szCs w:val="18"/>
              </w:rPr>
            </w:pPr>
            <w:r>
              <w:rPr>
                <w:rFonts w:ascii="宋体"/>
                <w:bCs/>
                <w:sz w:val="18"/>
                <w:szCs w:val="18"/>
              </w:rPr>
              <w:t>序号</w:t>
            </w:r>
          </w:p>
        </w:tc>
        <w:tc>
          <w:tcPr>
            <w:tcW w:w="5874" w:type="dxa"/>
            <w:tcBorders>
              <w:top w:val="single" w:color="auto" w:sz="8" w:space="0"/>
              <w:bottom w:val="single" w:color="auto" w:sz="8" w:space="0"/>
            </w:tcBorders>
            <w:noWrap w:val="0"/>
            <w:vAlign w:val="center"/>
          </w:tcPr>
          <w:p w14:paraId="73A9783D">
            <w:pPr>
              <w:adjustRightInd w:val="0"/>
              <w:snapToGrid w:val="0"/>
              <w:jc w:val="center"/>
              <w:rPr>
                <w:rFonts w:ascii="宋体" w:hAnsi="宋体"/>
                <w:sz w:val="18"/>
                <w:szCs w:val="18"/>
              </w:rPr>
            </w:pPr>
            <w:r>
              <w:rPr>
                <w:rFonts w:ascii="宋体" w:hAnsi="宋体"/>
                <w:bCs/>
                <w:sz w:val="18"/>
                <w:szCs w:val="18"/>
              </w:rPr>
              <w:t>评定内容</w:t>
            </w:r>
          </w:p>
        </w:tc>
        <w:tc>
          <w:tcPr>
            <w:tcW w:w="580" w:type="dxa"/>
            <w:tcBorders>
              <w:top w:val="single" w:color="auto" w:sz="8" w:space="0"/>
              <w:bottom w:val="single" w:color="auto" w:sz="8" w:space="0"/>
            </w:tcBorders>
            <w:noWrap w:val="0"/>
            <w:vAlign w:val="center"/>
          </w:tcPr>
          <w:p w14:paraId="1914190A">
            <w:pPr>
              <w:adjustRightInd w:val="0"/>
              <w:snapToGrid w:val="0"/>
              <w:jc w:val="center"/>
              <w:rPr>
                <w:rFonts w:ascii="宋体"/>
                <w:sz w:val="18"/>
                <w:szCs w:val="18"/>
              </w:rPr>
            </w:pPr>
            <w:r>
              <w:rPr>
                <w:rFonts w:ascii="宋体"/>
                <w:bCs/>
                <w:sz w:val="18"/>
                <w:szCs w:val="18"/>
              </w:rPr>
              <w:t>评定要素分值</w:t>
            </w:r>
          </w:p>
        </w:tc>
        <w:tc>
          <w:tcPr>
            <w:tcW w:w="605" w:type="dxa"/>
            <w:tcBorders>
              <w:top w:val="single" w:color="auto" w:sz="8" w:space="0"/>
              <w:bottom w:val="single" w:color="auto" w:sz="8" w:space="0"/>
            </w:tcBorders>
            <w:noWrap w:val="0"/>
            <w:vAlign w:val="center"/>
          </w:tcPr>
          <w:p w14:paraId="0E8FEFBE">
            <w:pPr>
              <w:adjustRightInd w:val="0"/>
              <w:snapToGrid w:val="0"/>
              <w:jc w:val="center"/>
              <w:rPr>
                <w:rFonts w:ascii="宋体"/>
                <w:sz w:val="18"/>
                <w:szCs w:val="18"/>
              </w:rPr>
            </w:pPr>
            <w:r>
              <w:rPr>
                <w:rFonts w:ascii="宋体"/>
                <w:bCs/>
                <w:sz w:val="18"/>
                <w:szCs w:val="18"/>
              </w:rPr>
              <w:t>评定细项分值</w:t>
            </w:r>
          </w:p>
        </w:tc>
        <w:tc>
          <w:tcPr>
            <w:tcW w:w="605" w:type="dxa"/>
            <w:tcBorders>
              <w:top w:val="single" w:color="auto" w:sz="8" w:space="0"/>
              <w:bottom w:val="single" w:color="auto" w:sz="8" w:space="0"/>
            </w:tcBorders>
            <w:noWrap w:val="0"/>
            <w:vAlign w:val="center"/>
          </w:tcPr>
          <w:p w14:paraId="54FABB0E">
            <w:pPr>
              <w:adjustRightInd w:val="0"/>
              <w:snapToGrid w:val="0"/>
              <w:jc w:val="center"/>
              <w:rPr>
                <w:rFonts w:ascii="宋体"/>
                <w:sz w:val="18"/>
                <w:szCs w:val="18"/>
              </w:rPr>
            </w:pPr>
            <w:r>
              <w:rPr>
                <w:rFonts w:ascii="宋体"/>
                <w:bCs/>
                <w:sz w:val="18"/>
                <w:szCs w:val="18"/>
              </w:rPr>
              <w:t>评定条款分值</w:t>
            </w:r>
          </w:p>
        </w:tc>
        <w:tc>
          <w:tcPr>
            <w:tcW w:w="4563" w:type="dxa"/>
            <w:tcBorders>
              <w:top w:val="single" w:color="auto" w:sz="8" w:space="0"/>
              <w:bottom w:val="single" w:color="auto" w:sz="8" w:space="0"/>
            </w:tcBorders>
            <w:noWrap w:val="0"/>
            <w:vAlign w:val="center"/>
          </w:tcPr>
          <w:p w14:paraId="31724272">
            <w:pPr>
              <w:adjustRightInd w:val="0"/>
              <w:snapToGrid w:val="0"/>
              <w:jc w:val="center"/>
              <w:rPr>
                <w:rFonts w:ascii="宋体"/>
                <w:sz w:val="18"/>
                <w:szCs w:val="18"/>
              </w:rPr>
            </w:pPr>
            <w:r>
              <w:rPr>
                <w:rFonts w:ascii="宋体"/>
                <w:bCs/>
                <w:sz w:val="18"/>
                <w:szCs w:val="18"/>
              </w:rPr>
              <w:t>评分标准</w:t>
            </w:r>
          </w:p>
        </w:tc>
        <w:tc>
          <w:tcPr>
            <w:tcW w:w="605" w:type="dxa"/>
            <w:tcBorders>
              <w:top w:val="single" w:color="auto" w:sz="8" w:space="0"/>
              <w:bottom w:val="single" w:color="auto" w:sz="8" w:space="0"/>
            </w:tcBorders>
            <w:noWrap w:val="0"/>
            <w:vAlign w:val="center"/>
          </w:tcPr>
          <w:p w14:paraId="18067166">
            <w:pPr>
              <w:adjustRightInd w:val="0"/>
              <w:snapToGrid w:val="0"/>
              <w:jc w:val="center"/>
              <w:rPr>
                <w:rFonts w:ascii="宋体" w:hAnsi="宋体"/>
                <w:sz w:val="18"/>
                <w:szCs w:val="18"/>
              </w:rPr>
            </w:pPr>
            <w:r>
              <w:rPr>
                <w:rFonts w:ascii="宋体" w:hAnsi="宋体"/>
                <w:bCs/>
                <w:sz w:val="18"/>
                <w:szCs w:val="18"/>
              </w:rPr>
              <w:t>评定得分</w:t>
            </w:r>
          </w:p>
        </w:tc>
        <w:tc>
          <w:tcPr>
            <w:tcW w:w="605" w:type="dxa"/>
            <w:tcBorders>
              <w:top w:val="single" w:color="auto" w:sz="8" w:space="0"/>
              <w:bottom w:val="single" w:color="auto" w:sz="8" w:space="0"/>
            </w:tcBorders>
            <w:noWrap w:val="0"/>
            <w:vAlign w:val="center"/>
          </w:tcPr>
          <w:p w14:paraId="13F052E6">
            <w:pPr>
              <w:adjustRightInd w:val="0"/>
              <w:snapToGrid w:val="0"/>
              <w:jc w:val="center"/>
              <w:rPr>
                <w:rFonts w:ascii="宋体" w:hAnsi="宋体"/>
                <w:sz w:val="18"/>
                <w:szCs w:val="18"/>
              </w:rPr>
            </w:pPr>
            <w:r>
              <w:rPr>
                <w:rFonts w:ascii="宋体" w:hAnsi="宋体"/>
                <w:bCs/>
                <w:sz w:val="18"/>
                <w:szCs w:val="18"/>
              </w:rPr>
              <w:t>扣分说明</w:t>
            </w:r>
          </w:p>
        </w:tc>
        <w:tc>
          <w:tcPr>
            <w:tcW w:w="1004" w:type="dxa"/>
            <w:tcBorders>
              <w:top w:val="single" w:color="auto" w:sz="8" w:space="0"/>
              <w:bottom w:val="single" w:color="auto" w:sz="8" w:space="0"/>
            </w:tcBorders>
            <w:noWrap w:val="0"/>
            <w:vAlign w:val="center"/>
          </w:tcPr>
          <w:p w14:paraId="07C811EC">
            <w:pPr>
              <w:adjustRightInd w:val="0"/>
              <w:snapToGrid w:val="0"/>
              <w:jc w:val="center"/>
              <w:rPr>
                <w:rFonts w:ascii="宋体" w:hAnsi="宋体"/>
                <w:sz w:val="18"/>
                <w:szCs w:val="18"/>
              </w:rPr>
            </w:pPr>
            <w:r>
              <w:rPr>
                <w:rFonts w:ascii="宋体" w:hAnsi="宋体"/>
                <w:bCs/>
                <w:sz w:val="18"/>
                <w:szCs w:val="18"/>
              </w:rPr>
              <w:t>对应条款编号</w:t>
            </w:r>
          </w:p>
        </w:tc>
      </w:tr>
      <w:tr w14:paraId="52E04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4F234F9A">
            <w:pPr>
              <w:widowControl/>
              <w:jc w:val="left"/>
              <w:rPr>
                <w:rFonts w:ascii="宋体" w:hAnsi="宋体"/>
                <w:sz w:val="18"/>
              </w:rPr>
            </w:pPr>
            <w:r>
              <w:rPr>
                <w:rFonts w:ascii="宋体" w:hAnsi="宋体"/>
                <w:sz w:val="18"/>
              </w:rPr>
              <w:t>1.6.2.</w:t>
            </w:r>
            <w:r>
              <w:rPr>
                <w:rFonts w:hint="eastAsia" w:ascii="宋体" w:hAnsi="宋体"/>
                <w:sz w:val="18"/>
              </w:rPr>
              <w:t>2</w:t>
            </w:r>
          </w:p>
        </w:tc>
        <w:tc>
          <w:tcPr>
            <w:tcW w:w="5874" w:type="dxa"/>
            <w:tcBorders>
              <w:top w:val="single" w:color="auto" w:sz="8" w:space="0"/>
              <w:bottom w:val="single" w:color="auto" w:sz="8" w:space="0"/>
            </w:tcBorders>
            <w:noWrap w:val="0"/>
            <w:vAlign w:val="center"/>
          </w:tcPr>
          <w:p w14:paraId="76C44115">
            <w:pPr>
              <w:adjustRightInd w:val="0"/>
              <w:snapToGrid w:val="0"/>
              <w:spacing w:line="240" w:lineRule="atLeast"/>
              <w:jc w:val="left"/>
              <w:rPr>
                <w:rFonts w:hint="eastAsia" w:ascii="宋体" w:hAnsi="宋体"/>
                <w:sz w:val="18"/>
                <w:szCs w:val="18"/>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应根据本</w:t>
            </w:r>
            <w:r>
              <w:rPr>
                <w:rFonts w:hint="eastAsia" w:ascii="宋体" w:hAnsi="宋体"/>
                <w:sz w:val="18"/>
                <w:szCs w:val="18"/>
                <w:lang w:eastAsia="zh-CN"/>
              </w:rPr>
              <w:t>景区</w:t>
            </w:r>
            <w:r>
              <w:rPr>
                <w:rFonts w:hint="eastAsia" w:ascii="宋体" w:hAnsi="宋体"/>
                <w:sz w:val="18"/>
                <w:szCs w:val="18"/>
              </w:rPr>
              <w:t>组织管理体系、生产规模、危险源的性质以及可能发生的事故类型确定本</w:t>
            </w:r>
            <w:r>
              <w:rPr>
                <w:rFonts w:hint="eastAsia" w:ascii="宋体" w:hAnsi="宋体"/>
                <w:sz w:val="18"/>
                <w:szCs w:val="18"/>
                <w:lang w:eastAsia="zh-CN"/>
              </w:rPr>
              <w:t>景区</w:t>
            </w:r>
            <w:r>
              <w:rPr>
                <w:rFonts w:hint="eastAsia" w:ascii="宋体" w:hAnsi="宋体"/>
                <w:sz w:val="18"/>
                <w:szCs w:val="18"/>
              </w:rPr>
              <w:t>的应急预案体系，并可根据本</w:t>
            </w:r>
            <w:r>
              <w:rPr>
                <w:rFonts w:hint="eastAsia" w:ascii="宋体" w:hAnsi="宋体"/>
                <w:sz w:val="18"/>
                <w:szCs w:val="18"/>
                <w:lang w:eastAsia="zh-CN"/>
              </w:rPr>
              <w:t>景区</w:t>
            </w:r>
            <w:r>
              <w:rPr>
                <w:rFonts w:hint="eastAsia" w:ascii="宋体" w:hAnsi="宋体"/>
                <w:sz w:val="18"/>
                <w:szCs w:val="18"/>
              </w:rPr>
              <w:t>的实际情况，确定是否编制专项应急预案。事故风险单一、危险性小的</w:t>
            </w:r>
            <w:r>
              <w:rPr>
                <w:rFonts w:hint="eastAsia" w:ascii="宋体" w:hAnsi="宋体"/>
                <w:sz w:val="18"/>
                <w:szCs w:val="18"/>
                <w:lang w:eastAsia="zh-CN"/>
              </w:rPr>
              <w:t>景区</w:t>
            </w:r>
            <w:r>
              <w:rPr>
                <w:rFonts w:hint="eastAsia" w:ascii="宋体" w:hAnsi="宋体"/>
                <w:sz w:val="18"/>
                <w:szCs w:val="18"/>
              </w:rPr>
              <w:t>可只编写现场处置方案。应急预案体系应符合下列要求：</w:t>
            </w:r>
          </w:p>
          <w:p w14:paraId="011C3A93">
            <w:pPr>
              <w:adjustRightInd w:val="0"/>
              <w:snapToGrid w:val="0"/>
              <w:spacing w:line="240" w:lineRule="atLeast"/>
              <w:jc w:val="left"/>
              <w:rPr>
                <w:rFonts w:hint="eastAsia" w:ascii="宋体" w:hAnsi="宋体"/>
                <w:sz w:val="18"/>
                <w:szCs w:val="18"/>
              </w:rPr>
            </w:pPr>
            <w:r>
              <w:rPr>
                <w:rFonts w:hint="eastAsia" w:ascii="宋体" w:hAnsi="宋体"/>
                <w:sz w:val="18"/>
                <w:szCs w:val="18"/>
              </w:rPr>
              <w:t>a）综合应急预案包括生产经营</w:t>
            </w:r>
            <w:r>
              <w:rPr>
                <w:rFonts w:hint="eastAsia" w:ascii="宋体" w:hAnsi="宋体"/>
                <w:sz w:val="18"/>
                <w:szCs w:val="18"/>
                <w:lang w:val="en-US" w:eastAsia="zh-CN"/>
              </w:rPr>
              <w:t>单位</w:t>
            </w:r>
            <w:r>
              <w:rPr>
                <w:rFonts w:hint="eastAsia" w:ascii="宋体" w:hAnsi="宋体"/>
                <w:sz w:val="18"/>
                <w:szCs w:val="18"/>
              </w:rPr>
              <w:t>的应急组织机构及职责、应急预案体系、事故风险描述、预警及信息报告、应急响应、保障措施、应急预案管理等内容；</w:t>
            </w:r>
          </w:p>
          <w:p w14:paraId="6E0B92B8">
            <w:pPr>
              <w:adjustRightInd w:val="0"/>
              <w:snapToGrid w:val="0"/>
              <w:spacing w:line="240" w:lineRule="atLeast"/>
              <w:jc w:val="left"/>
              <w:rPr>
                <w:rFonts w:hint="eastAsia" w:ascii="宋体" w:hAnsi="宋体"/>
                <w:sz w:val="18"/>
                <w:szCs w:val="18"/>
              </w:rPr>
            </w:pPr>
            <w:r>
              <w:rPr>
                <w:rFonts w:hint="eastAsia" w:ascii="宋体" w:hAnsi="宋体"/>
                <w:sz w:val="18"/>
                <w:szCs w:val="18"/>
              </w:rPr>
              <w:t>b）专项应急预案主要包括应急指挥机构及职责、处置程序和措施等内容；应编制针对火灾、爆炸、游客量突增、游客疏散、突发公共治安事件、自然灾害（地震、防汛等）、食物中毒等事件事故的专项应急预案；</w:t>
            </w:r>
          </w:p>
          <w:p w14:paraId="243EB297">
            <w:pPr>
              <w:adjustRightInd w:val="0"/>
              <w:snapToGrid w:val="0"/>
              <w:spacing w:line="240" w:lineRule="atLeast"/>
              <w:jc w:val="left"/>
              <w:rPr>
                <w:rFonts w:hint="eastAsia" w:ascii="宋体" w:hAnsi="宋体"/>
                <w:sz w:val="18"/>
                <w:szCs w:val="18"/>
              </w:rPr>
            </w:pPr>
            <w:r>
              <w:rPr>
                <w:rFonts w:hint="eastAsia" w:ascii="宋体" w:hAnsi="宋体"/>
                <w:sz w:val="18"/>
                <w:szCs w:val="18"/>
              </w:rPr>
              <w:t>c）现场处置方案主要包括应急工作职责、应急处置和注意事项等内容。生产经营</w:t>
            </w:r>
            <w:r>
              <w:rPr>
                <w:rFonts w:hint="eastAsia" w:ascii="宋体" w:hAnsi="宋体"/>
                <w:sz w:val="18"/>
                <w:szCs w:val="18"/>
                <w:lang w:val="en-US" w:eastAsia="zh-CN"/>
              </w:rPr>
              <w:t>单位</w:t>
            </w:r>
            <w:r>
              <w:rPr>
                <w:rFonts w:hint="eastAsia" w:ascii="宋体" w:hAnsi="宋体"/>
                <w:sz w:val="18"/>
                <w:szCs w:val="18"/>
              </w:rPr>
              <w:t>应根据风险评估、岗位操作规程以及危险性控制措施，组织本</w:t>
            </w:r>
            <w:r>
              <w:rPr>
                <w:rFonts w:hint="eastAsia" w:ascii="宋体" w:hAnsi="宋体"/>
                <w:sz w:val="18"/>
                <w:szCs w:val="18"/>
                <w:lang w:eastAsia="zh-CN"/>
              </w:rPr>
              <w:t>景区</w:t>
            </w:r>
            <w:r>
              <w:rPr>
                <w:rFonts w:hint="eastAsia" w:ascii="宋体" w:hAnsi="宋体"/>
                <w:sz w:val="18"/>
                <w:szCs w:val="18"/>
              </w:rPr>
              <w:t>现场作业人员及安全管理等专业人员共同编制现场处置方案；应编制针对变配电室，锅炉、压力容器、起重机械和电梯等各类特种设备运行，使用燃气相关部位，客运索道、大型游乐设施及其他高风险游乐项目、临时性大型活动、水上和冰雪活动、游泳场所、猛兽类动物异常脱笼、动物发生疫情、野生动物观览车辆故障、动物表演和训练等现场处置方案；</w:t>
            </w:r>
          </w:p>
          <w:p w14:paraId="324AF54B">
            <w:pPr>
              <w:adjustRightInd w:val="0"/>
              <w:snapToGrid w:val="0"/>
              <w:spacing w:line="240" w:lineRule="atLeast"/>
              <w:jc w:val="left"/>
              <w:rPr>
                <w:rFonts w:hint="eastAsia" w:ascii="宋体" w:hAnsi="宋体"/>
                <w:sz w:val="18"/>
                <w:szCs w:val="18"/>
              </w:rPr>
            </w:pPr>
            <w:r>
              <w:rPr>
                <w:rFonts w:hint="eastAsia" w:ascii="宋体" w:hAnsi="宋体"/>
                <w:sz w:val="18"/>
                <w:szCs w:val="18"/>
              </w:rPr>
              <w:t>d）应急预案中向上级应急管理机构报告的内容、应急组织机构和人员的联系方式、应急物资储备清单等信息应与实际相符。</w:t>
            </w:r>
          </w:p>
        </w:tc>
        <w:tc>
          <w:tcPr>
            <w:tcW w:w="580" w:type="dxa"/>
            <w:tcBorders>
              <w:top w:val="single" w:color="auto" w:sz="8" w:space="0"/>
              <w:bottom w:val="single" w:color="auto" w:sz="8" w:space="0"/>
            </w:tcBorders>
            <w:noWrap w:val="0"/>
            <w:vAlign w:val="center"/>
          </w:tcPr>
          <w:p w14:paraId="74B2FE1C">
            <w:pPr>
              <w:widowControl/>
              <w:jc w:val="left"/>
              <w:rPr>
                <w:rFonts w:hint="eastAsia" w:ascii="宋体" w:hAnsi="宋体"/>
                <w:sz w:val="18"/>
              </w:rPr>
            </w:pPr>
          </w:p>
        </w:tc>
        <w:tc>
          <w:tcPr>
            <w:tcW w:w="605" w:type="dxa"/>
            <w:tcBorders>
              <w:top w:val="single" w:color="auto" w:sz="8" w:space="0"/>
              <w:bottom w:val="single" w:color="auto" w:sz="8" w:space="0"/>
            </w:tcBorders>
            <w:noWrap w:val="0"/>
            <w:vAlign w:val="center"/>
          </w:tcPr>
          <w:p w14:paraId="19EC571C">
            <w:pPr>
              <w:widowControl/>
              <w:jc w:val="left"/>
              <w:rPr>
                <w:rFonts w:hint="eastAsia" w:ascii="宋体" w:hAnsi="宋体"/>
                <w:sz w:val="18"/>
              </w:rPr>
            </w:pPr>
          </w:p>
        </w:tc>
        <w:tc>
          <w:tcPr>
            <w:tcW w:w="605" w:type="dxa"/>
            <w:tcBorders>
              <w:top w:val="single" w:color="auto" w:sz="8" w:space="0"/>
              <w:bottom w:val="single" w:color="auto" w:sz="8" w:space="0"/>
            </w:tcBorders>
            <w:noWrap w:val="0"/>
            <w:vAlign w:val="center"/>
          </w:tcPr>
          <w:p w14:paraId="340375E4">
            <w:pPr>
              <w:widowControl/>
              <w:jc w:val="center"/>
              <w:rPr>
                <w:rFonts w:hint="eastAsia" w:ascii="宋体" w:hAnsi="宋体"/>
                <w:sz w:val="18"/>
              </w:rPr>
            </w:pPr>
            <w:r>
              <w:rPr>
                <w:rFonts w:hint="eastAsia" w:ascii="宋体" w:hAnsi="宋体"/>
                <w:sz w:val="18"/>
              </w:rPr>
              <w:t>8</w:t>
            </w:r>
          </w:p>
        </w:tc>
        <w:tc>
          <w:tcPr>
            <w:tcW w:w="4563" w:type="dxa"/>
            <w:tcBorders>
              <w:top w:val="single" w:color="auto" w:sz="8" w:space="0"/>
              <w:bottom w:val="single" w:color="auto" w:sz="8" w:space="0"/>
            </w:tcBorders>
            <w:noWrap w:val="0"/>
            <w:vAlign w:val="center"/>
          </w:tcPr>
          <w:p w14:paraId="3C2C0F8A">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未制定应急救援预案</w:t>
            </w:r>
            <w:r>
              <w:rPr>
                <w:rFonts w:hint="eastAsia" w:ascii="宋体" w:hAnsi="宋体"/>
                <w:sz w:val="18"/>
                <w:szCs w:val="18"/>
              </w:rPr>
              <w:t>的</w:t>
            </w:r>
            <w:r>
              <w:rPr>
                <w:rFonts w:ascii="宋体" w:hAnsi="宋体"/>
                <w:sz w:val="18"/>
                <w:szCs w:val="18"/>
              </w:rPr>
              <w:t>，</w:t>
            </w:r>
            <w:r>
              <w:rPr>
                <w:rFonts w:hint="eastAsia" w:ascii="宋体" w:hAnsi="宋体"/>
                <w:sz w:val="18"/>
                <w:szCs w:val="18"/>
              </w:rPr>
              <w:t>“应急救援”评定要素不得分；</w:t>
            </w:r>
          </w:p>
          <w:p w14:paraId="30F2B8B0">
            <w:pPr>
              <w:adjustRightInd w:val="0"/>
              <w:snapToGrid w:val="0"/>
              <w:jc w:val="left"/>
              <w:rPr>
                <w:rFonts w:ascii="宋体" w:hAnsi="宋体"/>
                <w:sz w:val="18"/>
                <w:szCs w:val="18"/>
              </w:rPr>
            </w:pPr>
            <w:r>
              <w:rPr>
                <w:rFonts w:hint="eastAsia" w:ascii="宋体" w:hAnsi="宋体"/>
                <w:sz w:val="18"/>
                <w:szCs w:val="18"/>
              </w:rPr>
              <w:t>2）</w:t>
            </w:r>
            <w:r>
              <w:rPr>
                <w:rFonts w:ascii="宋体" w:hAnsi="宋体"/>
                <w:sz w:val="18"/>
                <w:szCs w:val="18"/>
              </w:rPr>
              <w:t>应急预案不符合</w:t>
            </w:r>
            <w:r>
              <w:rPr>
                <w:rFonts w:hint="eastAsia" w:ascii="宋体" w:hAnsi="宋体"/>
                <w:sz w:val="18"/>
                <w:szCs w:val="18"/>
                <w:lang w:eastAsia="zh-CN"/>
              </w:rPr>
              <w:t>景区</w:t>
            </w:r>
            <w:r>
              <w:rPr>
                <w:rFonts w:ascii="宋体" w:hAnsi="宋体"/>
                <w:sz w:val="18"/>
                <w:szCs w:val="18"/>
              </w:rPr>
              <w:t>安全生产实际情况</w:t>
            </w:r>
            <w:r>
              <w:rPr>
                <w:rFonts w:hint="eastAsia" w:ascii="宋体" w:hAnsi="宋体"/>
                <w:sz w:val="18"/>
                <w:szCs w:val="18"/>
              </w:rPr>
              <w:t>的</w:t>
            </w:r>
            <w:r>
              <w:rPr>
                <w:rFonts w:ascii="宋体" w:hAnsi="宋体"/>
                <w:sz w:val="18"/>
                <w:szCs w:val="18"/>
              </w:rPr>
              <w:t>，</w:t>
            </w:r>
            <w:r>
              <w:rPr>
                <w:rFonts w:hint="eastAsia" w:ascii="宋体" w:hAnsi="宋体"/>
                <w:sz w:val="18"/>
                <w:szCs w:val="18"/>
              </w:rPr>
              <w:t>不得分</w:t>
            </w:r>
            <w:r>
              <w:rPr>
                <w:rFonts w:ascii="宋体" w:hAnsi="宋体"/>
                <w:sz w:val="18"/>
                <w:szCs w:val="18"/>
              </w:rPr>
              <w:t>；</w:t>
            </w:r>
          </w:p>
          <w:p w14:paraId="6F269A22">
            <w:pPr>
              <w:adjustRightInd w:val="0"/>
              <w:snapToGrid w:val="0"/>
              <w:jc w:val="left"/>
              <w:rPr>
                <w:rFonts w:ascii="宋体" w:hAnsi="宋体"/>
                <w:sz w:val="18"/>
                <w:szCs w:val="18"/>
              </w:rPr>
            </w:pPr>
            <w:r>
              <w:rPr>
                <w:rFonts w:hint="eastAsia" w:ascii="宋体" w:hAnsi="宋体"/>
                <w:sz w:val="18"/>
                <w:szCs w:val="18"/>
              </w:rPr>
              <w:t>3）</w:t>
            </w:r>
            <w:r>
              <w:rPr>
                <w:rFonts w:ascii="宋体" w:hAnsi="宋体"/>
                <w:sz w:val="18"/>
                <w:szCs w:val="18"/>
              </w:rPr>
              <w:t>应急预案未涵盖本</w:t>
            </w:r>
            <w:r>
              <w:rPr>
                <w:rFonts w:hint="eastAsia" w:ascii="宋体" w:hAnsi="宋体"/>
                <w:sz w:val="18"/>
                <w:szCs w:val="18"/>
                <w:lang w:eastAsia="zh-CN"/>
              </w:rPr>
              <w:t>景区</w:t>
            </w:r>
            <w:r>
              <w:rPr>
                <w:rFonts w:ascii="宋体" w:hAnsi="宋体"/>
                <w:sz w:val="18"/>
                <w:szCs w:val="18"/>
              </w:rPr>
              <w:t>存在的危险因素的，缺一</w:t>
            </w:r>
            <w:r>
              <w:rPr>
                <w:rFonts w:hint="eastAsia" w:ascii="宋体" w:hAnsi="宋体"/>
                <w:sz w:val="18"/>
                <w:szCs w:val="18"/>
              </w:rPr>
              <w:t>处</w:t>
            </w:r>
            <w:r>
              <w:rPr>
                <w:rFonts w:ascii="宋体" w:hAnsi="宋体"/>
                <w:sz w:val="18"/>
                <w:szCs w:val="18"/>
              </w:rPr>
              <w:t>扣</w:t>
            </w:r>
            <w:r>
              <w:rPr>
                <w:rFonts w:hint="eastAsia" w:ascii="宋体" w:hAnsi="宋体"/>
                <w:sz w:val="18"/>
                <w:szCs w:val="18"/>
              </w:rPr>
              <w:t>2分</w:t>
            </w:r>
            <w:r>
              <w:rPr>
                <w:rFonts w:ascii="宋体" w:hAnsi="宋体"/>
                <w:sz w:val="18"/>
                <w:szCs w:val="18"/>
              </w:rPr>
              <w:t>；</w:t>
            </w:r>
          </w:p>
          <w:p w14:paraId="72BFB8E6">
            <w:pPr>
              <w:adjustRightInd w:val="0"/>
              <w:snapToGrid w:val="0"/>
              <w:jc w:val="left"/>
              <w:rPr>
                <w:rFonts w:hint="eastAsia" w:ascii="宋体" w:hAnsi="宋体"/>
                <w:sz w:val="18"/>
                <w:szCs w:val="18"/>
              </w:rPr>
            </w:pPr>
            <w:r>
              <w:rPr>
                <w:rFonts w:hint="eastAsia" w:ascii="宋体" w:hAnsi="宋体"/>
                <w:sz w:val="18"/>
                <w:szCs w:val="18"/>
              </w:rPr>
              <w:t>4）</w:t>
            </w:r>
            <w:r>
              <w:rPr>
                <w:rFonts w:ascii="宋体" w:hAnsi="宋体"/>
                <w:sz w:val="18"/>
                <w:szCs w:val="18"/>
              </w:rPr>
              <w:t>应急组织和人员职责分工不明确，或缺少具体落实措施的，扣</w:t>
            </w:r>
            <w:r>
              <w:rPr>
                <w:rFonts w:hint="eastAsia" w:ascii="宋体" w:hAnsi="宋体"/>
                <w:sz w:val="18"/>
                <w:szCs w:val="18"/>
              </w:rPr>
              <w:t>2</w:t>
            </w:r>
            <w:r>
              <w:rPr>
                <w:rFonts w:ascii="宋体" w:hAnsi="宋体"/>
                <w:sz w:val="18"/>
                <w:szCs w:val="18"/>
              </w:rPr>
              <w:t>分；</w:t>
            </w:r>
          </w:p>
          <w:p w14:paraId="74FD4DBA">
            <w:pPr>
              <w:adjustRightInd w:val="0"/>
              <w:snapToGrid w:val="0"/>
              <w:spacing w:line="240" w:lineRule="atLeast"/>
              <w:jc w:val="left"/>
              <w:rPr>
                <w:rFonts w:hint="eastAsia" w:ascii="宋体" w:hAnsi="宋体"/>
                <w:sz w:val="18"/>
                <w:szCs w:val="18"/>
              </w:rPr>
            </w:pPr>
            <w:r>
              <w:rPr>
                <w:rFonts w:hint="eastAsia" w:ascii="宋体" w:hAnsi="宋体"/>
                <w:sz w:val="18"/>
                <w:szCs w:val="18"/>
              </w:rPr>
              <w:t>5）</w:t>
            </w:r>
            <w:r>
              <w:rPr>
                <w:rFonts w:ascii="宋体" w:hAnsi="宋体"/>
                <w:sz w:val="18"/>
                <w:szCs w:val="18"/>
              </w:rPr>
              <w:t>缺少明确、具体的事故预防措施和应急程序，或与本</w:t>
            </w:r>
            <w:r>
              <w:rPr>
                <w:rFonts w:hint="eastAsia" w:ascii="宋体" w:hAnsi="宋体"/>
                <w:sz w:val="18"/>
                <w:szCs w:val="18"/>
                <w:lang w:eastAsia="zh-CN"/>
              </w:rPr>
              <w:t>景区</w:t>
            </w:r>
            <w:r>
              <w:rPr>
                <w:rFonts w:ascii="宋体" w:hAnsi="宋体"/>
                <w:sz w:val="18"/>
                <w:szCs w:val="18"/>
              </w:rPr>
              <w:t>应急能力不相符的，扣</w:t>
            </w:r>
            <w:r>
              <w:rPr>
                <w:rFonts w:hint="eastAsia" w:ascii="宋体" w:hAnsi="宋体"/>
                <w:sz w:val="18"/>
                <w:szCs w:val="18"/>
              </w:rPr>
              <w:t>2</w:t>
            </w:r>
            <w:r>
              <w:rPr>
                <w:rFonts w:ascii="宋体" w:hAnsi="宋体"/>
                <w:sz w:val="18"/>
                <w:szCs w:val="18"/>
              </w:rPr>
              <w:t>分；</w:t>
            </w:r>
          </w:p>
          <w:p w14:paraId="3EDE0D77">
            <w:pPr>
              <w:adjustRightInd w:val="0"/>
              <w:snapToGrid w:val="0"/>
              <w:spacing w:line="240" w:lineRule="atLeast"/>
              <w:jc w:val="left"/>
              <w:rPr>
                <w:rFonts w:ascii="宋体" w:hAnsi="宋体"/>
                <w:sz w:val="18"/>
                <w:szCs w:val="18"/>
              </w:rPr>
            </w:pPr>
            <w:r>
              <w:rPr>
                <w:rFonts w:hint="eastAsia" w:ascii="宋体" w:hAnsi="宋体"/>
                <w:sz w:val="18"/>
                <w:szCs w:val="18"/>
              </w:rPr>
              <w:t>6）</w:t>
            </w:r>
            <w:r>
              <w:rPr>
                <w:rFonts w:ascii="宋体" w:hAnsi="宋体"/>
                <w:sz w:val="18"/>
                <w:szCs w:val="18"/>
              </w:rPr>
              <w:t>应急保障措施未明确的，扣</w:t>
            </w:r>
            <w:r>
              <w:rPr>
                <w:rFonts w:hint="eastAsia" w:ascii="宋体" w:hAnsi="宋体"/>
                <w:sz w:val="18"/>
                <w:szCs w:val="18"/>
              </w:rPr>
              <w:t>2</w:t>
            </w:r>
            <w:r>
              <w:rPr>
                <w:rFonts w:ascii="宋体" w:hAnsi="宋体"/>
                <w:sz w:val="18"/>
                <w:szCs w:val="18"/>
              </w:rPr>
              <w:t>分；</w:t>
            </w:r>
          </w:p>
          <w:p w14:paraId="6E6D84E1">
            <w:pPr>
              <w:adjustRightInd w:val="0"/>
              <w:snapToGrid w:val="0"/>
              <w:jc w:val="left"/>
              <w:rPr>
                <w:rFonts w:hint="eastAsia" w:ascii="宋体" w:hAnsi="宋体"/>
                <w:sz w:val="18"/>
                <w:szCs w:val="18"/>
              </w:rPr>
            </w:pPr>
            <w:r>
              <w:rPr>
                <w:rFonts w:hint="eastAsia" w:ascii="宋体" w:hAnsi="宋体"/>
                <w:sz w:val="18"/>
                <w:szCs w:val="18"/>
              </w:rPr>
              <w:t>7）</w:t>
            </w:r>
            <w:r>
              <w:rPr>
                <w:rFonts w:ascii="宋体" w:hAnsi="宋体"/>
                <w:sz w:val="18"/>
                <w:szCs w:val="18"/>
              </w:rPr>
              <w:t>应急预案基本要素不齐全完整的，扣</w:t>
            </w:r>
            <w:r>
              <w:rPr>
                <w:rFonts w:hint="eastAsia" w:ascii="宋体" w:hAnsi="宋体"/>
                <w:sz w:val="18"/>
                <w:szCs w:val="18"/>
              </w:rPr>
              <w:t>3</w:t>
            </w:r>
            <w:r>
              <w:rPr>
                <w:rFonts w:ascii="宋体" w:hAnsi="宋体"/>
                <w:sz w:val="18"/>
                <w:szCs w:val="18"/>
              </w:rPr>
              <w:t>分；</w:t>
            </w:r>
          </w:p>
          <w:p w14:paraId="5473D1C5">
            <w:pPr>
              <w:adjustRightInd w:val="0"/>
              <w:snapToGrid w:val="0"/>
              <w:spacing w:line="240" w:lineRule="atLeast"/>
              <w:jc w:val="left"/>
              <w:rPr>
                <w:rFonts w:hint="eastAsia" w:ascii="宋体" w:hAnsi="宋体"/>
                <w:sz w:val="18"/>
                <w:szCs w:val="18"/>
              </w:rPr>
            </w:pPr>
            <w:r>
              <w:rPr>
                <w:rFonts w:hint="eastAsia" w:ascii="宋体" w:hAnsi="宋体"/>
                <w:sz w:val="18"/>
                <w:szCs w:val="18"/>
              </w:rPr>
              <w:t>8）</w:t>
            </w:r>
            <w:r>
              <w:rPr>
                <w:rFonts w:ascii="宋体" w:hAnsi="宋体"/>
                <w:sz w:val="18"/>
                <w:szCs w:val="18"/>
              </w:rPr>
              <w:t>预案内容与相关应急预案不能相互衔接的，扣</w:t>
            </w:r>
            <w:r>
              <w:rPr>
                <w:rFonts w:hint="eastAsia" w:ascii="宋体" w:hAnsi="宋体"/>
                <w:sz w:val="18"/>
                <w:szCs w:val="18"/>
              </w:rPr>
              <w:t>2</w:t>
            </w:r>
            <w:r>
              <w:rPr>
                <w:rFonts w:ascii="宋体" w:hAnsi="宋体"/>
                <w:sz w:val="18"/>
                <w:szCs w:val="18"/>
              </w:rPr>
              <w:t>分。</w:t>
            </w:r>
          </w:p>
        </w:tc>
        <w:tc>
          <w:tcPr>
            <w:tcW w:w="605" w:type="dxa"/>
            <w:tcBorders>
              <w:top w:val="single" w:color="auto" w:sz="8" w:space="0"/>
              <w:bottom w:val="single" w:color="auto" w:sz="8" w:space="0"/>
            </w:tcBorders>
            <w:noWrap w:val="0"/>
            <w:vAlign w:val="center"/>
          </w:tcPr>
          <w:p w14:paraId="61711DD8">
            <w:pPr>
              <w:adjustRightInd w:val="0"/>
              <w:snapToGrid w:val="0"/>
              <w:rPr>
                <w:rFonts w:ascii="宋体"/>
                <w:sz w:val="18"/>
              </w:rPr>
            </w:pPr>
          </w:p>
        </w:tc>
        <w:tc>
          <w:tcPr>
            <w:tcW w:w="605" w:type="dxa"/>
            <w:tcBorders>
              <w:top w:val="single" w:color="auto" w:sz="8" w:space="0"/>
              <w:bottom w:val="single" w:color="auto" w:sz="8" w:space="0"/>
            </w:tcBorders>
            <w:noWrap w:val="0"/>
            <w:vAlign w:val="center"/>
          </w:tcPr>
          <w:p w14:paraId="01F54587">
            <w:pPr>
              <w:adjustRightInd w:val="0"/>
              <w:snapToGrid w:val="0"/>
              <w:rPr>
                <w:rFonts w:ascii="宋体"/>
                <w:sz w:val="18"/>
              </w:rPr>
            </w:pPr>
          </w:p>
        </w:tc>
        <w:tc>
          <w:tcPr>
            <w:tcW w:w="1004" w:type="dxa"/>
            <w:tcBorders>
              <w:top w:val="single" w:color="auto" w:sz="8" w:space="0"/>
              <w:bottom w:val="single" w:color="auto" w:sz="8" w:space="0"/>
            </w:tcBorders>
            <w:noWrap w:val="0"/>
            <w:vAlign w:val="center"/>
          </w:tcPr>
          <w:p w14:paraId="08037893">
            <w:pPr>
              <w:jc w:val="center"/>
            </w:pPr>
            <w:r>
              <w:rPr>
                <w:rFonts w:hint="eastAsia" w:ascii="宋体" w:hAnsi="宋体"/>
                <w:bCs/>
                <w:sz w:val="18"/>
                <w:szCs w:val="18"/>
                <w:lang w:eastAsia="zh-CN"/>
              </w:rPr>
              <w:t>4.</w:t>
            </w:r>
            <w:r>
              <w:rPr>
                <w:rFonts w:hint="eastAsia" w:ascii="宋体" w:hAnsi="宋体"/>
                <w:bCs/>
                <w:sz w:val="18"/>
                <w:szCs w:val="18"/>
              </w:rPr>
              <w:t>1</w:t>
            </w:r>
          </w:p>
        </w:tc>
      </w:tr>
      <w:tr w14:paraId="14385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2" w:type="dxa"/>
            <w:tcBorders>
              <w:top w:val="single" w:color="auto" w:sz="8" w:space="0"/>
              <w:bottom w:val="single" w:color="auto" w:sz="8" w:space="0"/>
            </w:tcBorders>
            <w:noWrap w:val="0"/>
            <w:vAlign w:val="center"/>
          </w:tcPr>
          <w:p w14:paraId="465AAB9C">
            <w:pPr>
              <w:widowControl/>
              <w:jc w:val="center"/>
              <w:rPr>
                <w:rFonts w:ascii="宋体" w:hAnsi="宋体" w:eastAsia="宋体" w:cs="Times New Roman"/>
                <w:bCs/>
                <w:kern w:val="2"/>
                <w:sz w:val="18"/>
                <w:szCs w:val="18"/>
                <w:lang w:val="en-US" w:eastAsia="zh-CN" w:bidi="ar-SA"/>
              </w:rPr>
            </w:pPr>
            <w:r>
              <w:rPr>
                <w:rFonts w:hint="eastAsia" w:ascii="宋体" w:hAnsi="宋体"/>
                <w:sz w:val="18"/>
              </w:rPr>
              <w:t>1.6.2.3</w:t>
            </w:r>
          </w:p>
        </w:tc>
        <w:tc>
          <w:tcPr>
            <w:tcW w:w="5874" w:type="dxa"/>
            <w:tcBorders>
              <w:top w:val="single" w:color="auto" w:sz="8" w:space="0"/>
              <w:bottom w:val="single" w:color="auto" w:sz="8" w:space="0"/>
            </w:tcBorders>
            <w:noWrap w:val="0"/>
            <w:vAlign w:val="center"/>
          </w:tcPr>
          <w:p w14:paraId="0BD96691">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重点岗位应设置岗位应急处置卡，规定重点岗位、人员的应急处置程序和措施，以及相关联络人员和联系方式</w:t>
            </w:r>
            <w:r>
              <w:rPr>
                <w:rFonts w:hint="eastAsia" w:ascii="宋体" w:hAnsi="宋体"/>
                <w:sz w:val="18"/>
                <w:szCs w:val="18"/>
                <w:lang w:eastAsia="zh-CN"/>
              </w:rPr>
              <w:t>，</w:t>
            </w:r>
            <w:r>
              <w:rPr>
                <w:rFonts w:hint="eastAsia" w:ascii="宋体" w:hAnsi="宋体"/>
                <w:sz w:val="18"/>
                <w:szCs w:val="18"/>
              </w:rPr>
              <w:t>并便于携带。</w:t>
            </w:r>
          </w:p>
        </w:tc>
        <w:tc>
          <w:tcPr>
            <w:tcW w:w="580" w:type="dxa"/>
            <w:tcBorders>
              <w:top w:val="single" w:color="auto" w:sz="8" w:space="0"/>
              <w:bottom w:val="single" w:color="auto" w:sz="8" w:space="0"/>
            </w:tcBorders>
            <w:noWrap w:val="0"/>
            <w:vAlign w:val="center"/>
          </w:tcPr>
          <w:p w14:paraId="1182BE86">
            <w:pPr>
              <w:widowControl/>
              <w:jc w:val="center"/>
              <w:rPr>
                <w:rFonts w:hint="eastAsia"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68BF1A97">
            <w:pPr>
              <w:widowControl/>
              <w:jc w:val="center"/>
              <w:rPr>
                <w:rFonts w:hint="eastAsia"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noWrap w:val="0"/>
            <w:vAlign w:val="center"/>
          </w:tcPr>
          <w:p w14:paraId="34C8261D">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rPr>
              <w:t>2</w:t>
            </w:r>
          </w:p>
        </w:tc>
        <w:tc>
          <w:tcPr>
            <w:tcW w:w="4563" w:type="dxa"/>
            <w:tcBorders>
              <w:top w:val="single" w:color="auto" w:sz="8" w:space="0"/>
              <w:bottom w:val="single" w:color="auto" w:sz="8" w:space="0"/>
            </w:tcBorders>
            <w:noWrap w:val="0"/>
            <w:vAlign w:val="center"/>
          </w:tcPr>
          <w:p w14:paraId="14470768">
            <w:pPr>
              <w:adjustRightInd w:val="0"/>
              <w:snapToGrid w:val="0"/>
              <w:jc w:val="left"/>
              <w:rPr>
                <w:rFonts w:hint="eastAsia" w:ascii="宋体" w:hAnsi="宋体"/>
                <w:sz w:val="18"/>
                <w:szCs w:val="18"/>
                <w:lang w:eastAsia="zh-CN"/>
              </w:rPr>
            </w:pPr>
            <w:r>
              <w:rPr>
                <w:rFonts w:ascii="宋体" w:hAnsi="宋体"/>
                <w:sz w:val="18"/>
                <w:szCs w:val="18"/>
              </w:rPr>
              <w:t>1</w:t>
            </w:r>
            <w:r>
              <w:rPr>
                <w:rFonts w:hint="eastAsia" w:ascii="宋体" w:hAnsi="宋体"/>
                <w:sz w:val="18"/>
                <w:szCs w:val="18"/>
              </w:rPr>
              <w:t>）重点岗位未设置应急处置卡</w:t>
            </w:r>
            <w:r>
              <w:rPr>
                <w:rFonts w:ascii="宋体" w:hAnsi="宋体"/>
                <w:sz w:val="18"/>
                <w:szCs w:val="18"/>
              </w:rPr>
              <w:t>，扣</w:t>
            </w:r>
            <w:r>
              <w:rPr>
                <w:rFonts w:hint="eastAsia" w:ascii="宋体" w:hAnsi="宋体"/>
                <w:sz w:val="18"/>
                <w:szCs w:val="18"/>
                <w:lang w:val="en-US" w:eastAsia="zh-CN"/>
              </w:rPr>
              <w:t>2</w:t>
            </w:r>
            <w:r>
              <w:rPr>
                <w:rFonts w:hint="eastAsia" w:ascii="宋体" w:hAnsi="宋体"/>
                <w:sz w:val="18"/>
                <w:szCs w:val="18"/>
              </w:rPr>
              <w:t>分</w:t>
            </w:r>
            <w:r>
              <w:rPr>
                <w:rFonts w:hint="eastAsia" w:ascii="宋体" w:hAnsi="宋体"/>
                <w:sz w:val="18"/>
                <w:szCs w:val="18"/>
                <w:lang w:eastAsia="zh-CN"/>
              </w:rPr>
              <w:t>；</w:t>
            </w:r>
          </w:p>
          <w:p w14:paraId="0BB45978">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w:t>
            </w:r>
            <w:r>
              <w:rPr>
                <w:rFonts w:hint="eastAsia" w:ascii="宋体" w:hAnsi="宋体"/>
                <w:sz w:val="18"/>
                <w:szCs w:val="18"/>
              </w:rPr>
              <w:t>）</w:t>
            </w:r>
            <w:r>
              <w:rPr>
                <w:rFonts w:hint="eastAsia" w:ascii="宋体" w:hAnsi="宋体"/>
                <w:sz w:val="18"/>
                <w:szCs w:val="18"/>
                <w:lang w:val="en-US" w:eastAsia="zh-CN"/>
              </w:rPr>
              <w:t>应急处置卡内容不符合要求的，扣1分。</w:t>
            </w:r>
          </w:p>
        </w:tc>
        <w:tc>
          <w:tcPr>
            <w:tcW w:w="605" w:type="dxa"/>
            <w:tcBorders>
              <w:top w:val="single" w:color="auto" w:sz="8" w:space="0"/>
              <w:bottom w:val="single" w:color="auto" w:sz="8" w:space="0"/>
            </w:tcBorders>
            <w:noWrap w:val="0"/>
            <w:vAlign w:val="top"/>
          </w:tcPr>
          <w:p w14:paraId="74347AC2">
            <w:pPr>
              <w:adjustRightInd w:val="0"/>
              <w:snapToGrid w:val="0"/>
              <w:rPr>
                <w:rFonts w:ascii="宋体" w:hAnsi="Times New Roman" w:eastAsia="宋体" w:cs="Times New Roman"/>
                <w:kern w:val="2"/>
                <w:sz w:val="18"/>
                <w:szCs w:val="24"/>
                <w:lang w:val="en-US" w:eastAsia="zh-CN" w:bidi="ar-SA"/>
              </w:rPr>
            </w:pPr>
          </w:p>
        </w:tc>
        <w:tc>
          <w:tcPr>
            <w:tcW w:w="605" w:type="dxa"/>
            <w:tcBorders>
              <w:top w:val="single" w:color="auto" w:sz="8" w:space="0"/>
              <w:bottom w:val="single" w:color="auto" w:sz="8" w:space="0"/>
            </w:tcBorders>
            <w:noWrap w:val="0"/>
            <w:vAlign w:val="top"/>
          </w:tcPr>
          <w:p w14:paraId="7465BA04">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bottom w:val="single" w:color="auto" w:sz="8" w:space="0"/>
            </w:tcBorders>
            <w:noWrap w:val="0"/>
            <w:vAlign w:val="center"/>
          </w:tcPr>
          <w:p w14:paraId="3164CDE3">
            <w:pPr>
              <w:adjustRightInd w:val="0"/>
              <w:snapToGrid w:val="0"/>
              <w:jc w:val="center"/>
              <w:rPr>
                <w:rFonts w:ascii="宋体" w:hAnsi="Times New Roman" w:eastAsia="宋体" w:cs="Times New Roman"/>
                <w:kern w:val="2"/>
                <w:sz w:val="18"/>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403CA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1F8D756">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1.6.2.4</w:t>
            </w:r>
          </w:p>
        </w:tc>
        <w:tc>
          <w:tcPr>
            <w:tcW w:w="0" w:type="auto"/>
            <w:vAlign w:val="center"/>
          </w:tcPr>
          <w:p w14:paraId="3BEF58B5">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应急预案应经评审或论证，并经批准实施，现行有效版本应发放至本</w:t>
            </w:r>
            <w:r>
              <w:rPr>
                <w:rFonts w:hint="eastAsia" w:ascii="宋体" w:hAnsi="宋体"/>
                <w:sz w:val="18"/>
                <w:szCs w:val="18"/>
                <w:lang w:eastAsia="zh-CN"/>
              </w:rPr>
              <w:t>景区</w:t>
            </w:r>
            <w:r>
              <w:rPr>
                <w:rFonts w:hint="eastAsia" w:ascii="宋体" w:hAnsi="宋体"/>
                <w:sz w:val="18"/>
                <w:szCs w:val="18"/>
              </w:rPr>
              <w:t>有关部门、岗位和相关应急救援队伍。</w:t>
            </w:r>
          </w:p>
        </w:tc>
        <w:tc>
          <w:tcPr>
            <w:tcW w:w="0" w:type="auto"/>
            <w:vAlign w:val="center"/>
          </w:tcPr>
          <w:p w14:paraId="68E34E70">
            <w:pPr>
              <w:widowControl/>
              <w:jc w:val="center"/>
              <w:rPr>
                <w:rFonts w:hint="eastAsia" w:ascii="宋体" w:hAnsi="宋体" w:eastAsia="宋体" w:cs="Times New Roman"/>
                <w:bCs/>
                <w:kern w:val="2"/>
                <w:sz w:val="18"/>
                <w:szCs w:val="18"/>
                <w:lang w:val="en-US" w:eastAsia="zh-CN" w:bidi="ar-SA"/>
              </w:rPr>
            </w:pPr>
          </w:p>
        </w:tc>
        <w:tc>
          <w:tcPr>
            <w:tcW w:w="0" w:type="auto"/>
            <w:vAlign w:val="center"/>
          </w:tcPr>
          <w:p w14:paraId="6D65B389">
            <w:pPr>
              <w:widowControl/>
              <w:jc w:val="center"/>
              <w:rPr>
                <w:rFonts w:hint="eastAsia" w:ascii="宋体" w:hAnsi="宋体" w:eastAsia="宋体" w:cs="Times New Roman"/>
                <w:bCs/>
                <w:kern w:val="2"/>
                <w:sz w:val="18"/>
                <w:szCs w:val="18"/>
                <w:lang w:val="en-US" w:eastAsia="zh-CN" w:bidi="ar-SA"/>
              </w:rPr>
            </w:pPr>
          </w:p>
        </w:tc>
        <w:tc>
          <w:tcPr>
            <w:tcW w:w="0" w:type="auto"/>
            <w:vAlign w:val="center"/>
          </w:tcPr>
          <w:p w14:paraId="10516BBE">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2</w:t>
            </w:r>
          </w:p>
        </w:tc>
        <w:tc>
          <w:tcPr>
            <w:tcW w:w="0" w:type="auto"/>
            <w:vAlign w:val="center"/>
          </w:tcPr>
          <w:p w14:paraId="021DA7FF">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未对应急预案进行</w:t>
            </w:r>
            <w:r>
              <w:rPr>
                <w:rFonts w:hint="eastAsia" w:ascii="宋体" w:hAnsi="宋体"/>
                <w:sz w:val="18"/>
                <w:szCs w:val="18"/>
              </w:rPr>
              <w:t>评审或</w:t>
            </w:r>
            <w:r>
              <w:rPr>
                <w:rFonts w:ascii="宋体" w:hAnsi="宋体"/>
                <w:sz w:val="18"/>
                <w:szCs w:val="18"/>
              </w:rPr>
              <w:t>论证的，或未提供记录的，扣</w:t>
            </w:r>
            <w:r>
              <w:rPr>
                <w:rFonts w:hint="eastAsia" w:ascii="宋体" w:hAnsi="宋体"/>
                <w:sz w:val="18"/>
                <w:szCs w:val="18"/>
              </w:rPr>
              <w:t>3分</w:t>
            </w:r>
            <w:r>
              <w:rPr>
                <w:rFonts w:ascii="宋体" w:hAnsi="宋体"/>
                <w:sz w:val="18"/>
                <w:szCs w:val="18"/>
              </w:rPr>
              <w:t>；</w:t>
            </w:r>
          </w:p>
          <w:p w14:paraId="4D8D34DF">
            <w:pPr>
              <w:adjustRightInd w:val="0"/>
              <w:snapToGrid w:val="0"/>
              <w:jc w:val="left"/>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主要负责人未对应急预案签署公布批准实施的，扣</w:t>
            </w:r>
            <w:r>
              <w:rPr>
                <w:rFonts w:hint="eastAsia" w:ascii="宋体" w:hAnsi="宋体"/>
                <w:sz w:val="18"/>
                <w:szCs w:val="18"/>
              </w:rPr>
              <w:t>2</w:t>
            </w:r>
            <w:r>
              <w:rPr>
                <w:rFonts w:ascii="宋体" w:hAnsi="宋体"/>
                <w:sz w:val="18"/>
                <w:szCs w:val="18"/>
              </w:rPr>
              <w:t>分；</w:t>
            </w:r>
          </w:p>
          <w:p w14:paraId="3E0A4724">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3</w:t>
            </w:r>
            <w:r>
              <w:rPr>
                <w:rFonts w:hint="eastAsia" w:ascii="宋体" w:hAnsi="宋体"/>
                <w:sz w:val="18"/>
                <w:szCs w:val="18"/>
              </w:rPr>
              <w:t>）</w:t>
            </w:r>
            <w:r>
              <w:rPr>
                <w:rFonts w:ascii="宋体" w:hAnsi="宋体"/>
                <w:sz w:val="18"/>
                <w:szCs w:val="18"/>
              </w:rPr>
              <w:t>所查岗位未存放应急预案现行版本的，扣</w:t>
            </w:r>
            <w:r>
              <w:rPr>
                <w:rFonts w:hint="eastAsia" w:ascii="宋体" w:hAnsi="宋体"/>
                <w:sz w:val="18"/>
                <w:szCs w:val="18"/>
              </w:rPr>
              <w:t>2分。</w:t>
            </w:r>
          </w:p>
        </w:tc>
        <w:tc>
          <w:tcPr>
            <w:tcW w:w="0" w:type="auto"/>
            <w:vAlign w:val="top"/>
          </w:tcPr>
          <w:p w14:paraId="07D9304D">
            <w:pPr>
              <w:widowControl/>
              <w:jc w:val="center"/>
              <w:rPr>
                <w:rFonts w:ascii="宋体" w:hAnsi="宋体" w:eastAsia="宋体" w:cs="Times New Roman"/>
                <w:bCs/>
                <w:kern w:val="2"/>
                <w:sz w:val="18"/>
                <w:szCs w:val="18"/>
                <w:lang w:val="en-US" w:eastAsia="zh-CN" w:bidi="ar-SA"/>
              </w:rPr>
            </w:pPr>
          </w:p>
        </w:tc>
        <w:tc>
          <w:tcPr>
            <w:tcW w:w="0" w:type="auto"/>
            <w:vAlign w:val="top"/>
          </w:tcPr>
          <w:p w14:paraId="0883B38B">
            <w:pPr>
              <w:widowControl/>
              <w:jc w:val="center"/>
              <w:rPr>
                <w:rFonts w:ascii="宋体" w:hAnsi="宋体" w:eastAsia="宋体" w:cs="Times New Roman"/>
                <w:bCs/>
                <w:kern w:val="2"/>
                <w:sz w:val="18"/>
                <w:szCs w:val="18"/>
                <w:lang w:val="en-US" w:eastAsia="zh-CN" w:bidi="ar-SA"/>
              </w:rPr>
            </w:pPr>
          </w:p>
        </w:tc>
        <w:tc>
          <w:tcPr>
            <w:tcW w:w="0" w:type="auto"/>
            <w:vAlign w:val="center"/>
          </w:tcPr>
          <w:p w14:paraId="4CA490FF">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bl>
    <w:p w14:paraId="23AAD3AA">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6003"/>
        <w:gridCol w:w="719"/>
        <w:gridCol w:w="725"/>
        <w:gridCol w:w="725"/>
        <w:gridCol w:w="3838"/>
        <w:gridCol w:w="749"/>
        <w:gridCol w:w="642"/>
        <w:gridCol w:w="1004"/>
      </w:tblGrid>
      <w:tr w14:paraId="39566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20F1B65">
            <w:pPr>
              <w:widowControl/>
              <w:jc w:val="center"/>
              <w:rPr>
                <w:rFonts w:ascii="宋体" w:hAnsi="宋体"/>
                <w:bCs/>
                <w:sz w:val="18"/>
                <w:szCs w:val="18"/>
              </w:rPr>
            </w:pPr>
            <w:r>
              <w:rPr>
                <w:rFonts w:ascii="宋体" w:hAnsi="宋体"/>
                <w:bCs/>
                <w:sz w:val="18"/>
                <w:szCs w:val="18"/>
              </w:rPr>
              <w:t>序号</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5DA50780">
            <w:pPr>
              <w:widowControl/>
              <w:jc w:val="center"/>
              <w:rPr>
                <w:rFonts w:ascii="宋体" w:hAnsi="宋体"/>
                <w:bCs/>
                <w:sz w:val="18"/>
                <w:szCs w:val="18"/>
              </w:rPr>
            </w:pPr>
            <w:r>
              <w:rPr>
                <w:rFonts w:ascii="宋体" w:hAnsi="宋体"/>
                <w:bCs/>
                <w:sz w:val="18"/>
                <w:szCs w:val="18"/>
              </w:rPr>
              <w:t>评定内容</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5D02CE03">
            <w:pPr>
              <w:widowControl/>
              <w:jc w:val="center"/>
              <w:rPr>
                <w:rFonts w:ascii="宋体" w:hAnsi="宋体"/>
                <w:bCs/>
                <w:sz w:val="18"/>
                <w:szCs w:val="18"/>
              </w:rPr>
            </w:pPr>
            <w:r>
              <w:rPr>
                <w:rFonts w:ascii="宋体" w:hAnsi="宋体"/>
                <w:bCs/>
                <w:sz w:val="18"/>
                <w:szCs w:val="18"/>
              </w:rPr>
              <w:t>评定要素分值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42C14908">
            <w:pPr>
              <w:widowControl/>
              <w:jc w:val="center"/>
              <w:rPr>
                <w:rFonts w:ascii="宋体" w:hAnsi="宋体"/>
                <w:bCs/>
                <w:sz w:val="18"/>
                <w:szCs w:val="18"/>
              </w:rPr>
            </w:pPr>
            <w:r>
              <w:rPr>
                <w:rFonts w:ascii="宋体" w:hAnsi="宋体"/>
                <w:bCs/>
                <w:sz w:val="18"/>
                <w:szCs w:val="18"/>
              </w:rPr>
              <w:t>评定细项分值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4CE8E322">
            <w:pPr>
              <w:widowControl/>
              <w:jc w:val="center"/>
              <w:rPr>
                <w:rFonts w:ascii="宋体" w:hAnsi="宋体"/>
                <w:bCs/>
                <w:sz w:val="18"/>
                <w:szCs w:val="18"/>
              </w:rPr>
            </w:pPr>
            <w:r>
              <w:rPr>
                <w:rFonts w:ascii="宋体" w:hAnsi="宋体"/>
                <w:bCs/>
                <w:sz w:val="18"/>
                <w:szCs w:val="18"/>
              </w:rPr>
              <w:t>评定条款分值</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107081A3">
            <w:pPr>
              <w:widowControl/>
              <w:jc w:val="center"/>
              <w:rPr>
                <w:rFonts w:ascii="宋体" w:hAnsi="宋体"/>
                <w:bCs/>
                <w:sz w:val="18"/>
                <w:szCs w:val="18"/>
              </w:rPr>
            </w:pPr>
            <w:r>
              <w:rPr>
                <w:rFonts w:ascii="宋体" w:hAnsi="宋体"/>
                <w:bCs/>
                <w:sz w:val="18"/>
                <w:szCs w:val="18"/>
              </w:rPr>
              <w:t>评分标准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1232E862">
            <w:pPr>
              <w:widowControl/>
              <w:jc w:val="center"/>
              <w:rPr>
                <w:rFonts w:ascii="宋体" w:hAnsi="宋体"/>
                <w:bCs/>
                <w:sz w:val="18"/>
                <w:szCs w:val="18"/>
              </w:rPr>
            </w:pPr>
            <w:r>
              <w:rPr>
                <w:rFonts w:ascii="宋体" w:hAnsi="宋体"/>
                <w:bCs/>
                <w:sz w:val="18"/>
                <w:szCs w:val="18"/>
              </w:rPr>
              <w:t>评定得分</w:t>
            </w:r>
          </w:p>
        </w:tc>
        <w:tc>
          <w:tcPr>
            <w:tcW w:w="642" w:type="dxa"/>
            <w:tcBorders>
              <w:top w:val="single" w:color="auto" w:sz="8" w:space="0"/>
              <w:left w:val="single" w:color="auto" w:sz="4" w:space="0"/>
              <w:bottom w:val="single" w:color="auto" w:sz="8" w:space="0"/>
              <w:right w:val="single" w:color="auto" w:sz="4" w:space="0"/>
            </w:tcBorders>
            <w:noWrap w:val="0"/>
            <w:vAlign w:val="center"/>
          </w:tcPr>
          <w:p w14:paraId="13E5F493">
            <w:pPr>
              <w:widowControl/>
              <w:jc w:val="center"/>
              <w:rPr>
                <w:rFonts w:ascii="宋体" w:hAnsi="宋体"/>
                <w:bCs/>
                <w:sz w:val="18"/>
                <w:szCs w:val="18"/>
              </w:rPr>
            </w:pPr>
            <w:r>
              <w:rPr>
                <w:rFonts w:ascii="宋体" w:hAnsi="宋体"/>
                <w:bCs/>
                <w:sz w:val="18"/>
                <w:szCs w:val="18"/>
              </w:rPr>
              <w:t>扣分说明</w:t>
            </w:r>
          </w:p>
        </w:tc>
        <w:tc>
          <w:tcPr>
            <w:tcW w:w="1004" w:type="dxa"/>
            <w:tcBorders>
              <w:top w:val="single" w:color="auto" w:sz="8" w:space="0"/>
              <w:left w:val="single" w:color="auto" w:sz="4" w:space="0"/>
              <w:bottom w:val="single" w:color="auto" w:sz="8" w:space="0"/>
              <w:right w:val="single" w:color="auto" w:sz="8" w:space="0"/>
            </w:tcBorders>
            <w:noWrap w:val="0"/>
            <w:vAlign w:val="center"/>
          </w:tcPr>
          <w:p w14:paraId="1E16C765">
            <w:pPr>
              <w:widowControl/>
              <w:jc w:val="center"/>
              <w:rPr>
                <w:rFonts w:ascii="宋体" w:hAnsi="宋体"/>
                <w:bCs/>
                <w:sz w:val="18"/>
                <w:szCs w:val="18"/>
              </w:rPr>
            </w:pPr>
            <w:r>
              <w:rPr>
                <w:rFonts w:ascii="宋体" w:hAnsi="宋体"/>
                <w:bCs/>
                <w:sz w:val="18"/>
                <w:szCs w:val="18"/>
              </w:rPr>
              <w:t>对应条款编号</w:t>
            </w:r>
          </w:p>
        </w:tc>
      </w:tr>
      <w:tr w14:paraId="68E505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20A96E00">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1.6.2.5</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5A1538F5">
            <w:pPr>
              <w:adjustRightInd w:val="0"/>
              <w:snapToGrid w:val="0"/>
              <w:jc w:val="left"/>
              <w:rPr>
                <w:rFonts w:ascii="宋体" w:hAnsi="宋体"/>
                <w:sz w:val="18"/>
                <w:szCs w:val="18"/>
              </w:rPr>
            </w:pPr>
            <w:r>
              <w:rPr>
                <w:rFonts w:hint="eastAsia" w:ascii="宋体" w:hAnsi="宋体"/>
                <w:sz w:val="18"/>
                <w:szCs w:val="18"/>
              </w:rPr>
              <w:t>根据本</w:t>
            </w:r>
            <w:r>
              <w:rPr>
                <w:rFonts w:hint="eastAsia" w:ascii="宋体" w:hAnsi="宋体"/>
                <w:sz w:val="18"/>
                <w:szCs w:val="18"/>
                <w:lang w:eastAsia="zh-CN"/>
              </w:rPr>
              <w:t>景区</w:t>
            </w:r>
            <w:r>
              <w:rPr>
                <w:rFonts w:hint="eastAsia" w:ascii="宋体" w:hAnsi="宋体"/>
                <w:sz w:val="18"/>
                <w:szCs w:val="18"/>
              </w:rPr>
              <w:t>的事故预防重点，每年至少组织1次综合应急预案演练或者专项应急预案演练，每半年至少组织1次现场处置方案演练。每三年应实现对本</w:t>
            </w:r>
            <w:r>
              <w:rPr>
                <w:rFonts w:hint="eastAsia" w:ascii="宋体" w:hAnsi="宋体"/>
                <w:sz w:val="18"/>
                <w:szCs w:val="18"/>
                <w:lang w:eastAsia="zh-CN"/>
              </w:rPr>
              <w:t>景区</w:t>
            </w:r>
            <w:r>
              <w:rPr>
                <w:rFonts w:hint="eastAsia" w:ascii="宋体" w:hAnsi="宋体"/>
                <w:sz w:val="18"/>
                <w:szCs w:val="18"/>
              </w:rPr>
              <w:t>所有专项应急预案演练的全覆盖。</w:t>
            </w:r>
          </w:p>
          <w:p w14:paraId="3C8EE8E3">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应急演练内容应包括预警与报告、指挥与协调、应急通讯、事故监测、警戒与管制、疏散与安置、医疗卫生、现场处置、社会沟通、后期处置和其他应急功能。</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201A3D7E">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D093B0D">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E50240F">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4</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A8F79EB">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无演练记录视同未开展，扣</w:t>
            </w:r>
            <w:r>
              <w:rPr>
                <w:rFonts w:hint="eastAsia" w:ascii="宋体" w:hAnsi="宋体"/>
                <w:sz w:val="18"/>
                <w:szCs w:val="18"/>
              </w:rPr>
              <w:t>4分</w:t>
            </w:r>
            <w:r>
              <w:rPr>
                <w:rFonts w:ascii="宋体" w:hAnsi="宋体"/>
                <w:sz w:val="18"/>
                <w:szCs w:val="18"/>
              </w:rPr>
              <w:t>；</w:t>
            </w:r>
          </w:p>
          <w:p w14:paraId="21B76E6D">
            <w:pPr>
              <w:adjustRightInd w:val="0"/>
              <w:snapToGrid w:val="0"/>
              <w:jc w:val="left"/>
              <w:rPr>
                <w:rFonts w:hint="eastAsia" w:ascii="宋体" w:hAnsi="宋体"/>
                <w:sz w:val="18"/>
                <w:szCs w:val="18"/>
              </w:rPr>
            </w:pPr>
            <w:r>
              <w:rPr>
                <w:rFonts w:hint="eastAsia" w:ascii="宋体" w:hAnsi="宋体"/>
                <w:sz w:val="18"/>
                <w:szCs w:val="18"/>
              </w:rPr>
              <w:t>2）演练频次不足的，扣3分；</w:t>
            </w:r>
          </w:p>
          <w:p w14:paraId="6CACD017">
            <w:pPr>
              <w:adjustRightInd w:val="0"/>
              <w:snapToGrid w:val="0"/>
              <w:jc w:val="left"/>
              <w:rPr>
                <w:rFonts w:ascii="宋体" w:hAnsi="宋体"/>
                <w:sz w:val="18"/>
                <w:szCs w:val="18"/>
              </w:rPr>
            </w:pPr>
            <w:r>
              <w:rPr>
                <w:rFonts w:hint="eastAsia" w:ascii="宋体" w:hAnsi="宋体"/>
                <w:sz w:val="18"/>
                <w:szCs w:val="18"/>
              </w:rPr>
              <w:t>2）</w:t>
            </w:r>
            <w:r>
              <w:rPr>
                <w:rFonts w:ascii="宋体" w:hAnsi="宋体"/>
                <w:sz w:val="18"/>
                <w:szCs w:val="18"/>
              </w:rPr>
              <w:t>演练记录不全的，扣</w:t>
            </w:r>
            <w:r>
              <w:rPr>
                <w:rFonts w:hint="eastAsia" w:ascii="宋体" w:hAnsi="宋体"/>
                <w:sz w:val="18"/>
                <w:szCs w:val="18"/>
              </w:rPr>
              <w:t>3分</w:t>
            </w:r>
            <w:r>
              <w:rPr>
                <w:rFonts w:ascii="宋体" w:hAnsi="宋体"/>
                <w:sz w:val="18"/>
                <w:szCs w:val="18"/>
              </w:rPr>
              <w:t>；</w:t>
            </w:r>
          </w:p>
          <w:p w14:paraId="1BC69F8B">
            <w:pPr>
              <w:adjustRightInd w:val="0"/>
              <w:snapToGrid w:val="0"/>
              <w:jc w:val="left"/>
              <w:rPr>
                <w:rFonts w:ascii="宋体" w:hAnsi="宋体" w:eastAsia="宋体" w:cs="Times New Roman"/>
                <w:kern w:val="2"/>
                <w:sz w:val="18"/>
                <w:szCs w:val="18"/>
                <w:lang w:val="en-US" w:eastAsia="zh-CN" w:bidi="ar-SA"/>
              </w:rPr>
            </w:pPr>
            <w:r>
              <w:rPr>
                <w:rFonts w:hint="eastAsia" w:ascii="宋体" w:hAnsi="宋体"/>
                <w:sz w:val="18"/>
                <w:szCs w:val="18"/>
              </w:rPr>
              <w:t>3）</w:t>
            </w:r>
            <w:r>
              <w:rPr>
                <w:rFonts w:ascii="宋体" w:hAnsi="宋体"/>
                <w:sz w:val="18"/>
                <w:szCs w:val="18"/>
              </w:rPr>
              <w:t>演练方案简单或缺乏执行性的，扣</w:t>
            </w:r>
            <w:r>
              <w:rPr>
                <w:rFonts w:hint="eastAsia" w:ascii="宋体" w:hAnsi="宋体"/>
                <w:sz w:val="18"/>
                <w:szCs w:val="18"/>
              </w:rPr>
              <w:t>2</w:t>
            </w:r>
            <w:r>
              <w:rPr>
                <w:rFonts w:ascii="宋体" w:hAnsi="宋体"/>
                <w:sz w:val="18"/>
                <w:szCs w:val="18"/>
              </w:rPr>
              <w:t>分</w:t>
            </w:r>
            <w:r>
              <w:rPr>
                <w:rFonts w:hint="eastAsia" w:ascii="宋体" w:hAnsi="宋体"/>
                <w:sz w:val="18"/>
                <w:szCs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4D96ED6D">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6028CC81">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225C1F0">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618A8D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2B35F7AC">
            <w:pPr>
              <w:widowControl/>
              <w:jc w:val="center"/>
              <w:rPr>
                <w:rFonts w:hint="eastAsia" w:ascii="宋体" w:hAnsi="宋体" w:eastAsia="宋体" w:cs="Times New Roman"/>
                <w:kern w:val="2"/>
                <w:sz w:val="18"/>
                <w:szCs w:val="24"/>
                <w:lang w:val="en-US" w:eastAsia="zh-CN" w:bidi="ar-SA"/>
              </w:rPr>
            </w:pPr>
            <w:r>
              <w:rPr>
                <w:rFonts w:hint="eastAsia" w:ascii="宋体" w:hAnsi="宋体"/>
                <w:sz w:val="18"/>
                <w:szCs w:val="18"/>
              </w:rPr>
              <w:t>1.6.2.6</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26758B76">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应对应急预案进行定期评估，并对应急预案是否需要修订作出结论。</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FA4AE40">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0BA671F">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70D7291C">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2</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224D8C8">
            <w:pPr>
              <w:adjustRightInd w:val="0"/>
              <w:snapToGrid w:val="0"/>
              <w:spacing w:line="240" w:lineRule="atLeast"/>
              <w:jc w:val="left"/>
              <w:rPr>
                <w:rFonts w:hint="eastAsia" w:ascii="宋体" w:hAnsi="宋体"/>
                <w:sz w:val="18"/>
                <w:szCs w:val="18"/>
              </w:rPr>
            </w:pPr>
            <w:r>
              <w:rPr>
                <w:rFonts w:hint="eastAsia" w:ascii="宋体" w:hAnsi="宋体"/>
                <w:sz w:val="18"/>
                <w:szCs w:val="18"/>
              </w:rPr>
              <w:t>1）未定期评估的，不得分；</w:t>
            </w:r>
          </w:p>
          <w:p w14:paraId="3C3B5F44">
            <w:pPr>
              <w:adjustRightInd w:val="0"/>
              <w:snapToGrid w:val="0"/>
              <w:jc w:val="left"/>
              <w:rPr>
                <w:rFonts w:ascii="宋体" w:hAnsi="宋体" w:eastAsia="宋体" w:cs="Times New Roman"/>
                <w:kern w:val="2"/>
                <w:sz w:val="18"/>
                <w:szCs w:val="18"/>
                <w:lang w:val="en-US" w:eastAsia="zh-CN" w:bidi="ar-SA"/>
              </w:rPr>
            </w:pPr>
            <w:r>
              <w:rPr>
                <w:rFonts w:hint="eastAsia" w:ascii="宋体" w:hAnsi="宋体"/>
                <w:sz w:val="18"/>
                <w:szCs w:val="18"/>
              </w:rPr>
              <w:t>2）未有修订记录的，不得分。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3DF16ED7">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center"/>
          </w:tcPr>
          <w:p w14:paraId="40666156">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286A1657">
            <w:pPr>
              <w:widowControl/>
              <w:jc w:val="center"/>
              <w:rPr>
                <w:rFonts w:hint="eastAsia" w:ascii="宋体" w:hAnsi="宋体" w:eastAsia="宋体" w:cs="Times New Roman"/>
                <w:kern w:val="2"/>
                <w:sz w:val="18"/>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27A653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4C9C4CA">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rPr>
              <w:t>1.6.2.7</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29A390FE">
            <w:pPr>
              <w:adjustRightInd w:val="0"/>
              <w:snapToGrid w:val="0"/>
              <w:jc w:val="left"/>
              <w:rPr>
                <w:rFonts w:ascii="宋体" w:hAnsi="宋体"/>
                <w:sz w:val="18"/>
                <w:szCs w:val="18"/>
              </w:rPr>
            </w:pPr>
            <w:r>
              <w:rPr>
                <w:rFonts w:hint="eastAsia" w:ascii="宋体" w:hAnsi="宋体"/>
                <w:sz w:val="18"/>
                <w:szCs w:val="18"/>
                <w:lang w:eastAsia="zh-CN"/>
              </w:rPr>
              <w:t>景区</w:t>
            </w:r>
            <w:r>
              <w:rPr>
                <w:rFonts w:hint="eastAsia" w:ascii="宋体" w:hAnsi="宋体"/>
                <w:sz w:val="18"/>
                <w:szCs w:val="18"/>
              </w:rPr>
              <w:t>应对应急预案演练效果进行评估，撰写演练评估报告，分析存在的问题，并对应急预案提出修订意见。演练评估内容通常包括：</w:t>
            </w:r>
          </w:p>
          <w:p w14:paraId="1EFD2FF0">
            <w:pPr>
              <w:adjustRightInd w:val="0"/>
              <w:snapToGrid w:val="0"/>
              <w:jc w:val="left"/>
              <w:rPr>
                <w:rFonts w:ascii="宋体" w:hAnsi="宋体"/>
                <w:sz w:val="18"/>
                <w:szCs w:val="18"/>
              </w:rPr>
            </w:pPr>
            <w:r>
              <w:rPr>
                <w:rFonts w:hint="eastAsia" w:ascii="宋体" w:hAnsi="宋体"/>
                <w:sz w:val="18"/>
                <w:szCs w:val="18"/>
              </w:rPr>
              <w:t>a）演练基本情况：演练的组织及承办</w:t>
            </w:r>
            <w:r>
              <w:rPr>
                <w:rFonts w:hint="eastAsia" w:ascii="宋体" w:hAnsi="宋体"/>
                <w:sz w:val="18"/>
                <w:szCs w:val="18"/>
                <w:lang w:val="en-US" w:eastAsia="zh-CN"/>
              </w:rPr>
              <w:t>单位</w:t>
            </w:r>
            <w:r>
              <w:rPr>
                <w:rFonts w:hint="eastAsia" w:ascii="宋体" w:hAnsi="宋体"/>
                <w:sz w:val="18"/>
                <w:szCs w:val="18"/>
              </w:rPr>
              <w:t>、演练形式、演练模拟的事故名称、发生的时间和地点、事故过程的情景描述、主要应急行动等；</w:t>
            </w:r>
          </w:p>
          <w:p w14:paraId="776CA9E9">
            <w:pPr>
              <w:adjustRightInd w:val="0"/>
              <w:snapToGrid w:val="0"/>
              <w:jc w:val="left"/>
              <w:rPr>
                <w:rFonts w:ascii="宋体" w:hAnsi="宋体"/>
                <w:sz w:val="18"/>
                <w:szCs w:val="18"/>
              </w:rPr>
            </w:pPr>
            <w:r>
              <w:rPr>
                <w:rFonts w:hint="eastAsia" w:ascii="宋体" w:hAnsi="宋体"/>
                <w:sz w:val="18"/>
                <w:szCs w:val="18"/>
              </w:rPr>
              <w:t>b）演练评估过程：演练评估工作的组织实施过程和主要工作安排；</w:t>
            </w:r>
          </w:p>
          <w:p w14:paraId="50DC92E6">
            <w:pPr>
              <w:adjustRightInd w:val="0"/>
              <w:snapToGrid w:val="0"/>
              <w:jc w:val="left"/>
              <w:rPr>
                <w:rFonts w:ascii="宋体" w:hAnsi="宋体"/>
                <w:sz w:val="18"/>
                <w:szCs w:val="18"/>
              </w:rPr>
            </w:pPr>
            <w:r>
              <w:rPr>
                <w:rFonts w:hint="eastAsia" w:ascii="宋体" w:hAnsi="宋体"/>
                <w:sz w:val="18"/>
                <w:szCs w:val="18"/>
              </w:rPr>
              <w:t>c）演练情况分析：依据演练评估表格的评估结果，从演练的准备及组织实施情况、参演人员表现等方面具体分析好的做法和存在的问题以及演练目标的实现、演练成本效益分析等；</w:t>
            </w:r>
          </w:p>
          <w:p w14:paraId="30B0C9F4">
            <w:pPr>
              <w:adjustRightInd w:val="0"/>
              <w:snapToGrid w:val="0"/>
              <w:jc w:val="left"/>
              <w:rPr>
                <w:rFonts w:ascii="宋体" w:hAnsi="宋体"/>
                <w:sz w:val="18"/>
                <w:szCs w:val="18"/>
              </w:rPr>
            </w:pPr>
            <w:r>
              <w:rPr>
                <w:rFonts w:hint="eastAsia" w:ascii="宋体" w:hAnsi="宋体"/>
                <w:sz w:val="18"/>
                <w:szCs w:val="18"/>
              </w:rPr>
              <w:t>d）改进的意见和建议：对演练评估中发现的问题提出整改的意见和建议；</w:t>
            </w:r>
          </w:p>
          <w:p w14:paraId="40C63ED4">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e）评估结论：对演练组织实施情况的综合评价，并给出优（无差错地完成了所有应急演练内容）、良（达到了预期的演练目标，差错较少）、中（存在明显缺陷，但没有影响实现预期的演练目标）、差（出现了重大错误，演练预期目标受到严重影响，演练被迫中止，造成应急行动延误或资源浪费）等评估结论。</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04BAE394">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289D01C">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6FBD31F">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4A444CB">
            <w:pPr>
              <w:adjustRightInd w:val="0"/>
              <w:snapToGrid w:val="0"/>
              <w:jc w:val="left"/>
              <w:rPr>
                <w:rFonts w:ascii="宋体" w:hAnsi="宋体"/>
                <w:sz w:val="18"/>
                <w:szCs w:val="18"/>
              </w:rPr>
            </w:pPr>
            <w:r>
              <w:rPr>
                <w:rFonts w:hint="eastAsia" w:ascii="宋体" w:hAnsi="宋体"/>
                <w:sz w:val="18"/>
                <w:szCs w:val="18"/>
              </w:rPr>
              <w:t>1）</w:t>
            </w:r>
            <w:r>
              <w:rPr>
                <w:rFonts w:ascii="宋体" w:hAnsi="宋体"/>
                <w:sz w:val="18"/>
                <w:szCs w:val="18"/>
              </w:rPr>
              <w:t>无预案演练评估报告的，扣</w:t>
            </w:r>
            <w:r>
              <w:rPr>
                <w:rFonts w:hint="eastAsia" w:ascii="宋体" w:hAnsi="宋体"/>
                <w:sz w:val="18"/>
                <w:szCs w:val="18"/>
              </w:rPr>
              <w:t>3</w:t>
            </w:r>
            <w:r>
              <w:rPr>
                <w:rFonts w:ascii="宋体" w:hAnsi="宋体"/>
                <w:sz w:val="18"/>
                <w:szCs w:val="18"/>
              </w:rPr>
              <w:t>分；</w:t>
            </w:r>
          </w:p>
          <w:p w14:paraId="2A4A745E">
            <w:pPr>
              <w:widowControl/>
              <w:jc w:val="left"/>
              <w:rPr>
                <w:rFonts w:hint="eastAsia" w:ascii="宋体" w:hAnsi="宋体" w:eastAsia="宋体" w:cs="Times New Roman"/>
                <w:bCs/>
                <w:kern w:val="2"/>
                <w:sz w:val="18"/>
                <w:szCs w:val="18"/>
                <w:lang w:val="en-US" w:eastAsia="zh-CN" w:bidi="ar-SA"/>
              </w:rPr>
            </w:pPr>
            <w:r>
              <w:rPr>
                <w:rFonts w:hint="eastAsia" w:ascii="宋体" w:hAnsi="宋体"/>
                <w:sz w:val="18"/>
                <w:szCs w:val="18"/>
              </w:rPr>
              <w:t>2）</w:t>
            </w:r>
            <w:r>
              <w:rPr>
                <w:rFonts w:ascii="宋体" w:hAnsi="宋体"/>
                <w:sz w:val="18"/>
                <w:szCs w:val="18"/>
              </w:rPr>
              <w:t>评估报告内容不全的，</w:t>
            </w:r>
            <w:r>
              <w:rPr>
                <w:rFonts w:hint="eastAsia" w:ascii="宋体" w:hAnsi="宋体"/>
                <w:sz w:val="18"/>
                <w:szCs w:val="18"/>
              </w:rPr>
              <w:t>缺一处</w:t>
            </w:r>
            <w:r>
              <w:rPr>
                <w:rFonts w:ascii="宋体" w:hAnsi="宋体"/>
                <w:sz w:val="18"/>
                <w:szCs w:val="18"/>
              </w:rPr>
              <w:t>扣</w:t>
            </w:r>
            <w:r>
              <w:rPr>
                <w:rFonts w:hint="eastAsia" w:ascii="宋体" w:hAnsi="宋体"/>
                <w:sz w:val="18"/>
                <w:szCs w:val="18"/>
              </w:rPr>
              <w:t>2</w:t>
            </w:r>
            <w:r>
              <w:rPr>
                <w:rFonts w:ascii="宋体" w:hAnsi="宋体"/>
                <w:sz w:val="18"/>
                <w:szCs w:val="18"/>
              </w:rPr>
              <w:t>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01F46CFF">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569F77B9">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7470879">
            <w:pPr>
              <w:widowControl/>
              <w:jc w:val="center"/>
              <w:rPr>
                <w:rFonts w:ascii="宋体" w:hAnsi="宋体" w:eastAsia="宋体" w:cs="Times New Roman"/>
                <w:bCs/>
                <w:kern w:val="2"/>
                <w:sz w:val="18"/>
                <w:szCs w:val="18"/>
                <w:lang w:val="en-US" w:eastAsia="zh-CN" w:bidi="ar-SA"/>
              </w:rPr>
            </w:pPr>
            <w:r>
              <w:rPr>
                <w:rFonts w:hint="eastAsia" w:ascii="宋体" w:hAnsi="宋体"/>
                <w:sz w:val="18"/>
                <w:lang w:eastAsia="zh-CN"/>
              </w:rPr>
              <w:t>4.</w:t>
            </w:r>
            <w:r>
              <w:rPr>
                <w:rFonts w:hint="eastAsia" w:ascii="宋体" w:hAnsi="宋体"/>
                <w:sz w:val="18"/>
              </w:rPr>
              <w:t>1</w:t>
            </w:r>
          </w:p>
        </w:tc>
      </w:tr>
      <w:tr w14:paraId="3E2EA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346BEA60">
            <w:pPr>
              <w:widowControl/>
              <w:jc w:val="center"/>
              <w:rPr>
                <w:rFonts w:hint="eastAsia" w:ascii="宋体" w:hAnsi="宋体"/>
                <w:sz w:val="18"/>
              </w:rPr>
            </w:pPr>
            <w:r>
              <w:rPr>
                <w:rFonts w:hint="eastAsia" w:ascii="宋体" w:hAnsi="宋体"/>
                <w:sz w:val="18"/>
              </w:rPr>
              <w:t>1.6.3</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0676D87B">
            <w:pPr>
              <w:adjustRightInd w:val="0"/>
              <w:snapToGrid w:val="0"/>
              <w:rPr>
                <w:rFonts w:hint="eastAsia" w:ascii="宋体" w:hAnsi="宋体"/>
                <w:sz w:val="18"/>
                <w:szCs w:val="18"/>
              </w:rPr>
            </w:pPr>
            <w:r>
              <w:rPr>
                <w:rFonts w:hint="eastAsia" w:ascii="宋体" w:hAnsi="宋体"/>
                <w:sz w:val="18"/>
              </w:rPr>
              <w:t>应急设施、装备、物资</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11E44E7F">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70722AD6">
            <w:pPr>
              <w:widowControl/>
              <w:jc w:val="center"/>
              <w:rPr>
                <w:rFonts w:ascii="宋体" w:hAnsi="宋体"/>
                <w:bCs/>
                <w:sz w:val="18"/>
                <w:szCs w:val="18"/>
              </w:rPr>
            </w:pPr>
            <w:r>
              <w:rPr>
                <w:rFonts w:hint="eastAsia" w:ascii="宋体" w:hAnsi="宋体"/>
                <w:sz w:val="18"/>
              </w:rPr>
              <w:t>10</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0B666A27">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6F2B9C1E">
            <w:pPr>
              <w:adjustRightInd w:val="0"/>
              <w:snapToGrid w:val="0"/>
              <w:jc w:val="left"/>
              <w:rPr>
                <w:rFonts w:hint="eastAsia"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598DDB70">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6BB41062">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53217CA">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04EAD4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E06EE70">
            <w:pPr>
              <w:widowControl/>
              <w:jc w:val="center"/>
              <w:rPr>
                <w:rFonts w:hint="eastAsia" w:ascii="宋体" w:hAnsi="宋体"/>
                <w:sz w:val="18"/>
              </w:rPr>
            </w:pPr>
            <w:r>
              <w:rPr>
                <w:rFonts w:hint="eastAsia" w:ascii="宋体" w:hAnsi="宋体"/>
                <w:sz w:val="18"/>
              </w:rPr>
              <w:t>1.6.3.1</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6BC0157A">
            <w:pPr>
              <w:adjustRightInd w:val="0"/>
              <w:snapToGrid w:val="0"/>
              <w:rPr>
                <w:rFonts w:hint="eastAsia" w:ascii="宋体" w:hAnsi="宋体"/>
                <w:sz w:val="18"/>
              </w:rPr>
            </w:pPr>
            <w:r>
              <w:rPr>
                <w:rFonts w:hint="eastAsia" w:ascii="宋体" w:hAnsi="宋体"/>
                <w:sz w:val="18"/>
                <w:szCs w:val="18"/>
                <w:lang w:eastAsia="zh-CN"/>
              </w:rPr>
              <w:t>景区</w:t>
            </w:r>
            <w:r>
              <w:rPr>
                <w:rFonts w:hint="eastAsia" w:ascii="宋体" w:hAnsi="宋体"/>
                <w:sz w:val="18"/>
                <w:szCs w:val="18"/>
              </w:rPr>
              <w:t>应根据实际需求，配备</w:t>
            </w:r>
            <w:r>
              <w:rPr>
                <w:rFonts w:ascii="宋体" w:hAnsi="宋体"/>
                <w:sz w:val="18"/>
                <w:szCs w:val="18"/>
              </w:rPr>
              <w:t>应急设施</w:t>
            </w:r>
            <w:r>
              <w:rPr>
                <w:rFonts w:hint="eastAsia" w:ascii="宋体" w:hAnsi="宋体"/>
                <w:sz w:val="18"/>
                <w:szCs w:val="18"/>
              </w:rPr>
              <w:t>和</w:t>
            </w:r>
            <w:r>
              <w:rPr>
                <w:rFonts w:ascii="宋体" w:hAnsi="宋体"/>
                <w:sz w:val="18"/>
                <w:szCs w:val="18"/>
              </w:rPr>
              <w:t>装备，储备应急物资</w:t>
            </w:r>
            <w:r>
              <w:rPr>
                <w:rFonts w:hint="eastAsia" w:ascii="宋体" w:hAnsi="宋体"/>
                <w:sz w:val="18"/>
                <w:szCs w:val="18"/>
              </w:rPr>
              <w:t>，</w:t>
            </w:r>
            <w:r>
              <w:rPr>
                <w:rFonts w:ascii="宋体" w:hAnsi="宋体"/>
                <w:sz w:val="18"/>
                <w:szCs w:val="18"/>
              </w:rPr>
              <w:t>指定</w:t>
            </w:r>
            <w:r>
              <w:rPr>
                <w:rFonts w:hint="eastAsia" w:ascii="宋体" w:hAnsi="宋体"/>
                <w:sz w:val="18"/>
                <w:szCs w:val="18"/>
              </w:rPr>
              <w:t>专人负责管理，并建立使用状况台账，定期检测和维护。</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596D3559">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AF0C3CC">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17C7C83">
            <w:pPr>
              <w:widowControl/>
              <w:jc w:val="center"/>
              <w:rPr>
                <w:rFonts w:hint="eastAsia" w:ascii="宋体" w:hAnsi="宋体"/>
                <w:sz w:val="18"/>
              </w:rPr>
            </w:pPr>
            <w:r>
              <w:rPr>
                <w:rFonts w:hint="eastAsia" w:ascii="宋体" w:hAnsi="宋体"/>
                <w:sz w:val="18"/>
              </w:rPr>
              <w:t>10</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2C12C70">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无应急物资管理档案或台账的，</w:t>
            </w:r>
            <w:r>
              <w:rPr>
                <w:rFonts w:hint="eastAsia" w:ascii="宋体" w:hAnsi="宋体"/>
                <w:sz w:val="18"/>
                <w:szCs w:val="18"/>
              </w:rPr>
              <w:t>扣2分</w:t>
            </w:r>
            <w:r>
              <w:rPr>
                <w:rFonts w:ascii="宋体" w:hAnsi="宋体"/>
                <w:sz w:val="18"/>
                <w:szCs w:val="18"/>
              </w:rPr>
              <w:t>；</w:t>
            </w:r>
          </w:p>
          <w:p w14:paraId="004590EB">
            <w:pPr>
              <w:adjustRightInd w:val="0"/>
              <w:snapToGrid w:val="0"/>
              <w:jc w:val="left"/>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应急设施、装备、物资配备不全的，扣</w:t>
            </w:r>
            <w:r>
              <w:rPr>
                <w:rFonts w:hint="eastAsia" w:ascii="宋体" w:hAnsi="宋体"/>
                <w:sz w:val="18"/>
                <w:szCs w:val="18"/>
              </w:rPr>
              <w:t>2</w:t>
            </w:r>
            <w:r>
              <w:rPr>
                <w:rFonts w:ascii="宋体" w:hAnsi="宋体"/>
                <w:sz w:val="18"/>
                <w:szCs w:val="18"/>
              </w:rPr>
              <w:t>分；</w:t>
            </w:r>
          </w:p>
          <w:p w14:paraId="0154B133">
            <w:pPr>
              <w:adjustRightInd w:val="0"/>
              <w:snapToGrid w:val="0"/>
              <w:jc w:val="left"/>
              <w:rPr>
                <w:rFonts w:hint="eastAsia" w:ascii="宋体" w:hAnsi="宋体"/>
                <w:sz w:val="18"/>
                <w:szCs w:val="18"/>
              </w:rPr>
            </w:pPr>
            <w:r>
              <w:rPr>
                <w:rFonts w:ascii="宋体" w:hAnsi="宋体"/>
                <w:sz w:val="18"/>
                <w:szCs w:val="18"/>
              </w:rPr>
              <w:t>3</w:t>
            </w:r>
            <w:r>
              <w:rPr>
                <w:rFonts w:hint="eastAsia" w:ascii="宋体" w:hAnsi="宋体"/>
                <w:sz w:val="18"/>
                <w:szCs w:val="18"/>
              </w:rPr>
              <w:t>）</w:t>
            </w:r>
            <w:r>
              <w:rPr>
                <w:rFonts w:ascii="宋体" w:hAnsi="宋体"/>
                <w:sz w:val="18"/>
                <w:szCs w:val="18"/>
              </w:rPr>
              <w:t>应急设施、装备、物资无专人维护的</w:t>
            </w:r>
            <w:r>
              <w:rPr>
                <w:rFonts w:hint="eastAsia" w:ascii="宋体" w:hAnsi="宋体"/>
                <w:sz w:val="18"/>
                <w:szCs w:val="18"/>
              </w:rPr>
              <w:t>，或无维护保养记录的</w:t>
            </w:r>
            <w:r>
              <w:rPr>
                <w:rFonts w:ascii="宋体" w:hAnsi="宋体"/>
                <w:sz w:val="18"/>
                <w:szCs w:val="18"/>
              </w:rPr>
              <w:t>，扣</w:t>
            </w:r>
            <w:r>
              <w:rPr>
                <w:rFonts w:hint="eastAsia" w:ascii="宋体" w:hAnsi="宋体"/>
                <w:sz w:val="18"/>
                <w:szCs w:val="18"/>
              </w:rPr>
              <w:t>2</w:t>
            </w:r>
            <w:r>
              <w:rPr>
                <w:rFonts w:ascii="宋体" w:hAnsi="宋体"/>
                <w:sz w:val="18"/>
                <w:szCs w:val="18"/>
              </w:rPr>
              <w:t>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06811314">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2A03330E">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92D469C">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62CD7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4744F98">
            <w:pPr>
              <w:widowControl/>
              <w:jc w:val="center"/>
              <w:rPr>
                <w:rFonts w:hint="eastAsia" w:ascii="宋体" w:hAnsi="宋体"/>
                <w:sz w:val="18"/>
              </w:rPr>
            </w:pPr>
            <w:r>
              <w:rPr>
                <w:rFonts w:hint="eastAsia" w:ascii="宋体" w:hAnsi="宋体"/>
                <w:sz w:val="18"/>
              </w:rPr>
              <w:t>1.6.4</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20BBEF3B">
            <w:pPr>
              <w:adjustRightInd w:val="0"/>
              <w:snapToGrid w:val="0"/>
              <w:rPr>
                <w:rFonts w:hint="eastAsia" w:ascii="宋体" w:hAnsi="宋体"/>
                <w:sz w:val="18"/>
                <w:szCs w:val="18"/>
              </w:rPr>
            </w:pPr>
            <w:r>
              <w:rPr>
                <w:rFonts w:hint="eastAsia" w:ascii="宋体" w:hAnsi="宋体"/>
                <w:sz w:val="18"/>
              </w:rPr>
              <w:t>应急响应</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3D1D4DF">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9BEB58E">
            <w:pPr>
              <w:widowControl/>
              <w:jc w:val="center"/>
              <w:rPr>
                <w:rFonts w:hint="eastAsia" w:ascii="宋体" w:hAnsi="宋体"/>
                <w:sz w:val="18"/>
              </w:rPr>
            </w:pPr>
            <w:r>
              <w:rPr>
                <w:rFonts w:hint="eastAsia" w:ascii="宋体" w:hAnsi="宋体"/>
                <w:sz w:val="18"/>
              </w:rPr>
              <w:t>5</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73DA9535">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9B7A79B">
            <w:pPr>
              <w:adjustRightInd w:val="0"/>
              <w:snapToGrid w:val="0"/>
              <w:jc w:val="left"/>
              <w:rPr>
                <w:rFonts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04753602">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08C46C27">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01F9A6CA">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bl>
    <w:p w14:paraId="3B77F73F">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6003"/>
        <w:gridCol w:w="719"/>
        <w:gridCol w:w="725"/>
        <w:gridCol w:w="725"/>
        <w:gridCol w:w="3838"/>
        <w:gridCol w:w="749"/>
        <w:gridCol w:w="642"/>
        <w:gridCol w:w="1004"/>
      </w:tblGrid>
      <w:tr w14:paraId="76C67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6DD4FEB9">
            <w:pPr>
              <w:widowControl/>
              <w:jc w:val="center"/>
              <w:rPr>
                <w:rFonts w:ascii="宋体" w:hAnsi="宋体"/>
                <w:bCs/>
                <w:sz w:val="18"/>
                <w:szCs w:val="18"/>
              </w:rPr>
            </w:pPr>
            <w:r>
              <w:rPr>
                <w:rFonts w:ascii="宋体" w:hAnsi="宋体"/>
                <w:bCs/>
                <w:sz w:val="18"/>
                <w:szCs w:val="18"/>
              </w:rPr>
              <w:t>序号</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69A6D506">
            <w:pPr>
              <w:widowControl/>
              <w:jc w:val="center"/>
              <w:rPr>
                <w:rFonts w:ascii="宋体" w:hAnsi="宋体"/>
                <w:bCs/>
                <w:sz w:val="18"/>
                <w:szCs w:val="18"/>
              </w:rPr>
            </w:pPr>
            <w:r>
              <w:rPr>
                <w:rFonts w:ascii="宋体" w:hAnsi="宋体"/>
                <w:bCs/>
                <w:sz w:val="18"/>
                <w:szCs w:val="18"/>
              </w:rPr>
              <w:t>评定内容</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3C521DD5">
            <w:pPr>
              <w:widowControl/>
              <w:jc w:val="center"/>
              <w:rPr>
                <w:rFonts w:ascii="宋体" w:hAnsi="宋体"/>
                <w:bCs/>
                <w:sz w:val="18"/>
                <w:szCs w:val="18"/>
              </w:rPr>
            </w:pPr>
            <w:r>
              <w:rPr>
                <w:rFonts w:ascii="宋体" w:hAnsi="宋体"/>
                <w:bCs/>
                <w:sz w:val="18"/>
                <w:szCs w:val="18"/>
              </w:rPr>
              <w:t>评定要素分值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18E8AC5D">
            <w:pPr>
              <w:widowControl/>
              <w:jc w:val="center"/>
              <w:rPr>
                <w:rFonts w:ascii="宋体" w:hAnsi="宋体"/>
                <w:bCs/>
                <w:sz w:val="18"/>
                <w:szCs w:val="18"/>
              </w:rPr>
            </w:pPr>
            <w:r>
              <w:rPr>
                <w:rFonts w:ascii="宋体" w:hAnsi="宋体"/>
                <w:bCs/>
                <w:sz w:val="18"/>
                <w:szCs w:val="18"/>
              </w:rPr>
              <w:t>评定细项分值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22C70B3C">
            <w:pPr>
              <w:widowControl/>
              <w:jc w:val="center"/>
              <w:rPr>
                <w:rFonts w:ascii="宋体" w:hAnsi="宋体"/>
                <w:bCs/>
                <w:sz w:val="18"/>
                <w:szCs w:val="18"/>
              </w:rPr>
            </w:pPr>
            <w:r>
              <w:rPr>
                <w:rFonts w:ascii="宋体" w:hAnsi="宋体"/>
                <w:bCs/>
                <w:sz w:val="18"/>
                <w:szCs w:val="18"/>
              </w:rPr>
              <w:t>评定条款分值</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2997406">
            <w:pPr>
              <w:widowControl/>
              <w:jc w:val="center"/>
              <w:rPr>
                <w:rFonts w:ascii="宋体" w:hAnsi="宋体"/>
                <w:bCs/>
                <w:sz w:val="18"/>
                <w:szCs w:val="18"/>
              </w:rPr>
            </w:pPr>
            <w:r>
              <w:rPr>
                <w:rFonts w:ascii="宋体" w:hAnsi="宋体"/>
                <w:bCs/>
                <w:sz w:val="18"/>
                <w:szCs w:val="18"/>
              </w:rPr>
              <w:t>评分标准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7BFF601B">
            <w:pPr>
              <w:widowControl/>
              <w:jc w:val="center"/>
              <w:rPr>
                <w:rFonts w:ascii="宋体" w:hAnsi="宋体"/>
                <w:bCs/>
                <w:sz w:val="18"/>
                <w:szCs w:val="18"/>
              </w:rPr>
            </w:pPr>
            <w:r>
              <w:rPr>
                <w:rFonts w:ascii="宋体" w:hAnsi="宋体"/>
                <w:bCs/>
                <w:sz w:val="18"/>
                <w:szCs w:val="18"/>
              </w:rPr>
              <w:t>评定得分</w:t>
            </w:r>
          </w:p>
        </w:tc>
        <w:tc>
          <w:tcPr>
            <w:tcW w:w="642" w:type="dxa"/>
            <w:tcBorders>
              <w:top w:val="single" w:color="auto" w:sz="8" w:space="0"/>
              <w:left w:val="single" w:color="auto" w:sz="4" w:space="0"/>
              <w:bottom w:val="single" w:color="auto" w:sz="8" w:space="0"/>
              <w:right w:val="single" w:color="auto" w:sz="4" w:space="0"/>
            </w:tcBorders>
            <w:noWrap w:val="0"/>
            <w:vAlign w:val="center"/>
          </w:tcPr>
          <w:p w14:paraId="0FD7DA65">
            <w:pPr>
              <w:widowControl/>
              <w:jc w:val="center"/>
              <w:rPr>
                <w:rFonts w:ascii="宋体" w:hAnsi="宋体"/>
                <w:bCs/>
                <w:sz w:val="18"/>
                <w:szCs w:val="18"/>
              </w:rPr>
            </w:pPr>
            <w:r>
              <w:rPr>
                <w:rFonts w:ascii="宋体" w:hAnsi="宋体"/>
                <w:bCs/>
                <w:sz w:val="18"/>
                <w:szCs w:val="18"/>
              </w:rPr>
              <w:t>扣分说明</w:t>
            </w:r>
          </w:p>
        </w:tc>
        <w:tc>
          <w:tcPr>
            <w:tcW w:w="1004" w:type="dxa"/>
            <w:tcBorders>
              <w:top w:val="single" w:color="auto" w:sz="8" w:space="0"/>
              <w:left w:val="single" w:color="auto" w:sz="4" w:space="0"/>
              <w:bottom w:val="single" w:color="auto" w:sz="8" w:space="0"/>
              <w:right w:val="single" w:color="auto" w:sz="8" w:space="0"/>
            </w:tcBorders>
            <w:noWrap w:val="0"/>
            <w:vAlign w:val="center"/>
          </w:tcPr>
          <w:p w14:paraId="1A2C6E1D">
            <w:pPr>
              <w:widowControl/>
              <w:jc w:val="center"/>
              <w:rPr>
                <w:rFonts w:ascii="宋体" w:hAnsi="宋体"/>
                <w:bCs/>
                <w:sz w:val="18"/>
                <w:szCs w:val="18"/>
              </w:rPr>
            </w:pPr>
            <w:r>
              <w:rPr>
                <w:rFonts w:ascii="宋体" w:hAnsi="宋体"/>
                <w:bCs/>
                <w:sz w:val="18"/>
                <w:szCs w:val="18"/>
              </w:rPr>
              <w:t>对应条款编号</w:t>
            </w:r>
          </w:p>
        </w:tc>
      </w:tr>
      <w:tr w14:paraId="30DC85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0580D98">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1.6.4.1</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4A993571">
            <w:pPr>
              <w:adjustRightInd w:val="0"/>
              <w:snapToGrid w:val="0"/>
              <w:rPr>
                <w:rFonts w:hint="eastAsia" w:ascii="宋体" w:hAnsi="宋体" w:eastAsia="宋体" w:cs="Times New Roman"/>
                <w:kern w:val="2"/>
                <w:sz w:val="18"/>
                <w:szCs w:val="24"/>
                <w:lang w:val="en-US" w:eastAsia="zh-CN" w:bidi="ar-SA"/>
              </w:rPr>
            </w:pPr>
            <w:r>
              <w:rPr>
                <w:rFonts w:hint="eastAsia" w:ascii="宋体" w:hAnsi="宋体"/>
                <w:sz w:val="18"/>
                <w:lang w:eastAsia="zh-CN"/>
              </w:rPr>
              <w:t>景区</w:t>
            </w:r>
            <w:r>
              <w:rPr>
                <w:rFonts w:hint="eastAsia" w:ascii="宋体" w:hAnsi="宋体"/>
                <w:sz w:val="18"/>
              </w:rPr>
              <w:t>发生事故后，应立即启动相关应急预案，积极开展事故救援。</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404752E">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13108A9">
            <w:pPr>
              <w:widowControl/>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E1EA3DF">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1B79AEC">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未按要求</w:t>
            </w:r>
            <w:r>
              <w:rPr>
                <w:rFonts w:hint="eastAsia" w:ascii="宋体" w:hAnsi="宋体"/>
                <w:sz w:val="18"/>
              </w:rPr>
              <w:t>启动相关应急预案的，不得分。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1BFB02AB">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2412DD11">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13B407A3">
            <w:pPr>
              <w:widowControl/>
              <w:jc w:val="center"/>
              <w:rPr>
                <w:rFonts w:hint="default"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6C8037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25584DD">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39C2516F">
            <w:pPr>
              <w:adjustRightInd w:val="0"/>
              <w:snapToGrid w:val="0"/>
              <w:rPr>
                <w:rFonts w:hint="eastAsia" w:ascii="宋体" w:hAnsi="宋体" w:eastAsia="宋体" w:cs="Times New Roman"/>
                <w:kern w:val="2"/>
                <w:sz w:val="18"/>
                <w:szCs w:val="24"/>
                <w:lang w:val="en-US" w:eastAsia="zh-CN" w:bidi="ar-SA"/>
              </w:rPr>
            </w:pPr>
            <w:r>
              <w:rPr>
                <w:rFonts w:hint="eastAsia" w:ascii="宋体" w:hAnsi="宋体"/>
                <w:sz w:val="18"/>
                <w:lang w:val="en-US" w:eastAsia="zh-CN"/>
              </w:rPr>
              <w:t>安全风险分级管控</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2F6273B8">
            <w:pPr>
              <w:widowControl/>
              <w:adjustRightInd w:val="0"/>
              <w:snapToGrid w:val="0"/>
              <w:jc w:val="center"/>
              <w:rPr>
                <w:rFonts w:ascii="宋体" w:hAnsi="宋体" w:eastAsia="宋体" w:cs="Times New Roman"/>
                <w:bCs/>
                <w:kern w:val="2"/>
                <w:sz w:val="18"/>
                <w:szCs w:val="18"/>
                <w:lang w:val="en-US" w:eastAsia="zh-CN" w:bidi="ar-SA"/>
              </w:rPr>
            </w:pPr>
            <w:r>
              <w:rPr>
                <w:rFonts w:hint="eastAsia" w:ascii="宋体" w:hAnsi="宋体"/>
                <w:sz w:val="18"/>
                <w:lang w:val="en-US" w:eastAsia="zh-CN"/>
              </w:rPr>
              <w:t>3</w:t>
            </w:r>
            <w:r>
              <w:rPr>
                <w:rFonts w:hint="eastAsia" w:ascii="宋体" w:hAnsi="宋体"/>
                <w:sz w:val="18"/>
              </w:rPr>
              <w:t>0</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54B88FF6">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0E4BCAA">
            <w:pPr>
              <w:widowControl/>
              <w:adjustRightInd w:val="0"/>
              <w:snapToGrid w:val="0"/>
              <w:jc w:val="center"/>
              <w:rPr>
                <w:rFonts w:hint="eastAsia" w:ascii="宋体" w:hAnsi="宋体" w:eastAsia="宋体" w:cs="Times New Roman"/>
                <w:kern w:val="2"/>
                <w:sz w:val="18"/>
                <w:szCs w:val="24"/>
                <w:lang w:val="en-US" w:eastAsia="zh-CN" w:bidi="ar-SA"/>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D867D3C">
            <w:pPr>
              <w:adjustRightInd w:val="0"/>
              <w:snapToGrid w:val="0"/>
              <w:jc w:val="left"/>
              <w:rPr>
                <w:rFonts w:hint="eastAsia" w:ascii="宋体" w:hAnsi="宋体" w:eastAsia="宋体" w:cs="Times New Roman"/>
                <w:kern w:val="2"/>
                <w:sz w:val="18"/>
                <w:szCs w:val="18"/>
                <w:lang w:val="en-US" w:eastAsia="zh-CN" w:bidi="ar-SA"/>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5CD54EFB">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16278D74">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281FFDC7">
            <w:pPr>
              <w:widowControl/>
              <w:adjustRightInd w:val="0"/>
              <w:snapToGrid w:val="0"/>
              <w:jc w:val="center"/>
              <w:rPr>
                <w:rFonts w:hint="default"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1.1</w:t>
            </w:r>
          </w:p>
        </w:tc>
      </w:tr>
      <w:tr w14:paraId="26256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FC8AC78">
            <w:pPr>
              <w:widowControl/>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rPr>
              <w:t>1.7.1</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2F161F59">
            <w:pPr>
              <w:widowControl/>
              <w:adjustRightInd w:val="0"/>
              <w:snapToGrid w:val="0"/>
              <w:jc w:val="left"/>
              <w:rPr>
                <w:rFonts w:hint="eastAsia" w:ascii="宋体" w:hAnsi="宋体"/>
                <w:sz w:val="18"/>
                <w:lang w:val="en-US" w:eastAsia="zh-CN"/>
              </w:rPr>
            </w:pPr>
            <w:r>
              <w:rPr>
                <w:rFonts w:hint="eastAsia" w:ascii="宋体" w:hAnsi="宋体"/>
                <w:sz w:val="18"/>
                <w:szCs w:val="18"/>
              </w:rPr>
              <w:t>★</w:t>
            </w:r>
            <w:r>
              <w:rPr>
                <w:rFonts w:hint="eastAsia" w:ascii="宋体" w:hAnsi="宋体"/>
                <w:sz w:val="18"/>
                <w:lang w:val="en-US" w:eastAsia="zh-CN"/>
              </w:rPr>
              <w:t>应开展安全风险分级管控工作，安全风险辨识应符合下列要求：</w:t>
            </w:r>
          </w:p>
          <w:p w14:paraId="4F756FBE">
            <w:pPr>
              <w:widowControl/>
              <w:numPr>
                <w:ilvl w:val="0"/>
                <w:numId w:val="46"/>
              </w:numPr>
              <w:adjustRightInd w:val="0"/>
              <w:snapToGrid w:val="0"/>
              <w:jc w:val="left"/>
              <w:rPr>
                <w:rFonts w:hint="eastAsia" w:ascii="宋体" w:hAnsi="宋体" w:eastAsia="宋体" w:cs="Times New Roman"/>
                <w:sz w:val="18"/>
                <w:lang w:eastAsia="zh-CN"/>
              </w:rPr>
            </w:pPr>
            <w:r>
              <w:rPr>
                <w:rFonts w:hint="eastAsia" w:ascii="宋体" w:hAnsi="宋体" w:eastAsia="宋体" w:cs="Times New Roman"/>
                <w:sz w:val="18"/>
              </w:rPr>
              <w:t>对场所、设备和作业活动等进行安全风险辨识，</w:t>
            </w:r>
            <w:r>
              <w:rPr>
                <w:rFonts w:hint="eastAsia" w:ascii="宋体" w:hAnsi="宋体" w:eastAsia="宋体" w:cs="Times New Roman"/>
                <w:sz w:val="18"/>
                <w:lang w:val="en-US" w:eastAsia="zh-CN"/>
              </w:rPr>
              <w:t>可</w:t>
            </w:r>
            <w:r>
              <w:rPr>
                <w:rFonts w:hint="eastAsia" w:ascii="宋体" w:hAnsi="宋体" w:eastAsia="宋体" w:cs="Times New Roman"/>
                <w:sz w:val="18"/>
              </w:rPr>
              <w:t>将各场所/设备设施/作业活动作为基本的辨识单元，以确保风险辨识覆盖本</w:t>
            </w:r>
            <w:r>
              <w:rPr>
                <w:rFonts w:hint="eastAsia" w:ascii="宋体" w:hAnsi="宋体" w:cs="Times New Roman"/>
                <w:sz w:val="18"/>
                <w:lang w:val="en-US" w:eastAsia="zh-CN"/>
              </w:rPr>
              <w:t>景区</w:t>
            </w:r>
            <w:r>
              <w:rPr>
                <w:rFonts w:hint="eastAsia" w:ascii="宋体" w:hAnsi="宋体" w:eastAsia="宋体" w:cs="Times New Roman"/>
                <w:sz w:val="18"/>
              </w:rPr>
              <w:t>及相关方作业的所有场所、设备设施和作业活动</w:t>
            </w:r>
            <w:r>
              <w:rPr>
                <w:rFonts w:hint="eastAsia" w:ascii="宋体" w:hAnsi="宋体" w:eastAsia="宋体" w:cs="Times New Roman"/>
                <w:sz w:val="18"/>
                <w:lang w:eastAsia="zh-CN"/>
              </w:rPr>
              <w:t>；</w:t>
            </w:r>
          </w:p>
          <w:p w14:paraId="20FA630D">
            <w:pPr>
              <w:widowControl/>
              <w:numPr>
                <w:ilvl w:val="0"/>
                <w:numId w:val="46"/>
              </w:num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eastAsia="宋体" w:cs="Times New Roman"/>
                <w:sz w:val="18"/>
                <w:lang w:val="en-US" w:eastAsia="zh-CN"/>
              </w:rPr>
              <w:t>建立</w:t>
            </w:r>
            <w:r>
              <w:rPr>
                <w:rFonts w:hint="eastAsia" w:ascii="宋体" w:hAnsi="宋体" w:eastAsia="宋体" w:cs="Times New Roman"/>
                <w:sz w:val="18"/>
              </w:rPr>
              <w:t>安全风险</w:t>
            </w:r>
            <w:r>
              <w:rPr>
                <w:rFonts w:hint="eastAsia" w:ascii="宋体" w:hAnsi="宋体" w:eastAsia="宋体" w:cs="Times New Roman"/>
                <w:sz w:val="18"/>
                <w:lang w:val="en-US" w:eastAsia="zh-CN"/>
              </w:rPr>
              <w:t>管控</w:t>
            </w:r>
            <w:r>
              <w:rPr>
                <w:rFonts w:hint="eastAsia" w:ascii="宋体" w:hAnsi="宋体" w:eastAsia="宋体" w:cs="Times New Roman"/>
                <w:sz w:val="18"/>
              </w:rPr>
              <w:t>清单</w:t>
            </w:r>
            <w:r>
              <w:rPr>
                <w:rFonts w:hint="eastAsia" w:ascii="宋体" w:hAnsi="宋体" w:eastAsia="宋体" w:cs="Times New Roman"/>
                <w:sz w:val="18"/>
                <w:lang w:eastAsia="zh-CN"/>
              </w:rPr>
              <w:t>，</w:t>
            </w:r>
            <w:r>
              <w:rPr>
                <w:rFonts w:hint="eastAsia" w:ascii="宋体" w:hAnsi="宋体" w:eastAsia="宋体" w:cs="Times New Roman"/>
                <w:sz w:val="18"/>
                <w:lang w:val="en-US" w:eastAsia="zh-CN"/>
              </w:rPr>
              <w:t>清单至少包括</w:t>
            </w:r>
            <w:r>
              <w:rPr>
                <w:rFonts w:hint="eastAsia" w:ascii="宋体" w:hAnsi="宋体" w:eastAsia="宋体" w:cs="Times New Roman"/>
                <w:sz w:val="18"/>
                <w:lang w:eastAsia="zh-CN"/>
              </w:rPr>
              <w:t>风险所在场所/部位、风险描述、风险可能导致的后果、风险评价过程、风险等级、控制措施</w:t>
            </w:r>
            <w:r>
              <w:rPr>
                <w:rFonts w:hint="eastAsia" w:ascii="宋体" w:hAnsi="宋体" w:eastAsia="宋体" w:cs="Times New Roman"/>
                <w:sz w:val="18"/>
                <w:lang w:val="en-US" w:eastAsia="zh-CN"/>
              </w:rPr>
              <w:t>等</w:t>
            </w:r>
            <w:r>
              <w:rPr>
                <w:rFonts w:hint="eastAsia" w:ascii="宋体" w:hAnsi="宋体" w:eastAsia="宋体" w:cs="Times New Roman"/>
                <w:sz w:val="18"/>
                <w:lang w:eastAsia="zh-CN"/>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5538B285">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43A18F5">
            <w:pPr>
              <w:widowControl/>
              <w:adjustRightInd w:val="0"/>
              <w:snapToGrid w:val="0"/>
              <w:jc w:val="center"/>
              <w:rPr>
                <w:rFonts w:hint="eastAsia"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C434248">
            <w:pPr>
              <w:widowControl/>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lang w:val="en-US" w:eastAsia="zh-CN"/>
              </w:rPr>
              <w:t>1</w:t>
            </w:r>
            <w:r>
              <w:rPr>
                <w:rFonts w:hint="eastAsia" w:ascii="宋体" w:hAnsi="宋体"/>
                <w:sz w:val="18"/>
              </w:rPr>
              <w:t>0</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25E7D6B5">
            <w:pPr>
              <w:adjustRightInd w:val="0"/>
              <w:snapToGrid w:val="0"/>
              <w:jc w:val="left"/>
              <w:rPr>
                <w:rFonts w:hint="eastAsia" w:ascii="宋体" w:hAnsi="宋体"/>
                <w:sz w:val="18"/>
                <w:szCs w:val="18"/>
              </w:rPr>
            </w:pPr>
            <w:r>
              <w:rPr>
                <w:rFonts w:ascii="宋体" w:hAnsi="宋体"/>
                <w:sz w:val="18"/>
                <w:szCs w:val="18"/>
              </w:rPr>
              <w:t>1</w:t>
            </w:r>
            <w:r>
              <w:rPr>
                <w:rFonts w:hint="eastAsia" w:ascii="宋体" w:hAnsi="宋体"/>
                <w:sz w:val="18"/>
                <w:szCs w:val="18"/>
              </w:rPr>
              <w:t>）</w:t>
            </w:r>
            <w:r>
              <w:rPr>
                <w:rFonts w:hint="eastAsia" w:ascii="宋体" w:hAnsi="宋体"/>
                <w:sz w:val="18"/>
                <w:szCs w:val="18"/>
                <w:lang w:val="en-US" w:eastAsia="zh-CN"/>
              </w:rPr>
              <w:t>未开展安全风险分级管控工作的，</w:t>
            </w:r>
            <w:r>
              <w:rPr>
                <w:rFonts w:ascii="宋体" w:hAnsi="宋体"/>
                <w:sz w:val="18"/>
                <w:szCs w:val="18"/>
              </w:rPr>
              <w:t>未建立</w:t>
            </w:r>
            <w:r>
              <w:rPr>
                <w:rFonts w:hint="eastAsia" w:ascii="宋体" w:hAnsi="宋体"/>
                <w:sz w:val="18"/>
                <w:szCs w:val="18"/>
                <w:lang w:val="en-US" w:eastAsia="zh-CN"/>
              </w:rPr>
              <w:t>安全风险管控</w:t>
            </w:r>
            <w:r>
              <w:rPr>
                <w:rFonts w:ascii="宋体" w:hAnsi="宋体"/>
                <w:sz w:val="18"/>
                <w:szCs w:val="18"/>
              </w:rPr>
              <w:t>清单的，</w:t>
            </w:r>
            <w:r>
              <w:rPr>
                <w:rFonts w:hint="eastAsia" w:ascii="宋体" w:hAnsi="宋体"/>
                <w:sz w:val="18"/>
                <w:szCs w:val="18"/>
                <w:lang w:eastAsia="zh-CN"/>
              </w:rPr>
              <w:t>“</w:t>
            </w:r>
            <w:r>
              <w:rPr>
                <w:rFonts w:hint="eastAsia" w:ascii="宋体" w:hAnsi="宋体"/>
                <w:sz w:val="18"/>
                <w:szCs w:val="18"/>
              </w:rPr>
              <w:t>安全风险分级管控</w:t>
            </w:r>
            <w:r>
              <w:rPr>
                <w:rFonts w:hint="eastAsia" w:ascii="宋体" w:hAnsi="宋体"/>
                <w:sz w:val="18"/>
                <w:szCs w:val="18"/>
                <w:lang w:eastAsia="zh-CN"/>
              </w:rPr>
              <w:t>”</w:t>
            </w:r>
            <w:r>
              <w:rPr>
                <w:rFonts w:hint="eastAsia" w:ascii="宋体" w:hAnsi="宋体"/>
                <w:sz w:val="18"/>
                <w:szCs w:val="18"/>
                <w:lang w:val="en-US" w:eastAsia="zh-CN"/>
              </w:rPr>
              <w:t>要素</w:t>
            </w:r>
            <w:r>
              <w:rPr>
                <w:rFonts w:hint="eastAsia" w:ascii="宋体" w:hAnsi="宋体"/>
                <w:sz w:val="18"/>
                <w:szCs w:val="18"/>
              </w:rPr>
              <w:t>不得分</w:t>
            </w:r>
            <w:r>
              <w:rPr>
                <w:rFonts w:ascii="宋体" w:hAnsi="宋体"/>
                <w:sz w:val="18"/>
                <w:szCs w:val="18"/>
              </w:rPr>
              <w:t>；</w:t>
            </w:r>
          </w:p>
          <w:p w14:paraId="505E8A7B">
            <w:pPr>
              <w:adjustRightInd w:val="0"/>
              <w:snapToGrid w:val="0"/>
              <w:jc w:val="left"/>
              <w:rPr>
                <w:rFonts w:hint="eastAsia" w:ascii="宋体" w:hAnsi="宋体"/>
                <w:sz w:val="18"/>
                <w:szCs w:val="18"/>
                <w:lang w:eastAsia="zh-CN"/>
              </w:rPr>
            </w:pPr>
            <w:r>
              <w:rPr>
                <w:rFonts w:hint="eastAsia" w:ascii="宋体" w:hAnsi="宋体"/>
                <w:sz w:val="18"/>
                <w:szCs w:val="18"/>
              </w:rPr>
              <w:t>2）</w:t>
            </w:r>
            <w:r>
              <w:rPr>
                <w:rFonts w:hint="eastAsia" w:ascii="宋体" w:hAnsi="宋体"/>
                <w:sz w:val="18"/>
                <w:szCs w:val="18"/>
                <w:lang w:val="en-US" w:eastAsia="zh-CN"/>
              </w:rPr>
              <w:t>安全风险</w:t>
            </w:r>
            <w:r>
              <w:rPr>
                <w:rFonts w:ascii="宋体" w:hAnsi="宋体"/>
                <w:sz w:val="18"/>
                <w:szCs w:val="18"/>
              </w:rPr>
              <w:t>辨识不全的，缺一</w:t>
            </w:r>
            <w:r>
              <w:rPr>
                <w:rFonts w:hint="eastAsia" w:ascii="宋体" w:hAnsi="宋体"/>
                <w:sz w:val="18"/>
                <w:szCs w:val="18"/>
              </w:rPr>
              <w:t>处</w:t>
            </w:r>
            <w:r>
              <w:rPr>
                <w:rFonts w:ascii="宋体" w:hAnsi="宋体"/>
                <w:sz w:val="18"/>
                <w:szCs w:val="18"/>
              </w:rPr>
              <w:t>扣</w:t>
            </w:r>
            <w:r>
              <w:rPr>
                <w:rFonts w:hint="eastAsia" w:ascii="宋体" w:hAnsi="宋体"/>
                <w:sz w:val="18"/>
                <w:szCs w:val="18"/>
                <w:lang w:val="en-US" w:eastAsia="zh-CN"/>
              </w:rPr>
              <w:t>3</w:t>
            </w:r>
            <w:r>
              <w:rPr>
                <w:rFonts w:hint="eastAsia" w:ascii="宋体" w:hAnsi="宋体"/>
                <w:sz w:val="18"/>
                <w:szCs w:val="18"/>
              </w:rPr>
              <w:t>分</w:t>
            </w:r>
            <w:r>
              <w:rPr>
                <w:rFonts w:hint="eastAsia" w:ascii="宋体" w:hAnsi="宋体"/>
                <w:sz w:val="18"/>
                <w:szCs w:val="18"/>
                <w:lang w:eastAsia="zh-CN"/>
              </w:rPr>
              <w:t>；</w:t>
            </w:r>
          </w:p>
          <w:p w14:paraId="4BF2DE74">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3）安全风险管控清单要素不全的，缺一项扣2分。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7812592E">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1F9B0DB0">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293D2CC8">
            <w:pPr>
              <w:widowControl/>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4.</w:t>
            </w:r>
            <w:r>
              <w:rPr>
                <w:rFonts w:hint="eastAsia" w:ascii="宋体" w:hAnsi="宋体"/>
                <w:bCs/>
                <w:sz w:val="18"/>
                <w:szCs w:val="18"/>
                <w:lang w:val="en-US" w:eastAsia="zh-CN"/>
              </w:rPr>
              <w:t>1.2.2</w:t>
            </w:r>
          </w:p>
        </w:tc>
      </w:tr>
      <w:tr w14:paraId="20026D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1CF77D25">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r>
              <w:rPr>
                <w:rFonts w:hint="eastAsia" w:ascii="宋体" w:hAnsi="宋体"/>
                <w:sz w:val="18"/>
                <w:lang w:val="en-US" w:eastAsia="zh-CN"/>
              </w:rPr>
              <w:t>2</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110D8C8C">
            <w:pPr>
              <w:widowControl/>
              <w:adjustRightInd w:val="0"/>
              <w:snapToGrid w:val="0"/>
              <w:jc w:val="left"/>
              <w:rPr>
                <w:rFonts w:hint="eastAsia" w:ascii="宋体" w:hAnsi="宋体" w:eastAsia="宋体" w:cs="Times New Roman"/>
                <w:sz w:val="18"/>
                <w:lang w:val="en-US" w:eastAsia="zh-CN"/>
              </w:rPr>
            </w:pPr>
            <w:r>
              <w:rPr>
                <w:rFonts w:hint="eastAsia" w:ascii="宋体" w:hAnsi="宋体" w:eastAsia="宋体" w:cs="Times New Roman"/>
                <w:sz w:val="18"/>
                <w:lang w:val="en-US" w:eastAsia="zh-CN"/>
              </w:rPr>
              <w:t>安全风险评价应符合下列要求：</w:t>
            </w:r>
          </w:p>
          <w:p w14:paraId="51981B9B">
            <w:pPr>
              <w:widowControl/>
              <w:numPr>
                <w:ilvl w:val="0"/>
                <w:numId w:val="47"/>
              </w:numPr>
              <w:adjustRightInd w:val="0"/>
              <w:snapToGrid w:val="0"/>
              <w:jc w:val="left"/>
              <w:rPr>
                <w:rFonts w:hint="eastAsia" w:ascii="宋体" w:hAnsi="宋体" w:eastAsia="宋体" w:cs="Times New Roman"/>
                <w:sz w:val="18"/>
                <w:lang w:eastAsia="zh-CN"/>
              </w:rPr>
            </w:pPr>
            <w:r>
              <w:rPr>
                <w:rFonts w:hint="eastAsia" w:ascii="宋体" w:hAnsi="宋体" w:cs="Times New Roman"/>
                <w:sz w:val="18"/>
                <w:lang w:val="en-US" w:eastAsia="zh-CN"/>
              </w:rPr>
              <w:t>应</w:t>
            </w:r>
            <w:r>
              <w:rPr>
                <w:rFonts w:hint="eastAsia" w:ascii="宋体" w:hAnsi="宋体" w:eastAsia="宋体" w:cs="Times New Roman"/>
                <w:sz w:val="18"/>
                <w:lang w:val="en-US" w:eastAsia="zh-CN"/>
              </w:rPr>
              <w:t>选择适用的风险评价方法，对所有安全风险</w:t>
            </w:r>
            <w:r>
              <w:rPr>
                <w:rFonts w:hint="eastAsia" w:ascii="宋体" w:hAnsi="宋体" w:eastAsia="宋体" w:cs="Times New Roman"/>
                <w:sz w:val="18"/>
              </w:rPr>
              <w:t>开展安全风险</w:t>
            </w:r>
            <w:r>
              <w:rPr>
                <w:rFonts w:hint="eastAsia" w:ascii="宋体" w:hAnsi="宋体" w:eastAsia="宋体" w:cs="Times New Roman"/>
                <w:sz w:val="18"/>
                <w:lang w:val="en-US" w:eastAsia="zh-CN"/>
              </w:rPr>
              <w:t>评价</w:t>
            </w:r>
            <w:r>
              <w:rPr>
                <w:rFonts w:hint="eastAsia" w:ascii="宋体" w:hAnsi="宋体" w:eastAsia="宋体" w:cs="Times New Roman"/>
                <w:sz w:val="18"/>
              </w:rPr>
              <w:t>，确定安全风险等级</w:t>
            </w:r>
            <w:r>
              <w:rPr>
                <w:rFonts w:hint="eastAsia" w:ascii="宋体" w:hAnsi="宋体" w:eastAsia="宋体" w:cs="Times New Roman"/>
                <w:sz w:val="18"/>
                <w:lang w:eastAsia="zh-CN"/>
              </w:rPr>
              <w:t>；</w:t>
            </w:r>
          </w:p>
          <w:p w14:paraId="2FA74226">
            <w:pPr>
              <w:widowControl/>
              <w:numPr>
                <w:ilvl w:val="0"/>
                <w:numId w:val="47"/>
              </w:numPr>
              <w:adjustRightInd w:val="0"/>
              <w:snapToGrid w:val="0"/>
              <w:jc w:val="left"/>
              <w:rPr>
                <w:rFonts w:hint="eastAsia" w:ascii="宋体" w:hAnsi="宋体" w:eastAsia="宋体" w:cs="Times New Roman"/>
                <w:kern w:val="2"/>
                <w:sz w:val="18"/>
                <w:szCs w:val="24"/>
                <w:lang w:val="en-US" w:eastAsia="zh-CN" w:bidi="ar-SA"/>
              </w:rPr>
            </w:pPr>
            <w:r>
              <w:rPr>
                <w:rFonts w:hint="eastAsia" w:ascii="宋体" w:hAnsi="宋体" w:eastAsia="宋体" w:cs="Times New Roman"/>
                <w:sz w:val="18"/>
                <w:highlight w:val="none"/>
              </w:rPr>
              <w:t>安全风险等级</w:t>
            </w:r>
            <w:r>
              <w:rPr>
                <w:rFonts w:hint="eastAsia" w:ascii="宋体" w:hAnsi="宋体" w:eastAsia="宋体" w:cs="Times New Roman"/>
                <w:sz w:val="18"/>
                <w:highlight w:val="none"/>
                <w:lang w:eastAsia="zh-CN"/>
              </w:rPr>
              <w:t>按照从高到低划分为重大、较大、一般和低，分别用“红、橙、黄、蓝”四种颜色标示</w:t>
            </w:r>
            <w:r>
              <w:rPr>
                <w:rFonts w:hint="eastAsia" w:ascii="宋体" w:hAnsi="宋体" w:eastAsia="宋体" w:cs="Times New Roman"/>
                <w:sz w:val="18"/>
                <w:lang w:eastAsia="zh-CN"/>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0E50C447">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D6EF4A1">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3FD5E03">
            <w:pPr>
              <w:widowControl/>
              <w:adjustRightInd w:val="0"/>
              <w:snapToGrid w:val="0"/>
              <w:jc w:val="center"/>
              <w:rPr>
                <w:rFonts w:hint="default" w:ascii="宋体" w:hAnsi="宋体" w:eastAsia="宋体" w:cs="Times New Roman"/>
                <w:kern w:val="2"/>
                <w:sz w:val="18"/>
                <w:szCs w:val="24"/>
                <w:lang w:val="en-US" w:eastAsia="zh-CN" w:bidi="ar-SA"/>
              </w:rPr>
            </w:pPr>
            <w:r>
              <w:rPr>
                <w:rFonts w:hint="eastAsia" w:ascii="宋体" w:hAnsi="宋体"/>
                <w:sz w:val="18"/>
                <w:lang w:val="en-US" w:eastAsia="zh-CN"/>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5DC129A">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1）安全风险评价方法不适用的，不得分；</w:t>
            </w:r>
          </w:p>
          <w:p w14:paraId="7752CFE6">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2）安全风险等级与实际不符合的，一处扣2分。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583CD1FA">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4EE2AEE1">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6FF6F786">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1.2.3</w:t>
            </w:r>
          </w:p>
        </w:tc>
      </w:tr>
      <w:tr w14:paraId="5419BB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05EA9A30">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r>
              <w:rPr>
                <w:rFonts w:hint="eastAsia" w:ascii="宋体" w:hAnsi="宋体"/>
                <w:sz w:val="18"/>
                <w:lang w:val="en-US" w:eastAsia="zh-CN"/>
              </w:rPr>
              <w:t>3</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1CD0AF64">
            <w:pPr>
              <w:widowControl/>
              <w:adjustRightInd w:val="0"/>
              <w:snapToGrid w:val="0"/>
              <w:jc w:val="left"/>
              <w:rPr>
                <w:rFonts w:hint="eastAsia" w:ascii="宋体" w:hAnsi="宋体" w:eastAsia="宋体" w:cs="Times New Roman"/>
                <w:sz w:val="18"/>
                <w:lang w:val="en-US" w:eastAsia="zh-CN"/>
              </w:rPr>
            </w:pPr>
            <w:r>
              <w:rPr>
                <w:rFonts w:hint="eastAsia" w:ascii="宋体" w:hAnsi="宋体" w:eastAsia="宋体" w:cs="Times New Roman"/>
                <w:sz w:val="18"/>
                <w:lang w:val="en-US" w:eastAsia="zh-CN"/>
              </w:rPr>
              <w:t>安全风险管控应符合下列要求：</w:t>
            </w:r>
          </w:p>
          <w:p w14:paraId="36ADE5A8">
            <w:pPr>
              <w:widowControl/>
              <w:numPr>
                <w:ilvl w:val="0"/>
                <w:numId w:val="48"/>
              </w:numPr>
              <w:adjustRightInd w:val="0"/>
              <w:snapToGrid w:val="0"/>
              <w:jc w:val="left"/>
              <w:rPr>
                <w:rFonts w:hint="eastAsia" w:ascii="宋体" w:hAnsi="宋体" w:eastAsia="宋体" w:cs="Times New Roman"/>
                <w:sz w:val="18"/>
                <w:lang w:eastAsia="zh-CN"/>
              </w:rPr>
            </w:pPr>
            <w:r>
              <w:rPr>
                <w:rFonts w:hint="eastAsia" w:ascii="宋体" w:hAnsi="宋体" w:eastAsia="宋体" w:cs="Times New Roman"/>
                <w:sz w:val="18"/>
                <w:lang w:val="en-US" w:eastAsia="zh-CN"/>
              </w:rPr>
              <w:t>应采取管理、工程技术、应急等安全风险管控措施</w:t>
            </w:r>
            <w:r>
              <w:rPr>
                <w:rFonts w:hint="eastAsia" w:ascii="宋体" w:hAnsi="宋体" w:eastAsia="宋体" w:cs="Times New Roman"/>
                <w:sz w:val="18"/>
                <w:lang w:eastAsia="zh-CN"/>
              </w:rPr>
              <w:t>；</w:t>
            </w:r>
          </w:p>
          <w:p w14:paraId="53AF93F5">
            <w:pPr>
              <w:widowControl/>
              <w:numPr>
                <w:ilvl w:val="0"/>
                <w:numId w:val="48"/>
              </w:numPr>
              <w:adjustRightInd w:val="0"/>
              <w:snapToGrid w:val="0"/>
              <w:jc w:val="left"/>
              <w:rPr>
                <w:rFonts w:hint="eastAsia" w:ascii="宋体" w:hAnsi="宋体" w:eastAsia="宋体" w:cs="Times New Roman"/>
                <w:kern w:val="2"/>
                <w:sz w:val="18"/>
                <w:szCs w:val="24"/>
                <w:lang w:val="en-US" w:eastAsia="zh-CN" w:bidi="ar-SA"/>
              </w:rPr>
            </w:pPr>
            <w:r>
              <w:rPr>
                <w:rFonts w:hint="eastAsia" w:ascii="宋体" w:hAnsi="宋体" w:eastAsia="宋体" w:cs="Times New Roman"/>
                <w:sz w:val="18"/>
                <w:lang w:val="en-US" w:eastAsia="zh-CN"/>
              </w:rPr>
              <w:t>制定并落实分级管控的原则和方法。</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7DEAB45">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9FBC814">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7CF2566">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35B2AED">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1）安全风险管控措施不全的，一处扣2分；</w:t>
            </w:r>
          </w:p>
          <w:p w14:paraId="4B59E0CD">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2）未制定、落实</w:t>
            </w:r>
            <w:r>
              <w:rPr>
                <w:rFonts w:hint="eastAsia" w:ascii="宋体" w:hAnsi="宋体" w:eastAsia="宋体" w:cs="Times New Roman"/>
                <w:sz w:val="18"/>
                <w:lang w:val="en-US" w:eastAsia="zh-CN"/>
              </w:rPr>
              <w:t>分级管控的原则和方法</w:t>
            </w:r>
            <w:r>
              <w:rPr>
                <w:rFonts w:hint="eastAsia" w:ascii="宋体" w:hAnsi="宋体"/>
                <w:sz w:val="18"/>
                <w:szCs w:val="18"/>
                <w:lang w:val="en-US" w:eastAsia="zh-CN"/>
              </w:rPr>
              <w:t>，扣3分。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44699C0B">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501E1637">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1BF175B">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1.2.4</w:t>
            </w:r>
          </w:p>
        </w:tc>
      </w:tr>
      <w:tr w14:paraId="3A74C5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444147C5">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r>
              <w:rPr>
                <w:rFonts w:hint="eastAsia" w:ascii="宋体" w:hAnsi="宋体"/>
                <w:sz w:val="18"/>
                <w:lang w:val="en-US" w:eastAsia="zh-CN"/>
              </w:rPr>
              <w:t>4</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662510FE">
            <w:pPr>
              <w:widowControl/>
              <w:numPr>
                <w:ilvl w:val="0"/>
                <w:numId w:val="0"/>
              </w:numPr>
              <w:adjustRightInd w:val="0"/>
              <w:snapToGrid w:val="0"/>
              <w:jc w:val="left"/>
              <w:rPr>
                <w:rFonts w:hint="eastAsia" w:ascii="宋体" w:hAnsi="宋体" w:eastAsia="宋体" w:cs="Times New Roman"/>
                <w:sz w:val="18"/>
                <w:lang w:val="en-US" w:eastAsia="zh-CN"/>
              </w:rPr>
            </w:pPr>
            <w:r>
              <w:rPr>
                <w:rFonts w:hint="eastAsia" w:ascii="宋体" w:hAnsi="宋体" w:eastAsia="宋体" w:cs="Times New Roman"/>
                <w:sz w:val="18"/>
                <w:lang w:val="en-US" w:eastAsia="zh-CN"/>
              </w:rPr>
              <w:t>依据安全风险等级情况，在平面分布图中用“红、橙、黄、蓝”四种颜色进行标示，绘制安全风险四色分布图。</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337D35F2">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FAC2959">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6B3F090">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3</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3E43194">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1）未</w:t>
            </w:r>
            <w:r>
              <w:rPr>
                <w:rFonts w:hint="eastAsia" w:ascii="宋体" w:hAnsi="宋体" w:eastAsia="宋体" w:cs="Times New Roman"/>
                <w:sz w:val="18"/>
                <w:lang w:val="en-US" w:eastAsia="zh-CN"/>
              </w:rPr>
              <w:t>绘制安全风险四色分布图</w:t>
            </w:r>
            <w:r>
              <w:rPr>
                <w:rFonts w:hint="eastAsia" w:ascii="宋体" w:hAnsi="宋体" w:cs="Times New Roman"/>
                <w:sz w:val="18"/>
                <w:lang w:val="en-US" w:eastAsia="zh-CN"/>
              </w:rPr>
              <w:t>的</w:t>
            </w:r>
            <w:r>
              <w:rPr>
                <w:rFonts w:hint="eastAsia" w:ascii="宋体" w:hAnsi="宋体"/>
                <w:sz w:val="18"/>
                <w:szCs w:val="18"/>
                <w:lang w:val="en-US" w:eastAsia="zh-CN"/>
              </w:rPr>
              <w:t>，不得分；</w:t>
            </w:r>
          </w:p>
          <w:p w14:paraId="373A41B4">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w:t>
            </w:r>
            <w:r>
              <w:rPr>
                <w:rFonts w:hint="eastAsia" w:ascii="宋体" w:hAnsi="宋体" w:eastAsia="宋体" w:cs="Times New Roman"/>
                <w:sz w:val="18"/>
                <w:lang w:val="en-US" w:eastAsia="zh-CN"/>
              </w:rPr>
              <w:t>安全风险四色分布图</w:t>
            </w:r>
            <w:r>
              <w:rPr>
                <w:rFonts w:hint="eastAsia" w:ascii="宋体" w:hAnsi="宋体" w:cs="Times New Roman"/>
                <w:sz w:val="18"/>
                <w:lang w:val="en-US" w:eastAsia="zh-CN"/>
              </w:rPr>
              <w:t>不符合的</w:t>
            </w:r>
            <w:r>
              <w:rPr>
                <w:rFonts w:hint="eastAsia" w:ascii="宋体" w:hAnsi="宋体"/>
                <w:sz w:val="18"/>
                <w:szCs w:val="18"/>
                <w:lang w:val="en-US" w:eastAsia="zh-CN"/>
              </w:rPr>
              <w:t>，扣2分。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1BE59193">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1CA42C3E">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6B72AAF4">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1.2.5</w:t>
            </w:r>
          </w:p>
        </w:tc>
      </w:tr>
      <w:tr w14:paraId="4446DC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3D57B55">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r>
              <w:rPr>
                <w:rFonts w:hint="eastAsia" w:ascii="宋体" w:hAnsi="宋体"/>
                <w:sz w:val="18"/>
                <w:lang w:val="en-US" w:eastAsia="zh-CN"/>
              </w:rPr>
              <w:t>5</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04CA678D">
            <w:pPr>
              <w:widowControl/>
              <w:numPr>
                <w:ilvl w:val="-1"/>
                <w:numId w:val="0"/>
              </w:numPr>
              <w:adjustRightInd w:val="0"/>
              <w:snapToGrid w:val="0"/>
              <w:jc w:val="left"/>
              <w:rPr>
                <w:rFonts w:hint="eastAsia" w:ascii="宋体" w:hAnsi="宋体" w:eastAsia="宋体" w:cs="Times New Roman"/>
                <w:sz w:val="18"/>
                <w:lang w:val="en-US" w:eastAsia="zh-CN"/>
              </w:rPr>
            </w:pPr>
            <w:r>
              <w:rPr>
                <w:rFonts w:hint="eastAsia" w:ascii="宋体" w:hAnsi="宋体" w:cs="Times New Roman"/>
                <w:sz w:val="18"/>
                <w:szCs w:val="18"/>
                <w:lang w:val="en-US" w:eastAsia="zh-CN"/>
              </w:rPr>
              <w:t>应</w:t>
            </w:r>
            <w:r>
              <w:rPr>
                <w:rFonts w:hint="eastAsia" w:ascii="宋体" w:hAnsi="宋体" w:eastAsia="宋体" w:cs="Times New Roman"/>
                <w:sz w:val="18"/>
                <w:szCs w:val="18"/>
                <w:lang w:val="en-US" w:eastAsia="zh-CN"/>
              </w:rPr>
              <w:t>确定</w:t>
            </w:r>
            <w:r>
              <w:rPr>
                <w:rFonts w:hint="eastAsia" w:ascii="宋体" w:hAnsi="宋体" w:eastAsia="宋体" w:cs="Times New Roman"/>
                <w:sz w:val="18"/>
                <w:lang w:val="en-US" w:eastAsia="zh-CN"/>
              </w:rPr>
              <w:t>安全风险公告方式，可通过告知卡、公告栏、二维码、手册等方式，告知从业人员安全风险基本情况和防范措施</w:t>
            </w:r>
            <w:r>
              <w:rPr>
                <w:rFonts w:hint="eastAsia" w:ascii="宋体" w:hAnsi="宋体" w:cs="Times New Roman"/>
                <w:sz w:val="18"/>
                <w:lang w:val="en-US" w:eastAsia="zh-CN"/>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B5D2F49">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0280450">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3B5E1E7">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4</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1BFB4B5">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1）未建立安全风险公告的，不得分；</w:t>
            </w:r>
          </w:p>
          <w:p w14:paraId="5A9F918A">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2）其他一处不符合扣2分。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3A2A70B8">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416E7D44">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5CACE93C">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1.2.6</w:t>
            </w:r>
          </w:p>
        </w:tc>
      </w:tr>
      <w:tr w14:paraId="0A274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4FDFEFB">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1.7.</w:t>
            </w:r>
            <w:r>
              <w:rPr>
                <w:rFonts w:hint="eastAsia" w:ascii="宋体" w:hAnsi="宋体"/>
                <w:sz w:val="18"/>
                <w:lang w:val="en-US" w:eastAsia="zh-CN"/>
              </w:rPr>
              <w:t>6</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059F6BFA">
            <w:pPr>
              <w:widowControl/>
              <w:numPr>
                <w:ilvl w:val="0"/>
                <w:numId w:val="0"/>
              </w:numPr>
              <w:adjustRightInd w:val="0"/>
              <w:snapToGrid w:val="0"/>
              <w:jc w:val="left"/>
              <w:rPr>
                <w:rFonts w:hint="eastAsia" w:ascii="宋体" w:hAnsi="宋体"/>
                <w:sz w:val="18"/>
                <w:lang w:val="en-US" w:eastAsia="zh-CN"/>
              </w:rPr>
            </w:pPr>
            <w:r>
              <w:rPr>
                <w:rFonts w:hint="eastAsia" w:ascii="宋体" w:hAnsi="宋体"/>
                <w:sz w:val="18"/>
                <w:lang w:val="en-US" w:eastAsia="zh-CN"/>
              </w:rPr>
              <w:t>应开展安全风险动态更新工作，每季度至少更新一次，发生如下变动时应及时更新：</w:t>
            </w:r>
          </w:p>
          <w:p w14:paraId="4963583E">
            <w:pPr>
              <w:widowControl/>
              <w:numPr>
                <w:ilvl w:val="0"/>
                <w:numId w:val="49"/>
              </w:numPr>
              <w:adjustRightInd w:val="0"/>
              <w:snapToGrid w:val="0"/>
              <w:jc w:val="left"/>
              <w:rPr>
                <w:rFonts w:hint="eastAsia" w:ascii="宋体" w:hAnsi="宋体"/>
                <w:sz w:val="18"/>
                <w:lang w:val="en-US" w:eastAsia="zh-CN"/>
              </w:rPr>
            </w:pPr>
            <w:r>
              <w:rPr>
                <w:rFonts w:hint="eastAsia" w:ascii="宋体" w:hAnsi="宋体"/>
                <w:sz w:val="18"/>
                <w:lang w:val="en-US" w:eastAsia="zh-CN"/>
              </w:rPr>
              <w:t>有关法律、法规、规章、标准发生变更；</w:t>
            </w:r>
          </w:p>
          <w:p w14:paraId="185E5AB3">
            <w:pPr>
              <w:widowControl/>
              <w:numPr>
                <w:ilvl w:val="0"/>
                <w:numId w:val="49"/>
              </w:numPr>
              <w:adjustRightInd w:val="0"/>
              <w:snapToGrid w:val="0"/>
              <w:jc w:val="left"/>
              <w:rPr>
                <w:rFonts w:hint="eastAsia" w:ascii="宋体" w:hAnsi="宋体"/>
                <w:sz w:val="18"/>
                <w:lang w:val="en-US" w:eastAsia="zh-CN"/>
              </w:rPr>
            </w:pPr>
            <w:r>
              <w:rPr>
                <w:rFonts w:hint="eastAsia" w:ascii="宋体" w:hAnsi="宋体"/>
                <w:sz w:val="18"/>
                <w:lang w:val="en-US" w:eastAsia="zh-CN"/>
              </w:rPr>
              <w:t>周围环境发生变更；</w:t>
            </w:r>
          </w:p>
          <w:p w14:paraId="6AEB5AA8">
            <w:pPr>
              <w:widowControl/>
              <w:numPr>
                <w:ilvl w:val="0"/>
                <w:numId w:val="49"/>
              </w:numPr>
              <w:adjustRightInd w:val="0"/>
              <w:snapToGrid w:val="0"/>
              <w:jc w:val="left"/>
              <w:rPr>
                <w:rFonts w:hint="eastAsia" w:ascii="宋体" w:hAnsi="宋体"/>
                <w:sz w:val="18"/>
                <w:lang w:val="en-US" w:eastAsia="zh-CN"/>
              </w:rPr>
            </w:pPr>
            <w:r>
              <w:rPr>
                <w:rFonts w:hint="eastAsia" w:ascii="宋体" w:hAnsi="宋体"/>
                <w:sz w:val="18"/>
                <w:lang w:val="en-US" w:eastAsia="zh-CN"/>
              </w:rPr>
              <w:t>设备设施发生变更；</w:t>
            </w:r>
          </w:p>
          <w:p w14:paraId="6DB9D198">
            <w:pPr>
              <w:widowControl/>
              <w:numPr>
                <w:ilvl w:val="0"/>
                <w:numId w:val="49"/>
              </w:numPr>
              <w:adjustRightInd w:val="0"/>
              <w:snapToGrid w:val="0"/>
              <w:jc w:val="left"/>
              <w:rPr>
                <w:rFonts w:hint="eastAsia" w:ascii="宋体" w:hAnsi="宋体" w:eastAsia="宋体" w:cs="Times New Roman"/>
                <w:kern w:val="2"/>
                <w:sz w:val="18"/>
                <w:szCs w:val="24"/>
                <w:lang w:val="en-US" w:eastAsia="zh-CN" w:bidi="ar-SA"/>
              </w:rPr>
            </w:pPr>
            <w:r>
              <w:rPr>
                <w:rFonts w:hint="eastAsia" w:ascii="宋体" w:hAnsi="宋体"/>
                <w:sz w:val="18"/>
                <w:lang w:val="en-US" w:eastAsia="zh-CN"/>
              </w:rPr>
              <w:t>相关行业或本景区发生生产安全事故；</w:t>
            </w:r>
          </w:p>
          <w:p w14:paraId="656B0630">
            <w:pPr>
              <w:widowControl/>
              <w:numPr>
                <w:ilvl w:val="0"/>
                <w:numId w:val="49"/>
              </w:numPr>
              <w:adjustRightInd w:val="0"/>
              <w:snapToGrid w:val="0"/>
              <w:jc w:val="left"/>
              <w:rPr>
                <w:rFonts w:hint="eastAsia" w:ascii="宋体" w:hAnsi="宋体"/>
                <w:sz w:val="18"/>
                <w:lang w:val="en-US" w:eastAsia="zh-CN"/>
              </w:rPr>
            </w:pPr>
            <w:r>
              <w:rPr>
                <w:rFonts w:hint="eastAsia" w:ascii="宋体" w:hAnsi="宋体"/>
                <w:sz w:val="18"/>
                <w:lang w:val="en-US" w:eastAsia="zh-CN"/>
              </w:rPr>
              <w:t>长时间停业再开业；</w:t>
            </w:r>
          </w:p>
          <w:p w14:paraId="4480CC74">
            <w:pPr>
              <w:widowControl/>
              <w:numPr>
                <w:ilvl w:val="0"/>
                <w:numId w:val="49"/>
              </w:numPr>
              <w:adjustRightInd w:val="0"/>
              <w:snapToGrid w:val="0"/>
              <w:jc w:val="left"/>
              <w:rPr>
                <w:rFonts w:hint="eastAsia" w:ascii="宋体" w:hAnsi="宋体" w:eastAsia="宋体" w:cs="Times New Roman"/>
                <w:kern w:val="2"/>
                <w:sz w:val="18"/>
                <w:szCs w:val="24"/>
                <w:lang w:val="en-US" w:eastAsia="zh-CN" w:bidi="ar-SA"/>
              </w:rPr>
            </w:pPr>
            <w:r>
              <w:rPr>
                <w:rFonts w:hint="eastAsia" w:ascii="宋体" w:hAnsi="宋体"/>
                <w:sz w:val="18"/>
                <w:lang w:val="en-US" w:eastAsia="zh-CN"/>
              </w:rPr>
              <w:t>其他应开展动态更新的情况。</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B8ABBE9">
            <w:pPr>
              <w:widowControl/>
              <w:adjustRightInd w:val="0"/>
              <w:snapToGrid w:val="0"/>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583729CF">
            <w:pPr>
              <w:widowControl/>
              <w:adjustRightInd w:val="0"/>
              <w:snapToGrid w:val="0"/>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73246EE4">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3</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DAD42DC">
            <w:pPr>
              <w:adjustRightInd w:val="0"/>
              <w:snapToGrid w:val="0"/>
              <w:jc w:val="left"/>
              <w:rPr>
                <w:rFonts w:hint="default" w:ascii="宋体" w:hAnsi="宋体" w:eastAsia="宋体" w:cs="Times New Roman"/>
                <w:kern w:val="2"/>
                <w:sz w:val="18"/>
                <w:szCs w:val="18"/>
                <w:lang w:val="en-US" w:eastAsia="zh-CN" w:bidi="ar-SA"/>
              </w:rPr>
            </w:pPr>
            <w:r>
              <w:rPr>
                <w:rFonts w:hint="eastAsia" w:ascii="宋体" w:hAnsi="宋体"/>
                <w:sz w:val="18"/>
                <w:szCs w:val="18"/>
                <w:lang w:val="en-US" w:eastAsia="zh-CN"/>
              </w:rPr>
              <w:t>未按时开展安全风险动态更新工作的，不得分。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0F3AA2FE">
            <w:pPr>
              <w:widowControl/>
              <w:adjustRightInd w:val="0"/>
              <w:snapToGrid w:val="0"/>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0E273D52">
            <w:pPr>
              <w:widowControl/>
              <w:adjustRightInd w:val="0"/>
              <w:snapToGrid w:val="0"/>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0E6E687A">
            <w:pPr>
              <w:widowControl/>
              <w:adjustRightInd w:val="0"/>
              <w:snapToGrid w:val="0"/>
              <w:jc w:val="center"/>
              <w:rPr>
                <w:rFonts w:hint="default" w:ascii="宋体" w:hAnsi="宋体" w:eastAsia="宋体" w:cs="Times New Roman"/>
                <w:kern w:val="2"/>
                <w:sz w:val="18"/>
                <w:szCs w:val="24"/>
                <w:lang w:val="en-US" w:eastAsia="zh-CN" w:bidi="ar-SA"/>
              </w:rPr>
            </w:pPr>
            <w:r>
              <w:rPr>
                <w:rFonts w:hint="eastAsia" w:ascii="宋体" w:hAnsi="宋体"/>
                <w:bCs/>
                <w:sz w:val="18"/>
                <w:szCs w:val="18"/>
              </w:rPr>
              <w:t>4.</w:t>
            </w:r>
            <w:r>
              <w:rPr>
                <w:rFonts w:hint="eastAsia" w:ascii="宋体" w:hAnsi="宋体"/>
                <w:bCs/>
                <w:sz w:val="18"/>
                <w:szCs w:val="18"/>
                <w:lang w:val="en-US" w:eastAsia="zh-CN"/>
              </w:rPr>
              <w:t>1.2.7</w:t>
            </w:r>
          </w:p>
        </w:tc>
      </w:tr>
    </w:tbl>
    <w:p w14:paraId="743F1E98">
      <w:pPr>
        <w:spacing w:before="156" w:after="156"/>
        <w:rPr>
          <w:rFonts w:hint="eastAsia"/>
        </w:rPr>
      </w:pPr>
      <w:r>
        <w:rPr>
          <w:rFonts w:hint="eastAsia"/>
        </w:rPr>
        <w:br w:type="page"/>
      </w:r>
    </w:p>
    <w:p w14:paraId="75919B65">
      <w:pPr>
        <w:pStyle w:val="168"/>
        <w:numPr>
          <w:ilvl w:val="0"/>
          <w:numId w:val="0"/>
        </w:numPr>
        <w:spacing w:before="156" w:after="156"/>
      </w:pPr>
      <w:r>
        <w:rPr>
          <w:rFonts w:hint="eastAsia"/>
        </w:rPr>
        <w:t>表B.1 基础管理要求指标的安全生产等级评定细则</w:t>
      </w:r>
      <w:r>
        <w:rPr>
          <w:rFonts w:hint="eastAsia" w:ascii="宋体" w:hAnsi="宋体" w:eastAsia="宋体"/>
        </w:rPr>
        <w:t>（续）</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6003"/>
        <w:gridCol w:w="719"/>
        <w:gridCol w:w="725"/>
        <w:gridCol w:w="725"/>
        <w:gridCol w:w="3838"/>
        <w:gridCol w:w="749"/>
        <w:gridCol w:w="642"/>
        <w:gridCol w:w="1004"/>
      </w:tblGrid>
      <w:tr w14:paraId="184CC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07C2E735">
            <w:pPr>
              <w:widowControl/>
              <w:jc w:val="center"/>
              <w:rPr>
                <w:rFonts w:ascii="宋体" w:hAnsi="宋体"/>
                <w:bCs/>
                <w:sz w:val="18"/>
                <w:szCs w:val="18"/>
              </w:rPr>
            </w:pPr>
            <w:r>
              <w:rPr>
                <w:rFonts w:ascii="宋体" w:hAnsi="宋体"/>
                <w:bCs/>
                <w:sz w:val="18"/>
                <w:szCs w:val="18"/>
              </w:rPr>
              <w:t>序号</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00D8B548">
            <w:pPr>
              <w:widowControl/>
              <w:jc w:val="center"/>
              <w:rPr>
                <w:rFonts w:ascii="宋体" w:hAnsi="宋体"/>
                <w:bCs/>
                <w:sz w:val="18"/>
                <w:szCs w:val="18"/>
              </w:rPr>
            </w:pPr>
            <w:r>
              <w:rPr>
                <w:rFonts w:ascii="宋体" w:hAnsi="宋体"/>
                <w:bCs/>
                <w:sz w:val="18"/>
                <w:szCs w:val="18"/>
              </w:rPr>
              <w:t>评定内容</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74ED8454">
            <w:pPr>
              <w:widowControl/>
              <w:jc w:val="center"/>
              <w:rPr>
                <w:rFonts w:ascii="宋体" w:hAnsi="宋体"/>
                <w:bCs/>
                <w:sz w:val="18"/>
                <w:szCs w:val="18"/>
              </w:rPr>
            </w:pPr>
            <w:r>
              <w:rPr>
                <w:rFonts w:ascii="宋体" w:hAnsi="宋体"/>
                <w:bCs/>
                <w:sz w:val="18"/>
                <w:szCs w:val="18"/>
              </w:rPr>
              <w:t>评定要素分值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5F93439E">
            <w:pPr>
              <w:widowControl/>
              <w:jc w:val="center"/>
              <w:rPr>
                <w:rFonts w:ascii="宋体" w:hAnsi="宋体"/>
                <w:bCs/>
                <w:sz w:val="18"/>
                <w:szCs w:val="18"/>
              </w:rPr>
            </w:pPr>
            <w:r>
              <w:rPr>
                <w:rFonts w:ascii="宋体" w:hAnsi="宋体"/>
                <w:bCs/>
                <w:sz w:val="18"/>
                <w:szCs w:val="18"/>
              </w:rPr>
              <w:t>评定细项分值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51BCFADF">
            <w:pPr>
              <w:widowControl/>
              <w:jc w:val="center"/>
              <w:rPr>
                <w:rFonts w:ascii="宋体" w:hAnsi="宋体"/>
                <w:bCs/>
                <w:sz w:val="18"/>
                <w:szCs w:val="18"/>
              </w:rPr>
            </w:pPr>
            <w:r>
              <w:rPr>
                <w:rFonts w:ascii="宋体" w:hAnsi="宋体"/>
                <w:bCs/>
                <w:sz w:val="18"/>
                <w:szCs w:val="18"/>
              </w:rPr>
              <w:t>评定条款分值</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C37865D">
            <w:pPr>
              <w:widowControl/>
              <w:jc w:val="center"/>
              <w:rPr>
                <w:rFonts w:ascii="宋体" w:hAnsi="宋体"/>
                <w:bCs/>
                <w:sz w:val="18"/>
                <w:szCs w:val="18"/>
              </w:rPr>
            </w:pPr>
            <w:r>
              <w:rPr>
                <w:rFonts w:ascii="宋体" w:hAnsi="宋体"/>
                <w:bCs/>
                <w:sz w:val="18"/>
                <w:szCs w:val="18"/>
              </w:rPr>
              <w:t>评分标准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3CC9686E">
            <w:pPr>
              <w:widowControl/>
              <w:jc w:val="center"/>
              <w:rPr>
                <w:rFonts w:ascii="宋体" w:hAnsi="宋体"/>
                <w:bCs/>
                <w:sz w:val="18"/>
                <w:szCs w:val="18"/>
              </w:rPr>
            </w:pPr>
            <w:r>
              <w:rPr>
                <w:rFonts w:ascii="宋体" w:hAnsi="宋体"/>
                <w:bCs/>
                <w:sz w:val="18"/>
                <w:szCs w:val="18"/>
              </w:rPr>
              <w:t>评定得分</w:t>
            </w:r>
          </w:p>
        </w:tc>
        <w:tc>
          <w:tcPr>
            <w:tcW w:w="642" w:type="dxa"/>
            <w:tcBorders>
              <w:top w:val="single" w:color="auto" w:sz="8" w:space="0"/>
              <w:left w:val="single" w:color="auto" w:sz="4" w:space="0"/>
              <w:bottom w:val="single" w:color="auto" w:sz="8" w:space="0"/>
              <w:right w:val="single" w:color="auto" w:sz="4" w:space="0"/>
            </w:tcBorders>
            <w:noWrap w:val="0"/>
            <w:vAlign w:val="center"/>
          </w:tcPr>
          <w:p w14:paraId="56D47451">
            <w:pPr>
              <w:widowControl/>
              <w:jc w:val="center"/>
              <w:rPr>
                <w:rFonts w:ascii="宋体" w:hAnsi="宋体"/>
                <w:bCs/>
                <w:sz w:val="18"/>
                <w:szCs w:val="18"/>
              </w:rPr>
            </w:pPr>
            <w:r>
              <w:rPr>
                <w:rFonts w:ascii="宋体" w:hAnsi="宋体"/>
                <w:bCs/>
                <w:sz w:val="18"/>
                <w:szCs w:val="18"/>
              </w:rPr>
              <w:t>扣分说明</w:t>
            </w:r>
          </w:p>
        </w:tc>
        <w:tc>
          <w:tcPr>
            <w:tcW w:w="1004" w:type="dxa"/>
            <w:tcBorders>
              <w:top w:val="single" w:color="auto" w:sz="8" w:space="0"/>
              <w:left w:val="single" w:color="auto" w:sz="4" w:space="0"/>
              <w:bottom w:val="single" w:color="auto" w:sz="8" w:space="0"/>
              <w:right w:val="single" w:color="auto" w:sz="8" w:space="0"/>
            </w:tcBorders>
            <w:noWrap w:val="0"/>
            <w:vAlign w:val="center"/>
          </w:tcPr>
          <w:p w14:paraId="6F1DA3F7">
            <w:pPr>
              <w:widowControl/>
              <w:jc w:val="center"/>
              <w:rPr>
                <w:rFonts w:ascii="宋体" w:hAnsi="宋体"/>
                <w:bCs/>
                <w:sz w:val="18"/>
                <w:szCs w:val="18"/>
              </w:rPr>
            </w:pPr>
            <w:r>
              <w:rPr>
                <w:rFonts w:ascii="宋体" w:hAnsi="宋体"/>
                <w:bCs/>
                <w:sz w:val="18"/>
                <w:szCs w:val="18"/>
              </w:rPr>
              <w:t>对应条款编号</w:t>
            </w:r>
          </w:p>
        </w:tc>
      </w:tr>
      <w:tr w14:paraId="7F7B2A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F80AB2D">
            <w:pPr>
              <w:widowControl/>
              <w:jc w:val="center"/>
              <w:rPr>
                <w:rFonts w:hint="eastAsia" w:ascii="宋体" w:hAnsi="宋体" w:eastAsia="宋体"/>
                <w:sz w:val="18"/>
                <w:lang w:eastAsia="zh-CN"/>
              </w:rPr>
            </w:pPr>
            <w:r>
              <w:rPr>
                <w:rFonts w:hint="eastAsia" w:ascii="宋体" w:hAnsi="宋体"/>
                <w:sz w:val="18"/>
              </w:rPr>
              <w:t>1.</w:t>
            </w:r>
            <w:r>
              <w:rPr>
                <w:rFonts w:hint="eastAsia" w:ascii="宋体" w:hAnsi="宋体"/>
                <w:sz w:val="18"/>
                <w:lang w:val="en-US" w:eastAsia="zh-CN"/>
              </w:rPr>
              <w:t>8</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26853CED">
            <w:pPr>
              <w:widowControl/>
              <w:jc w:val="left"/>
              <w:rPr>
                <w:rFonts w:hint="eastAsia" w:ascii="宋体" w:hAnsi="宋体" w:eastAsia="宋体"/>
                <w:sz w:val="18"/>
                <w:szCs w:val="18"/>
                <w:lang w:val="en-US" w:eastAsia="zh-CN"/>
              </w:rPr>
            </w:pPr>
            <w:r>
              <w:rPr>
                <w:rFonts w:hint="eastAsia" w:ascii="宋体" w:hAnsi="宋体"/>
                <w:sz w:val="18"/>
              </w:rPr>
              <w:t>事故隐患排查</w:t>
            </w:r>
            <w:r>
              <w:rPr>
                <w:rFonts w:hint="eastAsia" w:ascii="宋体" w:hAnsi="宋体"/>
                <w:sz w:val="18"/>
                <w:lang w:val="en-US" w:eastAsia="zh-CN"/>
              </w:rPr>
              <w:t>和治理</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739AE51B">
            <w:pPr>
              <w:widowControl/>
              <w:jc w:val="center"/>
              <w:rPr>
                <w:rFonts w:hint="default" w:ascii="宋体" w:hAnsi="宋体" w:eastAsia="宋体"/>
                <w:bCs/>
                <w:sz w:val="18"/>
                <w:szCs w:val="18"/>
                <w:lang w:val="en-US" w:eastAsia="zh-CN"/>
              </w:rPr>
            </w:pPr>
            <w:r>
              <w:rPr>
                <w:rFonts w:hint="eastAsia" w:ascii="宋体" w:hAnsi="宋体"/>
                <w:bCs/>
                <w:sz w:val="18"/>
                <w:szCs w:val="18"/>
                <w:lang w:val="en-US" w:eastAsia="zh-CN"/>
              </w:rPr>
              <w:t>40</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25094C97">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EEDD378">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61BF41B">
            <w:pPr>
              <w:adjustRightInd w:val="0"/>
              <w:snapToGrid w:val="0"/>
              <w:jc w:val="left"/>
              <w:rPr>
                <w:rFonts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6D855EF9">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3E10B607">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11C0AF8C">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6C43AD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6B2F653F">
            <w:pPr>
              <w:widowControl/>
              <w:jc w:val="center"/>
              <w:rPr>
                <w:rFonts w:hint="default" w:ascii="宋体" w:hAnsi="宋体" w:eastAsia="宋体"/>
                <w:sz w:val="18"/>
                <w:lang w:val="en-US" w:eastAsia="zh-CN"/>
              </w:rPr>
            </w:pPr>
            <w:r>
              <w:rPr>
                <w:rFonts w:hint="eastAsia" w:ascii="宋体" w:hAnsi="宋体"/>
                <w:sz w:val="18"/>
                <w:lang w:val="en-US" w:eastAsia="zh-CN"/>
              </w:rPr>
              <w:t>1.8.1</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7A6211DB">
            <w:pPr>
              <w:widowControl/>
              <w:jc w:val="left"/>
              <w:rPr>
                <w:rFonts w:hint="eastAsia" w:ascii="宋体" w:hAnsi="宋体"/>
                <w:sz w:val="18"/>
              </w:rPr>
            </w:pPr>
            <w:r>
              <w:rPr>
                <w:rFonts w:hint="eastAsia" w:ascii="宋体" w:hAnsi="宋体"/>
                <w:sz w:val="18"/>
                <w:szCs w:val="18"/>
              </w:rPr>
              <w:t>事故隐患排查</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CD6C709">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311B5EB">
            <w:pPr>
              <w:widowControl/>
              <w:jc w:val="center"/>
              <w:rPr>
                <w:rFonts w:hint="eastAsia" w:ascii="宋体" w:hAnsi="宋体"/>
                <w:sz w:val="18"/>
              </w:rPr>
            </w:pPr>
            <w:r>
              <w:rPr>
                <w:rFonts w:hint="eastAsia" w:ascii="宋体" w:hAnsi="宋体"/>
                <w:sz w:val="18"/>
              </w:rPr>
              <w:t>15</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286604FA">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5997D39">
            <w:pPr>
              <w:adjustRightInd w:val="0"/>
              <w:snapToGrid w:val="0"/>
              <w:jc w:val="left"/>
              <w:rPr>
                <w:rFonts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5F09C709">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2D1D4097">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02299436">
            <w:pPr>
              <w:widowControl/>
              <w:jc w:val="center"/>
              <w:rPr>
                <w:rFonts w:ascii="宋体" w:hAnsi="宋体"/>
                <w:sz w:val="18"/>
              </w:rPr>
            </w:pPr>
          </w:p>
        </w:tc>
      </w:tr>
      <w:tr w14:paraId="449DC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2D49BEDB">
            <w:pPr>
              <w:widowControl/>
              <w:jc w:val="center"/>
              <w:rPr>
                <w:rFonts w:hint="eastAsia" w:ascii="宋体" w:hAnsi="宋体"/>
                <w:sz w:val="18"/>
              </w:rPr>
            </w:pPr>
            <w:r>
              <w:rPr>
                <w:rFonts w:hint="eastAsia" w:ascii="宋体" w:hAnsi="宋体"/>
                <w:sz w:val="18"/>
                <w:lang w:val="en-US" w:eastAsia="zh-CN"/>
              </w:rPr>
              <w:t>1.8.1</w:t>
            </w:r>
            <w:r>
              <w:rPr>
                <w:rFonts w:hint="eastAsia" w:ascii="宋体" w:hAnsi="宋体"/>
                <w:sz w:val="18"/>
              </w:rPr>
              <w:t>.1</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0F8100F3">
            <w:pPr>
              <w:widowControl/>
              <w:snapToGrid w:val="0"/>
              <w:jc w:val="left"/>
              <w:rPr>
                <w:rFonts w:hint="eastAsia" w:ascii="宋体" w:hAnsi="宋体"/>
                <w:sz w:val="18"/>
              </w:rPr>
            </w:pPr>
            <w:r>
              <w:rPr>
                <w:rFonts w:hint="eastAsia" w:ascii="宋体" w:hAnsi="宋体"/>
                <w:sz w:val="18"/>
                <w:szCs w:val="18"/>
                <w:lang w:eastAsia="zh-CN"/>
              </w:rPr>
              <w:t>景区</w:t>
            </w:r>
            <w:r>
              <w:rPr>
                <w:rFonts w:hint="eastAsia" w:ascii="宋体" w:hAnsi="宋体"/>
                <w:sz w:val="18"/>
                <w:szCs w:val="18"/>
              </w:rPr>
              <w:t>应结合</w:t>
            </w:r>
            <w:r>
              <w:rPr>
                <w:rFonts w:ascii="宋体" w:hAnsi="宋体"/>
                <w:sz w:val="18"/>
                <w:szCs w:val="18"/>
              </w:rPr>
              <w:t>本</w:t>
            </w:r>
            <w:r>
              <w:rPr>
                <w:rFonts w:hint="eastAsia" w:ascii="宋体" w:hAnsi="宋体"/>
                <w:sz w:val="18"/>
                <w:szCs w:val="18"/>
                <w:lang w:eastAsia="zh-CN"/>
              </w:rPr>
              <w:t>景区</w:t>
            </w:r>
            <w:r>
              <w:rPr>
                <w:rFonts w:ascii="宋体" w:hAnsi="宋体"/>
                <w:sz w:val="18"/>
                <w:szCs w:val="18"/>
              </w:rPr>
              <w:t>危险源情况，</w:t>
            </w:r>
            <w:r>
              <w:rPr>
                <w:rFonts w:hint="eastAsia" w:ascii="宋体" w:hAnsi="宋体"/>
                <w:sz w:val="18"/>
                <w:szCs w:val="18"/>
              </w:rPr>
              <w:t>制定各</w:t>
            </w:r>
            <w:r>
              <w:rPr>
                <w:rFonts w:ascii="宋体" w:hAnsi="宋体"/>
                <w:sz w:val="18"/>
                <w:szCs w:val="18"/>
              </w:rPr>
              <w:t>岗位的事故</w:t>
            </w:r>
            <w:r>
              <w:rPr>
                <w:rFonts w:hint="eastAsia" w:ascii="宋体" w:hAnsi="宋体"/>
                <w:sz w:val="18"/>
                <w:szCs w:val="18"/>
              </w:rPr>
              <w:t>隐患</w:t>
            </w:r>
            <w:r>
              <w:rPr>
                <w:rFonts w:ascii="宋体" w:hAnsi="宋体"/>
                <w:sz w:val="18"/>
                <w:szCs w:val="18"/>
              </w:rPr>
              <w:t>排查</w:t>
            </w:r>
            <w:r>
              <w:rPr>
                <w:rFonts w:hint="eastAsia" w:ascii="宋体" w:hAnsi="宋体"/>
                <w:sz w:val="18"/>
                <w:szCs w:val="18"/>
              </w:rPr>
              <w:t>清单。事故</w:t>
            </w:r>
            <w:r>
              <w:rPr>
                <w:rFonts w:ascii="宋体" w:hAnsi="宋体"/>
                <w:sz w:val="18"/>
                <w:szCs w:val="18"/>
              </w:rPr>
              <w:t>隐患排查应覆盖</w:t>
            </w:r>
            <w:r>
              <w:rPr>
                <w:rFonts w:hint="eastAsia" w:ascii="宋体" w:hAnsi="宋体"/>
                <w:sz w:val="18"/>
                <w:szCs w:val="18"/>
              </w:rPr>
              <w:t>其</w:t>
            </w:r>
            <w:r>
              <w:rPr>
                <w:rFonts w:ascii="宋体" w:hAnsi="宋体"/>
                <w:sz w:val="18"/>
                <w:szCs w:val="18"/>
              </w:rPr>
              <w:t>所有的作业场所、设备设施、人员和</w:t>
            </w:r>
            <w:r>
              <w:rPr>
                <w:rFonts w:hint="eastAsia" w:ascii="宋体" w:hAnsi="宋体"/>
                <w:sz w:val="18"/>
                <w:szCs w:val="18"/>
              </w:rPr>
              <w:t>相关的生产经营活动，山区地质灾害易发区范围内</w:t>
            </w:r>
            <w:r>
              <w:rPr>
                <w:rFonts w:hint="eastAsia" w:ascii="宋体" w:hAnsi="宋体"/>
                <w:sz w:val="18"/>
                <w:szCs w:val="18"/>
                <w:lang w:eastAsia="zh-CN"/>
              </w:rPr>
              <w:t>景区</w:t>
            </w:r>
            <w:r>
              <w:rPr>
                <w:rFonts w:hint="eastAsia" w:ascii="宋体" w:hAnsi="宋体"/>
                <w:sz w:val="18"/>
                <w:szCs w:val="18"/>
              </w:rPr>
              <w:t>应包括地质灾害。</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CC56AD6">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EC0A409">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EA09184">
            <w:pPr>
              <w:widowControl/>
              <w:jc w:val="center"/>
              <w:rPr>
                <w:rFonts w:hint="eastAsia" w:ascii="宋体" w:hAnsi="宋体"/>
                <w:sz w:val="18"/>
              </w:rPr>
            </w:pPr>
            <w:r>
              <w:rPr>
                <w:rFonts w:hint="eastAsia" w:ascii="宋体" w:hAnsi="宋体"/>
                <w:sz w:val="18"/>
              </w:rPr>
              <w:t>4</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6F0AEC77">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）未</w:t>
            </w:r>
            <w:r>
              <w:rPr>
                <w:rFonts w:ascii="宋体" w:hAnsi="宋体"/>
                <w:sz w:val="18"/>
                <w:szCs w:val="18"/>
              </w:rPr>
              <w:t>制定隐患排查清单的，</w:t>
            </w:r>
            <w:r>
              <w:rPr>
                <w:rFonts w:hint="eastAsia" w:ascii="宋体" w:hAnsi="宋体"/>
                <w:sz w:val="18"/>
                <w:szCs w:val="18"/>
              </w:rPr>
              <w:t>不得分</w:t>
            </w:r>
            <w:r>
              <w:rPr>
                <w:rFonts w:ascii="宋体" w:hAnsi="宋体"/>
                <w:sz w:val="18"/>
                <w:szCs w:val="18"/>
              </w:rPr>
              <w:t>；</w:t>
            </w:r>
          </w:p>
          <w:p w14:paraId="41203ADA">
            <w:pPr>
              <w:adjustRightInd w:val="0"/>
              <w:snapToGrid w:val="0"/>
              <w:jc w:val="left"/>
              <w:rPr>
                <w:rFonts w:ascii="宋体" w:hAnsi="宋体"/>
                <w:sz w:val="18"/>
                <w:szCs w:val="18"/>
              </w:rPr>
            </w:pPr>
            <w:r>
              <w:rPr>
                <w:rFonts w:hint="eastAsia" w:ascii="宋体" w:hAnsi="宋体"/>
                <w:sz w:val="18"/>
                <w:szCs w:val="18"/>
              </w:rPr>
              <w:t>2）</w:t>
            </w:r>
            <w:r>
              <w:rPr>
                <w:rFonts w:ascii="宋体" w:hAnsi="宋体"/>
                <w:sz w:val="18"/>
                <w:szCs w:val="18"/>
              </w:rPr>
              <w:t>隐患排查清单覆盖不全的，缺一</w:t>
            </w:r>
            <w:r>
              <w:rPr>
                <w:rFonts w:hint="eastAsia" w:ascii="宋体" w:hAnsi="宋体"/>
                <w:sz w:val="18"/>
                <w:szCs w:val="18"/>
              </w:rPr>
              <w:t>处</w:t>
            </w:r>
            <w:r>
              <w:rPr>
                <w:rFonts w:ascii="宋体" w:hAnsi="宋体"/>
                <w:sz w:val="18"/>
                <w:szCs w:val="18"/>
              </w:rPr>
              <w:t>扣</w:t>
            </w:r>
            <w:r>
              <w:rPr>
                <w:rFonts w:hint="eastAsia" w:ascii="宋体" w:hAnsi="宋体"/>
                <w:sz w:val="18"/>
                <w:szCs w:val="18"/>
              </w:rPr>
              <w:t>2分</w:t>
            </w:r>
            <w:r>
              <w:rPr>
                <w:rFonts w:ascii="宋体" w:hAnsi="宋体"/>
                <w:sz w:val="18"/>
                <w:szCs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29E2B71B">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5F9FC314">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FBBF130">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5A0A1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2BEC9C57">
            <w:pPr>
              <w:widowControl/>
              <w:jc w:val="center"/>
              <w:rPr>
                <w:rFonts w:hint="eastAsia" w:ascii="宋体" w:hAnsi="宋体"/>
                <w:sz w:val="18"/>
              </w:rPr>
            </w:pPr>
            <w:r>
              <w:rPr>
                <w:rFonts w:hint="eastAsia" w:ascii="宋体" w:hAnsi="宋体"/>
                <w:sz w:val="18"/>
                <w:lang w:val="en-US" w:eastAsia="zh-CN"/>
              </w:rPr>
              <w:t>1.8.1</w:t>
            </w:r>
            <w:r>
              <w:rPr>
                <w:rFonts w:hint="eastAsia" w:ascii="宋体" w:hAnsi="宋体"/>
                <w:sz w:val="18"/>
              </w:rPr>
              <w:t>.2</w:t>
            </w:r>
          </w:p>
        </w:tc>
        <w:tc>
          <w:tcPr>
            <w:tcW w:w="6003" w:type="dxa"/>
            <w:tcBorders>
              <w:top w:val="single" w:color="auto" w:sz="8" w:space="0"/>
              <w:left w:val="single" w:color="auto" w:sz="4" w:space="0"/>
              <w:bottom w:val="single" w:color="auto" w:sz="8" w:space="0"/>
              <w:right w:val="single" w:color="auto" w:sz="4" w:space="0"/>
            </w:tcBorders>
            <w:noWrap w:val="0"/>
            <w:vAlign w:val="top"/>
          </w:tcPr>
          <w:p w14:paraId="7A54E05A">
            <w:pPr>
              <w:widowControl/>
              <w:snapToGrid w:val="0"/>
              <w:jc w:val="left"/>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应采用综合排查、专业排查、定期排查</w:t>
            </w:r>
            <w:r>
              <w:rPr>
                <w:rFonts w:ascii="宋体" w:hAnsi="宋体"/>
                <w:sz w:val="18"/>
                <w:szCs w:val="18"/>
              </w:rPr>
              <w:t>（含</w:t>
            </w:r>
            <w:r>
              <w:rPr>
                <w:rFonts w:hint="eastAsia" w:ascii="宋体" w:hAnsi="宋体"/>
                <w:sz w:val="18"/>
                <w:szCs w:val="18"/>
              </w:rPr>
              <w:t>季节性排查、节假日排查）、日常排查等方式，按照事故隐患排查清单逐项检查，并建立事故隐患</w:t>
            </w:r>
            <w:r>
              <w:rPr>
                <w:rFonts w:ascii="宋体" w:hAnsi="宋体"/>
                <w:sz w:val="18"/>
                <w:szCs w:val="18"/>
              </w:rPr>
              <w:t>排查</w:t>
            </w:r>
            <w:r>
              <w:rPr>
                <w:rFonts w:hint="eastAsia" w:ascii="宋体" w:hAnsi="宋体"/>
                <w:sz w:val="18"/>
                <w:szCs w:val="18"/>
              </w:rPr>
              <w:t>台账。</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79C7C843">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E3EF710">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44C7A06">
            <w:pPr>
              <w:widowControl/>
              <w:jc w:val="center"/>
              <w:rPr>
                <w:rFonts w:hint="eastAsia" w:ascii="宋体" w:hAnsi="宋体"/>
                <w:sz w:val="18"/>
              </w:rPr>
            </w:pPr>
            <w:r>
              <w:rPr>
                <w:rFonts w:hint="eastAsia" w:ascii="宋体" w:hAnsi="宋体"/>
                <w:sz w:val="18"/>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6FBBE616">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未建立隐患排查台账的，扣</w:t>
            </w:r>
            <w:r>
              <w:rPr>
                <w:rFonts w:hint="eastAsia" w:ascii="宋体" w:hAnsi="宋体"/>
                <w:sz w:val="18"/>
                <w:szCs w:val="18"/>
              </w:rPr>
              <w:t>2分</w:t>
            </w:r>
            <w:r>
              <w:rPr>
                <w:rFonts w:ascii="宋体" w:hAnsi="宋体"/>
                <w:sz w:val="18"/>
                <w:szCs w:val="18"/>
              </w:rPr>
              <w:t>；</w:t>
            </w:r>
          </w:p>
          <w:p w14:paraId="184F0867">
            <w:pPr>
              <w:adjustRightInd w:val="0"/>
              <w:snapToGrid w:val="0"/>
              <w:jc w:val="left"/>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未开展隐患排查工作的，</w:t>
            </w:r>
            <w:r>
              <w:rPr>
                <w:rFonts w:hint="eastAsia" w:ascii="宋体" w:hAnsi="宋体"/>
                <w:sz w:val="18"/>
                <w:szCs w:val="18"/>
              </w:rPr>
              <w:t>不得分</w:t>
            </w:r>
            <w:r>
              <w:rPr>
                <w:rFonts w:ascii="宋体" w:hAnsi="宋体"/>
                <w:sz w:val="18"/>
                <w:szCs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0F4F56C5">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3088D82A">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E23C77A">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02A48C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FD09CFC">
            <w:pPr>
              <w:widowControl/>
              <w:jc w:val="center"/>
              <w:rPr>
                <w:rFonts w:hint="eastAsia" w:ascii="宋体" w:hAnsi="宋体"/>
                <w:sz w:val="18"/>
              </w:rPr>
            </w:pPr>
            <w:r>
              <w:rPr>
                <w:rFonts w:hint="eastAsia" w:ascii="宋体" w:hAnsi="宋体"/>
                <w:sz w:val="18"/>
                <w:lang w:val="en-US" w:eastAsia="zh-CN"/>
              </w:rPr>
              <w:t>1.8.1</w:t>
            </w:r>
            <w:r>
              <w:rPr>
                <w:rFonts w:hint="eastAsia" w:ascii="宋体" w:hAnsi="宋体"/>
                <w:sz w:val="18"/>
              </w:rPr>
              <w:t>.3</w:t>
            </w:r>
          </w:p>
        </w:tc>
        <w:tc>
          <w:tcPr>
            <w:tcW w:w="6003" w:type="dxa"/>
            <w:tcBorders>
              <w:top w:val="single" w:color="auto" w:sz="8" w:space="0"/>
              <w:left w:val="single" w:color="auto" w:sz="4" w:space="0"/>
              <w:right w:val="single" w:color="auto" w:sz="4" w:space="0"/>
            </w:tcBorders>
            <w:noWrap w:val="0"/>
            <w:vAlign w:val="top"/>
          </w:tcPr>
          <w:p w14:paraId="70987373">
            <w:pPr>
              <w:adjustRightInd w:val="0"/>
              <w:snapToGrid w:val="0"/>
              <w:jc w:val="left"/>
              <w:rPr>
                <w:rFonts w:hint="eastAsia" w:ascii="宋体" w:hAnsi="宋体"/>
                <w:sz w:val="18"/>
                <w:szCs w:val="18"/>
              </w:rPr>
            </w:pPr>
            <w:r>
              <w:rPr>
                <w:rFonts w:hint="eastAsia" w:ascii="宋体" w:hAnsi="宋体"/>
                <w:sz w:val="18"/>
                <w:szCs w:val="18"/>
              </w:rPr>
              <w:t>事故隐患排查的形式和内容应符合下列要求：</w:t>
            </w:r>
          </w:p>
          <w:p w14:paraId="09D65A5D">
            <w:pPr>
              <w:adjustRightInd w:val="0"/>
              <w:snapToGrid w:val="0"/>
              <w:jc w:val="left"/>
              <w:rPr>
                <w:rFonts w:hint="eastAsia" w:ascii="宋体" w:hAnsi="宋体"/>
                <w:sz w:val="18"/>
                <w:szCs w:val="18"/>
              </w:rPr>
            </w:pPr>
            <w:r>
              <w:rPr>
                <w:rFonts w:hint="eastAsia" w:ascii="宋体" w:hAnsi="宋体"/>
                <w:sz w:val="18"/>
                <w:szCs w:val="18"/>
              </w:rPr>
              <w:t>a）综合排查应由相应级别的负责人组织，以落实岗位安全责任制为重点，各专业共同参与。</w:t>
            </w:r>
            <w:r>
              <w:rPr>
                <w:rFonts w:hint="eastAsia" w:ascii="宋体" w:hAnsi="宋体"/>
                <w:sz w:val="18"/>
                <w:szCs w:val="18"/>
                <w:lang w:eastAsia="zh-CN"/>
              </w:rPr>
              <w:t>景区</w:t>
            </w:r>
            <w:r>
              <w:rPr>
                <w:rFonts w:hint="eastAsia" w:ascii="宋体" w:hAnsi="宋体"/>
                <w:sz w:val="18"/>
                <w:szCs w:val="18"/>
              </w:rPr>
              <w:t>综合排查每半年不少于1次，部门级综合排查每季度不少于1次；</w:t>
            </w:r>
          </w:p>
          <w:p w14:paraId="1FB3EDB1">
            <w:pPr>
              <w:adjustRightInd w:val="0"/>
              <w:snapToGrid w:val="0"/>
              <w:jc w:val="left"/>
              <w:rPr>
                <w:rFonts w:hint="eastAsia" w:ascii="宋体" w:hAnsi="宋体"/>
                <w:sz w:val="18"/>
                <w:szCs w:val="18"/>
              </w:rPr>
            </w:pPr>
            <w:r>
              <w:rPr>
                <w:rFonts w:hint="eastAsia" w:ascii="宋体" w:hAnsi="宋体"/>
                <w:sz w:val="18"/>
                <w:szCs w:val="18"/>
              </w:rPr>
              <w:t>b）专业排查分别由各专业部门的负责人组织，主要是对设备设施、重点场所、危险化学品、电气装置、特种设备等进行专业排查。专业排查每半年不少于1 次；</w:t>
            </w:r>
          </w:p>
          <w:p w14:paraId="160E3278">
            <w:pPr>
              <w:adjustRightInd w:val="0"/>
              <w:snapToGrid w:val="0"/>
              <w:jc w:val="left"/>
              <w:rPr>
                <w:rFonts w:hint="eastAsia" w:ascii="宋体" w:hAnsi="宋体"/>
                <w:sz w:val="18"/>
                <w:szCs w:val="18"/>
              </w:rPr>
            </w:pPr>
            <w:r>
              <w:rPr>
                <w:rFonts w:hint="eastAsia" w:ascii="宋体" w:hAnsi="宋体"/>
                <w:sz w:val="18"/>
                <w:szCs w:val="18"/>
              </w:rPr>
              <w:t>c）定期排查由各业务部门的负责人组织，根据季节特点对防火防爆、防</w:t>
            </w:r>
          </w:p>
          <w:p w14:paraId="637081A4">
            <w:pPr>
              <w:adjustRightInd w:val="0"/>
              <w:snapToGrid w:val="0"/>
              <w:rPr>
                <w:rFonts w:hint="eastAsia" w:ascii="宋体" w:hAnsi="宋体"/>
                <w:sz w:val="18"/>
                <w:szCs w:val="18"/>
              </w:rPr>
            </w:pPr>
            <w:r>
              <w:rPr>
                <w:rFonts w:hint="eastAsia" w:ascii="宋体" w:hAnsi="宋体"/>
                <w:sz w:val="18"/>
                <w:szCs w:val="18"/>
              </w:rPr>
              <w:t>雨防汛、防雷电、防暑降温、防风及防冻保暖工作等进行预防性季节排查；对重大活动及节假日前安全、消防等方面进行排查；</w:t>
            </w:r>
          </w:p>
          <w:p w14:paraId="71D897B3">
            <w:pPr>
              <w:widowControl/>
              <w:snapToGrid w:val="0"/>
              <w:rPr>
                <w:rFonts w:hint="eastAsia" w:ascii="宋体" w:hAnsi="宋体" w:eastAsia="宋体" w:cs="Times New Roman"/>
                <w:bCs/>
                <w:kern w:val="2"/>
                <w:sz w:val="18"/>
                <w:szCs w:val="18"/>
                <w:lang w:val="en-US" w:eastAsia="zh-CN" w:bidi="ar-SA"/>
              </w:rPr>
            </w:pPr>
            <w:r>
              <w:rPr>
                <w:rFonts w:hint="eastAsia" w:ascii="宋体" w:hAnsi="宋体"/>
                <w:sz w:val="18"/>
                <w:szCs w:val="18"/>
              </w:rPr>
              <w:t>d）日常排查分为岗位操作人员排查和管理人员日常排查。设备操作者、班组长、</w:t>
            </w:r>
            <w:r>
              <w:rPr>
                <w:rFonts w:hint="eastAsia" w:ascii="宋体" w:hAnsi="宋体"/>
                <w:sz w:val="18"/>
                <w:szCs w:val="18"/>
                <w:lang w:val="en-US" w:eastAsia="zh-CN"/>
              </w:rPr>
              <w:t>班组</w:t>
            </w:r>
            <w:r>
              <w:rPr>
                <w:rFonts w:hint="eastAsia" w:ascii="宋体" w:hAnsi="宋体"/>
                <w:sz w:val="18"/>
                <w:szCs w:val="18"/>
              </w:rPr>
              <w:t>安全员及其他人员每日应对本岗位设备设施、作业行为、作业环境等进行排查；各级管理人员应在各自的业务范围内进行排查。</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8EC6F8A">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7F1F483">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1029DBB">
            <w:pPr>
              <w:widowControl/>
              <w:jc w:val="center"/>
              <w:rPr>
                <w:rFonts w:hint="eastAsia" w:ascii="宋体" w:hAnsi="宋体"/>
                <w:sz w:val="18"/>
              </w:rPr>
            </w:pPr>
            <w:r>
              <w:rPr>
                <w:rFonts w:hint="eastAsia" w:ascii="宋体" w:hAnsi="宋体"/>
                <w:sz w:val="18"/>
              </w:rPr>
              <w:t>4</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72EC07EE">
            <w:p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隐患排查时间不符合要求的，</w:t>
            </w:r>
            <w:r>
              <w:rPr>
                <w:rFonts w:hint="eastAsia" w:ascii="宋体" w:hAnsi="宋体"/>
                <w:sz w:val="18"/>
                <w:szCs w:val="18"/>
              </w:rPr>
              <w:t>扣2分</w:t>
            </w:r>
            <w:r>
              <w:rPr>
                <w:rFonts w:ascii="宋体" w:hAnsi="宋体"/>
                <w:sz w:val="18"/>
                <w:szCs w:val="18"/>
              </w:rPr>
              <w:t>；</w:t>
            </w:r>
          </w:p>
          <w:p w14:paraId="50B0FB0A">
            <w:pPr>
              <w:adjustRightInd w:val="0"/>
              <w:snapToGrid w:val="0"/>
              <w:jc w:val="left"/>
              <w:rPr>
                <w:rFonts w:hint="eastAsia"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隐患排查内容不完善的，</w:t>
            </w:r>
            <w:r>
              <w:rPr>
                <w:rFonts w:hint="eastAsia" w:ascii="宋体" w:hAnsi="宋体"/>
                <w:sz w:val="18"/>
                <w:szCs w:val="18"/>
              </w:rPr>
              <w:t>扣2分；</w:t>
            </w:r>
          </w:p>
          <w:p w14:paraId="2636732B">
            <w:pPr>
              <w:adjustRightInd w:val="0"/>
              <w:snapToGrid w:val="0"/>
              <w:jc w:val="left"/>
              <w:rPr>
                <w:rFonts w:ascii="宋体" w:hAnsi="宋体"/>
                <w:sz w:val="18"/>
                <w:szCs w:val="18"/>
              </w:rPr>
            </w:pPr>
            <w:r>
              <w:rPr>
                <w:rFonts w:hint="eastAsia" w:ascii="宋体" w:hAnsi="宋体"/>
                <w:sz w:val="18"/>
                <w:szCs w:val="18"/>
              </w:rPr>
              <w:t>3）其他一处不符合扣1分。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506214F1">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551FA6CA">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5CC9EE7">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15073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E9D8151">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lang w:val="en-US" w:eastAsia="zh-CN"/>
              </w:rPr>
              <w:t>1.8.1</w:t>
            </w:r>
            <w:r>
              <w:rPr>
                <w:rFonts w:hint="eastAsia" w:ascii="宋体" w:hAnsi="宋体"/>
                <w:sz w:val="18"/>
              </w:rPr>
              <w:t>.4</w:t>
            </w:r>
          </w:p>
        </w:tc>
        <w:tc>
          <w:tcPr>
            <w:tcW w:w="0" w:type="auto"/>
            <w:vAlign w:val="center"/>
          </w:tcPr>
          <w:p w14:paraId="65139362">
            <w:pPr>
              <w:adjustRightInd w:val="0"/>
              <w:snapToGrid w:val="0"/>
              <w:jc w:val="left"/>
              <w:rPr>
                <w:rFonts w:hint="eastAsia" w:ascii="宋体" w:hAnsi="宋体"/>
                <w:sz w:val="18"/>
                <w:szCs w:val="18"/>
              </w:rPr>
            </w:pPr>
            <w:r>
              <w:rPr>
                <w:rFonts w:hint="eastAsia" w:ascii="宋体" w:hAnsi="宋体"/>
                <w:sz w:val="18"/>
                <w:szCs w:val="18"/>
              </w:rPr>
              <w:t>当发生下列情形，</w:t>
            </w:r>
            <w:r>
              <w:rPr>
                <w:rFonts w:hint="eastAsia" w:ascii="宋体" w:hAnsi="宋体"/>
                <w:sz w:val="18"/>
                <w:szCs w:val="18"/>
                <w:lang w:eastAsia="zh-CN"/>
              </w:rPr>
              <w:t>景区</w:t>
            </w:r>
            <w:r>
              <w:rPr>
                <w:rFonts w:hint="eastAsia" w:ascii="宋体" w:hAnsi="宋体"/>
                <w:sz w:val="18"/>
                <w:szCs w:val="18"/>
              </w:rPr>
              <w:t>应及时更新事故隐患排查清单并开展排查工作：</w:t>
            </w:r>
          </w:p>
          <w:p w14:paraId="171E8FB2">
            <w:pPr>
              <w:adjustRightInd w:val="0"/>
              <w:snapToGrid w:val="0"/>
              <w:jc w:val="left"/>
              <w:rPr>
                <w:rFonts w:hint="eastAsia" w:ascii="宋体" w:hAnsi="宋体"/>
                <w:sz w:val="18"/>
                <w:szCs w:val="18"/>
              </w:rPr>
            </w:pPr>
            <w:r>
              <w:rPr>
                <w:rFonts w:hint="eastAsia" w:ascii="宋体" w:hAnsi="宋体"/>
                <w:sz w:val="18"/>
                <w:szCs w:val="18"/>
              </w:rPr>
              <w:t>a）颁布实施有关新的法律法规、标准规范或原有适用法律法规、标准规范重新修订；</w:t>
            </w:r>
          </w:p>
          <w:p w14:paraId="512A879E">
            <w:pPr>
              <w:adjustRightInd w:val="0"/>
              <w:snapToGrid w:val="0"/>
              <w:jc w:val="left"/>
              <w:rPr>
                <w:rFonts w:hint="eastAsia" w:ascii="宋体" w:hAnsi="宋体"/>
                <w:sz w:val="18"/>
                <w:szCs w:val="18"/>
              </w:rPr>
            </w:pPr>
            <w:r>
              <w:rPr>
                <w:rFonts w:hint="eastAsia" w:ascii="宋体" w:hAnsi="宋体"/>
                <w:sz w:val="18"/>
                <w:szCs w:val="18"/>
              </w:rPr>
              <w:t>b）组织机构和人员发生重大调整；</w:t>
            </w:r>
          </w:p>
          <w:p w14:paraId="675E7189">
            <w:pPr>
              <w:adjustRightInd w:val="0"/>
              <w:snapToGrid w:val="0"/>
              <w:jc w:val="left"/>
              <w:rPr>
                <w:rFonts w:hint="eastAsia" w:ascii="宋体" w:hAnsi="宋体"/>
                <w:sz w:val="18"/>
                <w:szCs w:val="18"/>
              </w:rPr>
            </w:pPr>
            <w:r>
              <w:rPr>
                <w:rFonts w:hint="eastAsia" w:ascii="宋体" w:hAnsi="宋体"/>
                <w:sz w:val="18"/>
                <w:szCs w:val="18"/>
              </w:rPr>
              <w:t>c）</w:t>
            </w:r>
            <w:r>
              <w:rPr>
                <w:rFonts w:hint="eastAsia" w:ascii="宋体" w:hAnsi="宋体"/>
                <w:sz w:val="18"/>
                <w:szCs w:val="18"/>
                <w:lang w:eastAsia="zh-CN"/>
              </w:rPr>
              <w:t>景区</w:t>
            </w:r>
            <w:r>
              <w:rPr>
                <w:rFonts w:hint="eastAsia" w:ascii="宋体" w:hAnsi="宋体"/>
                <w:sz w:val="18"/>
                <w:szCs w:val="18"/>
              </w:rPr>
              <w:t>安全生产条件变更；</w:t>
            </w:r>
          </w:p>
          <w:p w14:paraId="45BC3B47">
            <w:pPr>
              <w:widowControl/>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rPr>
              <w:t>d）发生事故或对事故、事件有新的认识。</w:t>
            </w:r>
          </w:p>
        </w:tc>
        <w:tc>
          <w:tcPr>
            <w:tcW w:w="0" w:type="auto"/>
            <w:vAlign w:val="center"/>
          </w:tcPr>
          <w:p w14:paraId="0CA580E9">
            <w:pPr>
              <w:widowControl/>
              <w:jc w:val="center"/>
              <w:rPr>
                <w:rFonts w:ascii="宋体" w:hAnsi="宋体" w:eastAsia="宋体" w:cs="Times New Roman"/>
                <w:bCs/>
                <w:kern w:val="2"/>
                <w:sz w:val="18"/>
                <w:szCs w:val="18"/>
                <w:lang w:val="en-US" w:eastAsia="zh-CN" w:bidi="ar-SA"/>
              </w:rPr>
            </w:pPr>
          </w:p>
        </w:tc>
        <w:tc>
          <w:tcPr>
            <w:tcW w:w="0" w:type="auto"/>
            <w:vAlign w:val="center"/>
          </w:tcPr>
          <w:p w14:paraId="438DA6C7">
            <w:pPr>
              <w:widowControl/>
              <w:jc w:val="center"/>
              <w:rPr>
                <w:rFonts w:hint="eastAsia" w:ascii="宋体" w:hAnsi="宋体" w:eastAsia="宋体" w:cs="Times New Roman"/>
                <w:bCs/>
                <w:kern w:val="2"/>
                <w:sz w:val="18"/>
                <w:szCs w:val="18"/>
                <w:lang w:val="en-US" w:eastAsia="zh-CN" w:bidi="ar-SA"/>
              </w:rPr>
            </w:pPr>
          </w:p>
        </w:tc>
        <w:tc>
          <w:tcPr>
            <w:tcW w:w="0" w:type="auto"/>
            <w:vAlign w:val="center"/>
          </w:tcPr>
          <w:p w14:paraId="55DA22E3">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rPr>
              <w:t>2</w:t>
            </w:r>
          </w:p>
        </w:tc>
        <w:tc>
          <w:tcPr>
            <w:tcW w:w="0" w:type="auto"/>
            <w:vAlign w:val="center"/>
          </w:tcPr>
          <w:p w14:paraId="3CB7068A">
            <w:pPr>
              <w:widowControl/>
              <w:snapToGrid w:val="0"/>
              <w:jc w:val="left"/>
              <w:rPr>
                <w:rFonts w:hint="eastAsia" w:ascii="宋体" w:hAnsi="宋体" w:eastAsia="宋体" w:cs="Times New Roman"/>
                <w:bCs/>
                <w:kern w:val="2"/>
                <w:sz w:val="18"/>
                <w:szCs w:val="18"/>
                <w:lang w:val="en-US" w:eastAsia="zh-CN" w:bidi="ar-SA"/>
              </w:rPr>
            </w:pPr>
            <w:r>
              <w:rPr>
                <w:rFonts w:ascii="宋体" w:hAnsi="宋体"/>
                <w:sz w:val="18"/>
                <w:szCs w:val="18"/>
              </w:rPr>
              <w:t>未及时更新隐患排查清单</w:t>
            </w:r>
            <w:r>
              <w:rPr>
                <w:rFonts w:hint="eastAsia" w:ascii="宋体" w:hAnsi="宋体"/>
                <w:sz w:val="18"/>
                <w:szCs w:val="18"/>
              </w:rPr>
              <w:t>并开展排查工作</w:t>
            </w:r>
            <w:r>
              <w:rPr>
                <w:rFonts w:ascii="宋体" w:hAnsi="宋体"/>
                <w:sz w:val="18"/>
                <w:szCs w:val="18"/>
              </w:rPr>
              <w:t>的，</w:t>
            </w:r>
            <w:r>
              <w:rPr>
                <w:rFonts w:hint="eastAsia" w:ascii="宋体" w:hAnsi="宋体"/>
                <w:sz w:val="18"/>
                <w:szCs w:val="18"/>
              </w:rPr>
              <w:t>不得分</w:t>
            </w:r>
            <w:r>
              <w:rPr>
                <w:rFonts w:ascii="宋体" w:hAnsi="宋体"/>
                <w:sz w:val="18"/>
                <w:szCs w:val="18"/>
              </w:rPr>
              <w:t>。</w:t>
            </w:r>
          </w:p>
        </w:tc>
        <w:tc>
          <w:tcPr>
            <w:tcW w:w="0" w:type="auto"/>
            <w:vAlign w:val="top"/>
          </w:tcPr>
          <w:p w14:paraId="53227DCF">
            <w:pPr>
              <w:widowControl/>
              <w:jc w:val="center"/>
              <w:rPr>
                <w:rFonts w:ascii="宋体" w:hAnsi="宋体" w:eastAsia="宋体" w:cs="Times New Roman"/>
                <w:bCs/>
                <w:kern w:val="2"/>
                <w:sz w:val="18"/>
                <w:szCs w:val="18"/>
                <w:lang w:val="en-US" w:eastAsia="zh-CN" w:bidi="ar-SA"/>
              </w:rPr>
            </w:pPr>
          </w:p>
        </w:tc>
        <w:tc>
          <w:tcPr>
            <w:tcW w:w="0" w:type="auto"/>
            <w:vAlign w:val="top"/>
          </w:tcPr>
          <w:p w14:paraId="5D8B44A3">
            <w:pPr>
              <w:widowControl/>
              <w:jc w:val="center"/>
              <w:rPr>
                <w:rFonts w:ascii="宋体" w:hAnsi="宋体" w:eastAsia="宋体" w:cs="Times New Roman"/>
                <w:bCs/>
                <w:kern w:val="2"/>
                <w:sz w:val="18"/>
                <w:szCs w:val="18"/>
                <w:lang w:val="en-US" w:eastAsia="zh-CN" w:bidi="ar-SA"/>
              </w:rPr>
            </w:pPr>
          </w:p>
        </w:tc>
        <w:tc>
          <w:tcPr>
            <w:tcW w:w="0" w:type="auto"/>
            <w:vAlign w:val="center"/>
          </w:tcPr>
          <w:p w14:paraId="5476AF61">
            <w:pPr>
              <w:widowControl/>
              <w:jc w:val="center"/>
              <w:rPr>
                <w:rFonts w:ascii="宋体" w:hAnsi="宋体" w:eastAsia="宋体" w:cs="Times New Roman"/>
                <w:bCs/>
                <w:kern w:val="2"/>
                <w:sz w:val="18"/>
                <w:szCs w:val="18"/>
                <w:lang w:val="en-US" w:eastAsia="zh-CN" w:bidi="ar-SA"/>
              </w:rPr>
            </w:pPr>
            <w:r>
              <w:rPr>
                <w:rFonts w:hint="eastAsia" w:ascii="宋体" w:hAnsi="宋体"/>
                <w:sz w:val="18"/>
                <w:lang w:eastAsia="zh-CN"/>
              </w:rPr>
              <w:t>4.</w:t>
            </w:r>
            <w:r>
              <w:rPr>
                <w:rFonts w:hint="eastAsia" w:ascii="宋体" w:hAnsi="宋体"/>
                <w:sz w:val="18"/>
              </w:rPr>
              <w:t>1</w:t>
            </w:r>
          </w:p>
        </w:tc>
      </w:tr>
    </w:tbl>
    <w:p w14:paraId="25815E6D">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6003"/>
        <w:gridCol w:w="719"/>
        <w:gridCol w:w="725"/>
        <w:gridCol w:w="725"/>
        <w:gridCol w:w="3838"/>
        <w:gridCol w:w="749"/>
        <w:gridCol w:w="642"/>
        <w:gridCol w:w="1004"/>
      </w:tblGrid>
      <w:tr w14:paraId="0D7F6D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384D4C53">
            <w:pPr>
              <w:widowControl/>
              <w:jc w:val="center"/>
              <w:rPr>
                <w:rFonts w:ascii="宋体" w:hAnsi="宋体"/>
                <w:bCs/>
                <w:sz w:val="18"/>
                <w:szCs w:val="18"/>
              </w:rPr>
            </w:pPr>
            <w:r>
              <w:rPr>
                <w:rFonts w:ascii="宋体" w:hAnsi="宋体"/>
                <w:bCs/>
                <w:sz w:val="18"/>
                <w:szCs w:val="18"/>
              </w:rPr>
              <w:t>序号</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6BDB39F7">
            <w:pPr>
              <w:widowControl/>
              <w:jc w:val="center"/>
              <w:rPr>
                <w:rFonts w:ascii="宋体" w:hAnsi="宋体"/>
                <w:bCs/>
                <w:sz w:val="18"/>
                <w:szCs w:val="18"/>
              </w:rPr>
            </w:pPr>
            <w:r>
              <w:rPr>
                <w:rFonts w:ascii="宋体" w:hAnsi="宋体"/>
                <w:bCs/>
                <w:sz w:val="18"/>
                <w:szCs w:val="18"/>
              </w:rPr>
              <w:t>评定内容</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68A3EA0">
            <w:pPr>
              <w:widowControl/>
              <w:jc w:val="center"/>
              <w:rPr>
                <w:rFonts w:ascii="宋体" w:hAnsi="宋体"/>
                <w:bCs/>
                <w:sz w:val="18"/>
                <w:szCs w:val="18"/>
              </w:rPr>
            </w:pPr>
            <w:r>
              <w:rPr>
                <w:rFonts w:ascii="宋体" w:hAnsi="宋体"/>
                <w:bCs/>
                <w:sz w:val="18"/>
                <w:szCs w:val="18"/>
              </w:rPr>
              <w:t>评定要素分值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5556F141">
            <w:pPr>
              <w:widowControl/>
              <w:jc w:val="center"/>
              <w:rPr>
                <w:rFonts w:ascii="宋体" w:hAnsi="宋体"/>
                <w:bCs/>
                <w:sz w:val="18"/>
                <w:szCs w:val="18"/>
              </w:rPr>
            </w:pPr>
            <w:r>
              <w:rPr>
                <w:rFonts w:ascii="宋体" w:hAnsi="宋体"/>
                <w:bCs/>
                <w:sz w:val="18"/>
                <w:szCs w:val="18"/>
              </w:rPr>
              <w:t>评定细项分值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3E23AD8A">
            <w:pPr>
              <w:widowControl/>
              <w:jc w:val="center"/>
              <w:rPr>
                <w:rFonts w:ascii="宋体" w:hAnsi="宋体"/>
                <w:bCs/>
                <w:sz w:val="18"/>
                <w:szCs w:val="18"/>
              </w:rPr>
            </w:pPr>
            <w:r>
              <w:rPr>
                <w:rFonts w:ascii="宋体" w:hAnsi="宋体"/>
                <w:bCs/>
                <w:sz w:val="18"/>
                <w:szCs w:val="18"/>
              </w:rPr>
              <w:t>评定条款分值</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C447A20">
            <w:pPr>
              <w:widowControl/>
              <w:jc w:val="center"/>
              <w:rPr>
                <w:rFonts w:ascii="宋体" w:hAnsi="宋体"/>
                <w:bCs/>
                <w:sz w:val="18"/>
                <w:szCs w:val="18"/>
              </w:rPr>
            </w:pPr>
            <w:r>
              <w:rPr>
                <w:rFonts w:ascii="宋体" w:hAnsi="宋体"/>
                <w:bCs/>
                <w:sz w:val="18"/>
                <w:szCs w:val="18"/>
              </w:rPr>
              <w:t>评分标准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4D45CFD9">
            <w:pPr>
              <w:widowControl/>
              <w:jc w:val="center"/>
              <w:rPr>
                <w:rFonts w:ascii="宋体" w:hAnsi="宋体"/>
                <w:bCs/>
                <w:sz w:val="18"/>
                <w:szCs w:val="18"/>
              </w:rPr>
            </w:pPr>
            <w:r>
              <w:rPr>
                <w:rFonts w:ascii="宋体" w:hAnsi="宋体"/>
                <w:bCs/>
                <w:sz w:val="18"/>
                <w:szCs w:val="18"/>
              </w:rPr>
              <w:t>评定得分</w:t>
            </w:r>
          </w:p>
        </w:tc>
        <w:tc>
          <w:tcPr>
            <w:tcW w:w="642" w:type="dxa"/>
            <w:tcBorders>
              <w:top w:val="single" w:color="auto" w:sz="8" w:space="0"/>
              <w:left w:val="single" w:color="auto" w:sz="4" w:space="0"/>
              <w:bottom w:val="single" w:color="auto" w:sz="8" w:space="0"/>
              <w:right w:val="single" w:color="auto" w:sz="4" w:space="0"/>
            </w:tcBorders>
            <w:noWrap w:val="0"/>
            <w:vAlign w:val="center"/>
          </w:tcPr>
          <w:p w14:paraId="084A3827">
            <w:pPr>
              <w:widowControl/>
              <w:jc w:val="center"/>
              <w:rPr>
                <w:rFonts w:ascii="宋体" w:hAnsi="宋体"/>
                <w:bCs/>
                <w:sz w:val="18"/>
                <w:szCs w:val="18"/>
              </w:rPr>
            </w:pPr>
            <w:r>
              <w:rPr>
                <w:rFonts w:ascii="宋体" w:hAnsi="宋体"/>
                <w:bCs/>
                <w:sz w:val="18"/>
                <w:szCs w:val="18"/>
              </w:rPr>
              <w:t>扣分说明</w:t>
            </w:r>
          </w:p>
        </w:tc>
        <w:tc>
          <w:tcPr>
            <w:tcW w:w="1004" w:type="dxa"/>
            <w:tcBorders>
              <w:top w:val="single" w:color="auto" w:sz="8" w:space="0"/>
              <w:left w:val="single" w:color="auto" w:sz="4" w:space="0"/>
              <w:bottom w:val="single" w:color="auto" w:sz="8" w:space="0"/>
              <w:right w:val="single" w:color="auto" w:sz="8" w:space="0"/>
            </w:tcBorders>
            <w:noWrap w:val="0"/>
            <w:vAlign w:val="center"/>
          </w:tcPr>
          <w:p w14:paraId="45E40F84">
            <w:pPr>
              <w:widowControl/>
              <w:jc w:val="center"/>
              <w:rPr>
                <w:rFonts w:ascii="宋体" w:hAnsi="宋体"/>
                <w:bCs/>
                <w:sz w:val="18"/>
                <w:szCs w:val="18"/>
              </w:rPr>
            </w:pPr>
            <w:r>
              <w:rPr>
                <w:rFonts w:ascii="宋体" w:hAnsi="宋体"/>
                <w:bCs/>
                <w:sz w:val="18"/>
                <w:szCs w:val="18"/>
              </w:rPr>
              <w:t>对应条款编号</w:t>
            </w:r>
          </w:p>
        </w:tc>
      </w:tr>
      <w:tr w14:paraId="27D7E3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135CAD8C">
            <w:pPr>
              <w:widowControl/>
              <w:jc w:val="center"/>
              <w:rPr>
                <w:rFonts w:hint="eastAsia" w:ascii="宋体" w:hAnsi="宋体" w:eastAsia="宋体"/>
                <w:sz w:val="18"/>
                <w:lang w:eastAsia="zh-CN"/>
              </w:rPr>
            </w:pPr>
            <w:r>
              <w:rPr>
                <w:rFonts w:hint="eastAsia" w:ascii="宋体" w:hAnsi="宋体"/>
                <w:sz w:val="18"/>
                <w:lang w:eastAsia="zh-CN"/>
              </w:rPr>
              <w:t>1.8.2</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4A22B22A">
            <w:pPr>
              <w:adjustRightInd w:val="0"/>
              <w:snapToGrid w:val="0"/>
              <w:jc w:val="left"/>
              <w:rPr>
                <w:rFonts w:hint="eastAsia" w:ascii="宋体" w:hAnsi="宋体"/>
                <w:sz w:val="18"/>
                <w:szCs w:val="18"/>
              </w:rPr>
            </w:pPr>
            <w:r>
              <w:rPr>
                <w:rFonts w:hint="eastAsia" w:ascii="宋体" w:hAnsi="宋体"/>
                <w:sz w:val="18"/>
              </w:rPr>
              <w:t>事故隐患治理</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50678CA9">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54E77F88">
            <w:pPr>
              <w:widowControl/>
              <w:jc w:val="center"/>
              <w:rPr>
                <w:rFonts w:ascii="宋体" w:hAnsi="宋体"/>
                <w:bCs/>
                <w:sz w:val="18"/>
                <w:szCs w:val="18"/>
              </w:rPr>
            </w:pPr>
            <w:r>
              <w:rPr>
                <w:rFonts w:hint="eastAsia" w:ascii="宋体" w:hAnsi="宋体"/>
                <w:sz w:val="18"/>
              </w:rPr>
              <w:t>15</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4806C22C">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470090F2">
            <w:pPr>
              <w:widowControl/>
              <w:jc w:val="left"/>
              <w:rPr>
                <w:rFonts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1D4E0ACA">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42130069">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3521E53">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097491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407340B5">
            <w:pPr>
              <w:widowControl/>
              <w:jc w:val="center"/>
              <w:rPr>
                <w:rFonts w:hint="eastAsia" w:ascii="宋体" w:hAnsi="宋体"/>
                <w:sz w:val="18"/>
              </w:rPr>
            </w:pPr>
            <w:r>
              <w:rPr>
                <w:rFonts w:hint="eastAsia" w:ascii="宋体" w:hAnsi="宋体"/>
                <w:sz w:val="18"/>
                <w:lang w:eastAsia="zh-CN"/>
              </w:rPr>
              <w:t>1.8.2</w:t>
            </w:r>
            <w:r>
              <w:rPr>
                <w:rFonts w:hint="eastAsia" w:ascii="宋体" w:hAnsi="宋体"/>
                <w:sz w:val="18"/>
              </w:rPr>
              <w:t>.1</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0CD40CC6">
            <w:pPr>
              <w:adjustRightInd w:val="0"/>
              <w:snapToGrid w:val="0"/>
              <w:jc w:val="left"/>
              <w:rPr>
                <w:rFonts w:hint="eastAsia" w:ascii="宋体" w:hAnsi="宋体"/>
                <w:sz w:val="18"/>
              </w:rPr>
            </w:pPr>
            <w:r>
              <w:rPr>
                <w:rFonts w:hint="eastAsia" w:ascii="宋体" w:hAnsi="宋体"/>
                <w:sz w:val="18"/>
                <w:szCs w:val="18"/>
                <w:lang w:eastAsia="zh-CN"/>
              </w:rPr>
              <w:t>景区</w:t>
            </w:r>
            <w:r>
              <w:rPr>
                <w:rFonts w:hint="eastAsia" w:ascii="宋体" w:hAnsi="宋体"/>
                <w:sz w:val="18"/>
                <w:szCs w:val="18"/>
              </w:rPr>
              <w:t>应建立事故隐患治理台账。针对</w:t>
            </w:r>
            <w:r>
              <w:rPr>
                <w:rFonts w:ascii="宋体" w:hAnsi="宋体"/>
                <w:sz w:val="18"/>
                <w:szCs w:val="18"/>
              </w:rPr>
              <w:t>不能立即整改的事故隐患，应</w:t>
            </w:r>
            <w:r>
              <w:rPr>
                <w:rFonts w:hint="eastAsia" w:ascii="宋体" w:hAnsi="宋体"/>
                <w:sz w:val="18"/>
                <w:szCs w:val="18"/>
              </w:rPr>
              <w:t>制定</w:t>
            </w:r>
            <w:r>
              <w:rPr>
                <w:rFonts w:ascii="宋体" w:hAnsi="宋体"/>
                <w:sz w:val="18"/>
                <w:szCs w:val="18"/>
              </w:rPr>
              <w:t>治理方案，方案应包</w:t>
            </w:r>
            <w:r>
              <w:rPr>
                <w:rFonts w:hint="eastAsia" w:ascii="宋体" w:hAnsi="宋体"/>
                <w:sz w:val="18"/>
                <w:szCs w:val="18"/>
              </w:rPr>
              <w:t>括安全</w:t>
            </w:r>
            <w:r>
              <w:rPr>
                <w:rFonts w:ascii="宋体" w:hAnsi="宋体"/>
                <w:sz w:val="18"/>
                <w:szCs w:val="18"/>
              </w:rPr>
              <w:t>技术措施</w:t>
            </w:r>
            <w:r>
              <w:rPr>
                <w:rFonts w:hint="eastAsia" w:ascii="宋体" w:hAnsi="宋体"/>
                <w:sz w:val="18"/>
                <w:szCs w:val="18"/>
              </w:rPr>
              <w:t>、安全</w:t>
            </w:r>
            <w:r>
              <w:rPr>
                <w:rFonts w:ascii="宋体" w:hAnsi="宋体"/>
                <w:sz w:val="18"/>
                <w:szCs w:val="18"/>
              </w:rPr>
              <w:t>管理措施</w:t>
            </w:r>
            <w:r>
              <w:rPr>
                <w:rFonts w:hint="eastAsia" w:ascii="宋体" w:hAnsi="宋体"/>
                <w:sz w:val="18"/>
                <w:szCs w:val="18"/>
              </w:rPr>
              <w:t>，以及责任部门、责任</w:t>
            </w:r>
            <w:r>
              <w:rPr>
                <w:rFonts w:ascii="宋体" w:hAnsi="宋体"/>
                <w:sz w:val="18"/>
                <w:szCs w:val="18"/>
              </w:rPr>
              <w:t>人</w:t>
            </w:r>
            <w:r>
              <w:rPr>
                <w:rFonts w:hint="eastAsia" w:ascii="宋体" w:hAnsi="宋体"/>
                <w:sz w:val="18"/>
                <w:szCs w:val="18"/>
              </w:rPr>
              <w:t>和完成期</w:t>
            </w:r>
            <w:r>
              <w:rPr>
                <w:rFonts w:ascii="宋体" w:hAnsi="宋体"/>
                <w:sz w:val="18"/>
                <w:szCs w:val="18"/>
              </w:rPr>
              <w:t>限</w:t>
            </w:r>
            <w:r>
              <w:rPr>
                <w:rFonts w:hint="eastAsia" w:ascii="宋体" w:hAnsi="宋体"/>
                <w:sz w:val="18"/>
                <w:szCs w:val="18"/>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3B0374F">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D638CBF">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321E7DA7">
            <w:pPr>
              <w:widowControl/>
              <w:jc w:val="center"/>
              <w:rPr>
                <w:rFonts w:hint="eastAsia" w:ascii="宋体" w:hAnsi="宋体"/>
                <w:sz w:val="18"/>
              </w:rPr>
            </w:pPr>
            <w:r>
              <w:rPr>
                <w:rFonts w:hint="eastAsia" w:ascii="宋体" w:hAnsi="宋体"/>
                <w:sz w:val="18"/>
              </w:rPr>
              <w:t>6</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C7BC206">
            <w:pPr>
              <w:adjustRightInd w:val="0"/>
              <w:snapToGrid w:val="0"/>
              <w:spacing w:line="240" w:lineRule="atLeast"/>
              <w:jc w:val="left"/>
              <w:rPr>
                <w:rFonts w:ascii="宋体" w:hAnsi="宋体"/>
                <w:sz w:val="18"/>
                <w:szCs w:val="18"/>
              </w:rPr>
            </w:pPr>
            <w:r>
              <w:rPr>
                <w:rFonts w:hint="eastAsia" w:ascii="宋体" w:hAnsi="宋体"/>
                <w:sz w:val="18"/>
                <w:szCs w:val="18"/>
              </w:rPr>
              <w:t>1）</w:t>
            </w:r>
            <w:r>
              <w:rPr>
                <w:rFonts w:ascii="宋体" w:hAnsi="宋体"/>
                <w:sz w:val="18"/>
                <w:szCs w:val="18"/>
              </w:rPr>
              <w:t>未建立隐患治理台帐的，</w:t>
            </w:r>
            <w:r>
              <w:rPr>
                <w:rFonts w:hint="eastAsia" w:ascii="宋体" w:hAnsi="宋体"/>
                <w:sz w:val="18"/>
                <w:szCs w:val="18"/>
              </w:rPr>
              <w:t>不得分</w:t>
            </w:r>
            <w:r>
              <w:rPr>
                <w:rFonts w:ascii="宋体" w:hAnsi="宋体"/>
                <w:sz w:val="18"/>
                <w:szCs w:val="18"/>
              </w:rPr>
              <w:t>；</w:t>
            </w:r>
          </w:p>
          <w:p w14:paraId="35A32ADB">
            <w:pPr>
              <w:adjustRightInd w:val="0"/>
              <w:snapToGrid w:val="0"/>
              <w:spacing w:line="240" w:lineRule="atLeast"/>
              <w:jc w:val="left"/>
              <w:rPr>
                <w:rFonts w:ascii="宋体" w:hAnsi="宋体"/>
                <w:sz w:val="18"/>
                <w:szCs w:val="18"/>
              </w:rPr>
            </w:pPr>
            <w:r>
              <w:rPr>
                <w:rFonts w:hint="eastAsia" w:ascii="宋体" w:hAnsi="宋体"/>
                <w:sz w:val="18"/>
                <w:szCs w:val="18"/>
              </w:rPr>
              <w:t>2）</w:t>
            </w:r>
            <w:r>
              <w:rPr>
                <w:rFonts w:ascii="宋体" w:hAnsi="宋体"/>
                <w:sz w:val="18"/>
                <w:szCs w:val="18"/>
              </w:rPr>
              <w:t>对不能立即整改的隐患，未建立隐患治理方案的，</w:t>
            </w:r>
            <w:r>
              <w:rPr>
                <w:rFonts w:hint="eastAsia" w:ascii="宋体" w:hAnsi="宋体"/>
                <w:sz w:val="18"/>
                <w:szCs w:val="18"/>
              </w:rPr>
              <w:t>扣3分</w:t>
            </w:r>
            <w:r>
              <w:rPr>
                <w:rFonts w:ascii="宋体" w:hAnsi="宋体"/>
                <w:sz w:val="18"/>
                <w:szCs w:val="18"/>
              </w:rPr>
              <w:t>；</w:t>
            </w:r>
          </w:p>
          <w:p w14:paraId="5E796475">
            <w:pPr>
              <w:widowControl/>
              <w:jc w:val="left"/>
              <w:rPr>
                <w:rFonts w:ascii="宋体" w:hAnsi="宋体"/>
                <w:sz w:val="18"/>
                <w:szCs w:val="18"/>
              </w:rPr>
            </w:pPr>
            <w:r>
              <w:rPr>
                <w:rFonts w:hint="eastAsia" w:ascii="宋体" w:hAnsi="宋体"/>
                <w:sz w:val="18"/>
                <w:szCs w:val="18"/>
              </w:rPr>
              <w:t>3）</w:t>
            </w:r>
            <w:r>
              <w:rPr>
                <w:rFonts w:ascii="宋体" w:hAnsi="宋体"/>
                <w:sz w:val="18"/>
                <w:szCs w:val="18"/>
              </w:rPr>
              <w:t>隐患治理方案内容不全的，扣</w:t>
            </w:r>
            <w:r>
              <w:rPr>
                <w:rFonts w:hint="eastAsia" w:ascii="宋体" w:hAnsi="宋体"/>
                <w:sz w:val="18"/>
                <w:szCs w:val="18"/>
              </w:rPr>
              <w:t>3</w:t>
            </w:r>
            <w:r>
              <w:rPr>
                <w:rFonts w:ascii="宋体" w:hAnsi="宋体"/>
                <w:sz w:val="18"/>
                <w:szCs w:val="18"/>
              </w:rPr>
              <w:t>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098FC926">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721C7B66">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2D71E92">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7E8634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644D1081">
            <w:pPr>
              <w:widowControl/>
              <w:jc w:val="center"/>
              <w:rPr>
                <w:rFonts w:hint="eastAsia" w:ascii="宋体" w:hAnsi="宋体"/>
                <w:sz w:val="18"/>
              </w:rPr>
            </w:pPr>
            <w:r>
              <w:rPr>
                <w:rFonts w:hint="eastAsia" w:ascii="宋体" w:hAnsi="宋体"/>
                <w:sz w:val="18"/>
                <w:lang w:eastAsia="zh-CN"/>
              </w:rPr>
              <w:t>1.8.2</w:t>
            </w:r>
            <w:r>
              <w:rPr>
                <w:rFonts w:hint="eastAsia" w:ascii="宋体" w:hAnsi="宋体"/>
                <w:sz w:val="18"/>
              </w:rPr>
              <w:t>.2</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6827648E">
            <w:pPr>
              <w:adjustRightInd w:val="0"/>
              <w:snapToGrid w:val="0"/>
              <w:jc w:val="left"/>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应对事故</w:t>
            </w:r>
            <w:r>
              <w:rPr>
                <w:rFonts w:ascii="宋体" w:hAnsi="宋体"/>
                <w:sz w:val="18"/>
                <w:szCs w:val="18"/>
              </w:rPr>
              <w:t>隐患治理方案</w:t>
            </w:r>
            <w:r>
              <w:rPr>
                <w:rFonts w:hint="eastAsia" w:ascii="宋体" w:hAnsi="宋体"/>
                <w:sz w:val="18"/>
                <w:szCs w:val="18"/>
              </w:rPr>
              <w:t>的实施过程进行跟踪、核查，事故</w:t>
            </w:r>
            <w:r>
              <w:rPr>
                <w:rFonts w:ascii="宋体" w:hAnsi="宋体"/>
                <w:sz w:val="18"/>
                <w:szCs w:val="18"/>
              </w:rPr>
              <w:t>隐患</w:t>
            </w:r>
            <w:r>
              <w:rPr>
                <w:rFonts w:hint="eastAsia" w:ascii="宋体" w:hAnsi="宋体"/>
                <w:sz w:val="18"/>
                <w:szCs w:val="18"/>
              </w:rPr>
              <w:t>治理工作应按计划和规定的要求在限定期限内完成。在事故隐患治理过程中，应采取相应的防范措施。</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3F1CEA61">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7D38023A">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D632E91">
            <w:pPr>
              <w:widowControl/>
              <w:jc w:val="center"/>
              <w:rPr>
                <w:rFonts w:hint="eastAsia" w:ascii="宋体" w:hAnsi="宋体"/>
                <w:sz w:val="18"/>
              </w:rPr>
            </w:pPr>
            <w:r>
              <w:rPr>
                <w:rFonts w:hint="eastAsia" w:ascii="宋体" w:hAnsi="宋体"/>
                <w:sz w:val="18"/>
              </w:rPr>
              <w:t>6</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4A60054">
            <w:pPr>
              <w:adjustRightInd w:val="0"/>
              <w:snapToGrid w:val="0"/>
              <w:spacing w:line="240" w:lineRule="atLeast"/>
              <w:jc w:val="left"/>
              <w:rPr>
                <w:rFonts w:hint="eastAsia" w:ascii="宋体" w:hAnsi="宋体"/>
                <w:sz w:val="18"/>
                <w:szCs w:val="18"/>
              </w:rPr>
            </w:pPr>
            <w:r>
              <w:rPr>
                <w:rFonts w:ascii="宋体" w:hAnsi="宋体"/>
                <w:sz w:val="18"/>
                <w:szCs w:val="18"/>
              </w:rPr>
              <w:t>未对事故隐患治理方案的实施过程进行跟踪并提供相应记录的，</w:t>
            </w:r>
            <w:r>
              <w:rPr>
                <w:rFonts w:hint="eastAsia" w:ascii="宋体" w:hAnsi="宋体"/>
                <w:sz w:val="18"/>
                <w:szCs w:val="18"/>
              </w:rPr>
              <w:t>不得分</w:t>
            </w:r>
            <w:r>
              <w:rPr>
                <w:rFonts w:ascii="宋体" w:hAnsi="宋体"/>
                <w:sz w:val="18"/>
                <w:szCs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230DD317">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353064E3">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1B786667">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21EC25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ADF9742">
            <w:pPr>
              <w:widowControl/>
              <w:jc w:val="center"/>
              <w:rPr>
                <w:rFonts w:hint="eastAsia" w:ascii="宋体" w:hAnsi="宋体"/>
                <w:sz w:val="18"/>
              </w:rPr>
            </w:pPr>
            <w:r>
              <w:rPr>
                <w:rFonts w:hint="eastAsia" w:ascii="宋体" w:hAnsi="宋体"/>
                <w:sz w:val="18"/>
                <w:lang w:eastAsia="zh-CN"/>
              </w:rPr>
              <w:t>1.8.2</w:t>
            </w:r>
            <w:r>
              <w:rPr>
                <w:rFonts w:hint="eastAsia" w:ascii="宋体" w:hAnsi="宋体"/>
                <w:sz w:val="18"/>
              </w:rPr>
              <w:t>.3</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46CFA291">
            <w:pPr>
              <w:adjustRightInd w:val="0"/>
              <w:snapToGrid w:val="0"/>
              <w:jc w:val="left"/>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w:t>
            </w:r>
            <w:r>
              <w:rPr>
                <w:rFonts w:ascii="宋体" w:hAnsi="宋体"/>
                <w:sz w:val="18"/>
                <w:szCs w:val="18"/>
              </w:rPr>
              <w:t>对事故隐患治理情况进行</w:t>
            </w:r>
            <w:r>
              <w:rPr>
                <w:rFonts w:hint="eastAsia" w:ascii="宋体" w:hAnsi="宋体"/>
                <w:sz w:val="18"/>
                <w:szCs w:val="18"/>
              </w:rPr>
              <w:t>登记</w:t>
            </w:r>
            <w:r>
              <w:rPr>
                <w:rFonts w:ascii="宋体" w:hAnsi="宋体"/>
                <w:sz w:val="18"/>
                <w:szCs w:val="18"/>
              </w:rPr>
              <w:t>和效果评估</w:t>
            </w:r>
            <w:r>
              <w:rPr>
                <w:rFonts w:hint="eastAsia" w:ascii="宋体" w:hAnsi="宋体"/>
                <w:sz w:val="18"/>
                <w:szCs w:val="18"/>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6EF0FD9C">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2489CA01">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556B093">
            <w:pPr>
              <w:widowControl/>
              <w:jc w:val="center"/>
              <w:rPr>
                <w:rFonts w:hint="eastAsia" w:ascii="宋体" w:hAnsi="宋体"/>
                <w:sz w:val="18"/>
              </w:rPr>
            </w:pPr>
            <w:r>
              <w:rPr>
                <w:rFonts w:hint="eastAsia" w:ascii="宋体" w:hAnsi="宋体"/>
                <w:sz w:val="18"/>
              </w:rPr>
              <w:t>3</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3302753">
            <w:pPr>
              <w:adjustRightInd w:val="0"/>
              <w:snapToGrid w:val="0"/>
              <w:spacing w:line="240" w:lineRule="atLeast"/>
              <w:jc w:val="left"/>
              <w:rPr>
                <w:rFonts w:ascii="宋体" w:hAnsi="宋体"/>
                <w:sz w:val="18"/>
                <w:szCs w:val="18"/>
              </w:rPr>
            </w:pPr>
            <w:r>
              <w:rPr>
                <w:rFonts w:ascii="宋体" w:hAnsi="宋体"/>
                <w:sz w:val="18"/>
                <w:szCs w:val="18"/>
              </w:rPr>
              <w:t>未提供登记和效果评估记录的，</w:t>
            </w:r>
            <w:r>
              <w:rPr>
                <w:rFonts w:hint="eastAsia" w:ascii="宋体" w:hAnsi="宋体"/>
                <w:sz w:val="18"/>
                <w:szCs w:val="18"/>
              </w:rPr>
              <w:t>不得分</w:t>
            </w:r>
            <w:r>
              <w:rPr>
                <w:rFonts w:ascii="宋体" w:hAnsi="宋体"/>
                <w:sz w:val="18"/>
                <w:szCs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60E3BC62">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0371C4E1">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569021DA">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35908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96C46FE">
            <w:pPr>
              <w:widowControl/>
              <w:jc w:val="center"/>
              <w:rPr>
                <w:rFonts w:hint="eastAsia" w:ascii="宋体" w:hAnsi="宋体" w:eastAsia="宋体"/>
                <w:sz w:val="18"/>
                <w:lang w:eastAsia="zh-CN"/>
              </w:rPr>
            </w:pPr>
            <w:r>
              <w:rPr>
                <w:rFonts w:hint="eastAsia" w:ascii="宋体" w:hAnsi="宋体"/>
                <w:sz w:val="18"/>
                <w:lang w:eastAsia="zh-CN"/>
              </w:rPr>
              <w:t>1.8.3</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2097C075">
            <w:pPr>
              <w:adjustRightInd w:val="0"/>
              <w:snapToGrid w:val="0"/>
              <w:jc w:val="left"/>
              <w:rPr>
                <w:rFonts w:hint="eastAsia" w:ascii="宋体" w:hAnsi="宋体"/>
                <w:sz w:val="18"/>
                <w:szCs w:val="18"/>
              </w:rPr>
            </w:pPr>
            <w:r>
              <w:rPr>
                <w:rFonts w:hint="eastAsia" w:ascii="宋体" w:hAnsi="宋体"/>
                <w:sz w:val="18"/>
              </w:rPr>
              <w:t>事故隐患公示及过程管理</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3B793E70">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AD84F27">
            <w:pPr>
              <w:widowControl/>
              <w:jc w:val="center"/>
              <w:rPr>
                <w:rFonts w:hint="eastAsia" w:ascii="宋体" w:hAnsi="宋体"/>
                <w:sz w:val="18"/>
              </w:rPr>
            </w:pPr>
            <w:r>
              <w:rPr>
                <w:rFonts w:hint="eastAsia" w:ascii="宋体" w:hAnsi="宋体"/>
                <w:sz w:val="18"/>
              </w:rPr>
              <w:t>10</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5330CCCF">
            <w:pPr>
              <w:widowControl/>
              <w:jc w:val="center"/>
              <w:rPr>
                <w:rFonts w:hint="eastAsia" w:ascii="宋体" w:hAnsi="宋体"/>
                <w:sz w:val="18"/>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831BD5E">
            <w:pPr>
              <w:adjustRightInd w:val="0"/>
              <w:snapToGrid w:val="0"/>
              <w:spacing w:line="240" w:lineRule="atLeast"/>
              <w:jc w:val="left"/>
              <w:rPr>
                <w:rFonts w:ascii="宋体" w:hAnsi="宋体"/>
                <w:sz w:val="18"/>
                <w:szCs w:val="18"/>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60E1A08F">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4ECA7F6C">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69821A4C">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70F1E9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7571FF9A">
            <w:pPr>
              <w:widowControl/>
              <w:jc w:val="center"/>
              <w:rPr>
                <w:rFonts w:hint="eastAsia" w:ascii="宋体" w:hAnsi="宋体"/>
                <w:sz w:val="18"/>
              </w:rPr>
            </w:pPr>
            <w:r>
              <w:rPr>
                <w:rFonts w:hint="eastAsia" w:ascii="宋体" w:hAnsi="宋体"/>
                <w:sz w:val="18"/>
                <w:lang w:eastAsia="zh-CN"/>
              </w:rPr>
              <w:t>1.8.3</w:t>
            </w:r>
            <w:r>
              <w:rPr>
                <w:rFonts w:hint="eastAsia" w:ascii="宋体" w:hAnsi="宋体"/>
                <w:sz w:val="18"/>
              </w:rPr>
              <w:t>.1</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1E2261DB">
            <w:pPr>
              <w:adjustRightInd w:val="0"/>
              <w:snapToGrid w:val="0"/>
              <w:jc w:val="left"/>
              <w:rPr>
                <w:rFonts w:hint="eastAsia" w:ascii="宋体" w:hAnsi="宋体"/>
                <w:sz w:val="18"/>
              </w:rPr>
            </w:pPr>
            <w:r>
              <w:rPr>
                <w:rFonts w:hint="eastAsia" w:ascii="宋体" w:hAnsi="宋体"/>
                <w:sz w:val="18"/>
                <w:szCs w:val="18"/>
                <w:lang w:eastAsia="zh-CN"/>
              </w:rPr>
              <w:t>景区</w:t>
            </w:r>
            <w:r>
              <w:rPr>
                <w:rFonts w:hint="eastAsia" w:ascii="宋体" w:hAnsi="宋体"/>
                <w:sz w:val="18"/>
                <w:szCs w:val="18"/>
              </w:rPr>
              <w:t>应每月向从业人员通报事故隐患排查治理情况。重大事故隐患消除前，</w:t>
            </w:r>
            <w:r>
              <w:rPr>
                <w:rFonts w:hint="eastAsia" w:ascii="宋体" w:hAnsi="宋体"/>
                <w:sz w:val="18"/>
                <w:szCs w:val="18"/>
                <w:lang w:eastAsia="zh-CN"/>
              </w:rPr>
              <w:t>景区</w:t>
            </w:r>
            <w:r>
              <w:rPr>
                <w:rFonts w:hint="eastAsia" w:ascii="宋体" w:hAnsi="宋体"/>
                <w:sz w:val="18"/>
                <w:szCs w:val="18"/>
              </w:rPr>
              <w:t>应向从业人员公示事故隐患所在位置、危害程度、影响范围和应急措施等信息。</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0C3C7553">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9036A76">
            <w:pPr>
              <w:widowControl/>
              <w:jc w:val="center"/>
              <w:rPr>
                <w:rFonts w:hint="eastAsia" w:ascii="宋体" w:hAnsi="宋体"/>
                <w:sz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1EAB01F8">
            <w:pPr>
              <w:widowControl/>
              <w:jc w:val="center"/>
              <w:rPr>
                <w:rFonts w:hint="default" w:ascii="宋体" w:hAnsi="宋体" w:eastAsia="宋体"/>
                <w:sz w:val="18"/>
                <w:lang w:val="en-US" w:eastAsia="zh-CN"/>
              </w:rPr>
            </w:pPr>
            <w:r>
              <w:rPr>
                <w:rFonts w:hint="eastAsia" w:ascii="宋体" w:hAnsi="宋体"/>
                <w:sz w:val="18"/>
                <w:lang w:val="en-US" w:eastAsia="zh-CN"/>
              </w:rPr>
              <w:t>10</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61A296A">
            <w:pPr>
              <w:adjustRightInd w:val="0"/>
              <w:snapToGrid w:val="0"/>
              <w:spacing w:line="240" w:lineRule="atLeast"/>
              <w:jc w:val="left"/>
              <w:rPr>
                <w:rFonts w:ascii="宋体" w:hAnsi="宋体"/>
                <w:sz w:val="18"/>
              </w:rPr>
            </w:pPr>
            <w:r>
              <w:rPr>
                <w:rFonts w:hint="eastAsia" w:ascii="宋体" w:hAnsi="宋体"/>
                <w:sz w:val="18"/>
              </w:rPr>
              <w:t>1）未每月向从业人员通报事故隐患排查治理情况的，</w:t>
            </w:r>
            <w:r>
              <w:rPr>
                <w:rFonts w:hint="eastAsia" w:ascii="宋体" w:hAnsi="宋体"/>
                <w:sz w:val="18"/>
                <w:szCs w:val="18"/>
              </w:rPr>
              <w:t>不得分</w:t>
            </w:r>
            <w:r>
              <w:rPr>
                <w:rFonts w:hint="eastAsia" w:ascii="宋体" w:hAnsi="宋体"/>
                <w:sz w:val="18"/>
              </w:rPr>
              <w:t>；</w:t>
            </w:r>
          </w:p>
          <w:p w14:paraId="1679C742">
            <w:pPr>
              <w:adjustRightInd w:val="0"/>
              <w:snapToGrid w:val="0"/>
              <w:spacing w:line="240" w:lineRule="atLeast"/>
              <w:jc w:val="left"/>
              <w:rPr>
                <w:rFonts w:ascii="宋体" w:hAnsi="宋体"/>
                <w:sz w:val="18"/>
                <w:szCs w:val="18"/>
              </w:rPr>
            </w:pPr>
            <w:r>
              <w:rPr>
                <w:rFonts w:hint="eastAsia" w:ascii="宋体" w:hAnsi="宋体"/>
                <w:sz w:val="18"/>
              </w:rPr>
              <w:t>2）重大隐患消除前，未公示事故隐患的危害程度、影响范围和应急措施的，</w:t>
            </w:r>
            <w:r>
              <w:rPr>
                <w:rFonts w:hint="eastAsia" w:ascii="宋体" w:hAnsi="宋体"/>
                <w:sz w:val="18"/>
                <w:szCs w:val="18"/>
              </w:rPr>
              <w:t>不得分</w:t>
            </w:r>
            <w:r>
              <w:rPr>
                <w:rFonts w:hint="eastAsia" w:ascii="宋体" w:hAnsi="宋体"/>
                <w:sz w:val="18"/>
              </w:rPr>
              <w:t>。</w:t>
            </w:r>
          </w:p>
        </w:tc>
        <w:tc>
          <w:tcPr>
            <w:tcW w:w="749" w:type="dxa"/>
            <w:tcBorders>
              <w:top w:val="single" w:color="auto" w:sz="8" w:space="0"/>
              <w:left w:val="single" w:color="auto" w:sz="4" w:space="0"/>
              <w:bottom w:val="single" w:color="auto" w:sz="8" w:space="0"/>
              <w:right w:val="single" w:color="auto" w:sz="4" w:space="0"/>
            </w:tcBorders>
            <w:noWrap w:val="0"/>
            <w:vAlign w:val="top"/>
          </w:tcPr>
          <w:p w14:paraId="380B4B72">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59A1C5D9">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2FE1FAAD">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574424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44BB5BDB">
            <w:pPr>
              <w:adjustRightInd w:val="0"/>
              <w:snapToGrid w:val="0"/>
              <w:jc w:val="center"/>
              <w:rPr>
                <w:rFonts w:hint="eastAsia" w:ascii="宋体" w:hAnsi="Times New Roman" w:eastAsia="宋体" w:cs="Times New Roman"/>
                <w:kern w:val="2"/>
                <w:sz w:val="18"/>
                <w:szCs w:val="24"/>
                <w:lang w:val="en-US" w:eastAsia="zh-CN" w:bidi="ar-SA"/>
              </w:rPr>
            </w:pPr>
            <w:r>
              <w:rPr>
                <w:rFonts w:hint="eastAsia" w:ascii="宋体"/>
                <w:sz w:val="18"/>
                <w:lang w:eastAsia="zh-CN"/>
              </w:rPr>
              <w:t>1.9</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0C4D60AB">
            <w:pPr>
              <w:adjustRightInd w:val="0"/>
              <w:snapToGrid w:val="0"/>
              <w:rPr>
                <w:rFonts w:hint="eastAsia" w:ascii="宋体" w:hAnsi="Times New Roman" w:eastAsia="宋体" w:cs="Times New Roman"/>
                <w:kern w:val="2"/>
                <w:sz w:val="18"/>
                <w:szCs w:val="24"/>
                <w:lang w:val="en-US" w:eastAsia="zh-CN" w:bidi="ar-SA"/>
              </w:rPr>
            </w:pPr>
            <w:r>
              <w:rPr>
                <w:rFonts w:hint="eastAsia" w:ascii="宋体"/>
                <w:sz w:val="18"/>
              </w:rPr>
              <w:t>相关方安全</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2870F43D">
            <w:pPr>
              <w:adjustRightInd w:val="0"/>
              <w:snapToGrid w:val="0"/>
              <w:jc w:val="center"/>
              <w:rPr>
                <w:rFonts w:ascii="宋体" w:hAnsi="Times New Roman" w:eastAsia="宋体" w:cs="Times New Roman"/>
                <w:kern w:val="2"/>
                <w:sz w:val="18"/>
                <w:szCs w:val="24"/>
                <w:lang w:val="en-US" w:eastAsia="zh-CN" w:bidi="ar-SA"/>
              </w:rPr>
            </w:pPr>
            <w:r>
              <w:rPr>
                <w:rFonts w:hint="eastAsia" w:ascii="宋体"/>
                <w:sz w:val="18"/>
                <w:lang w:val="en-US" w:eastAsia="zh-CN"/>
              </w:rPr>
              <w:t>4</w:t>
            </w:r>
            <w:r>
              <w:rPr>
                <w:rFonts w:hint="eastAsia" w:ascii="宋体"/>
                <w:sz w:val="18"/>
              </w:rPr>
              <w:t>0</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2C2A3AD0">
            <w:pPr>
              <w:adjustRightInd w:val="0"/>
              <w:snapToGrid w:val="0"/>
              <w:jc w:val="center"/>
              <w:rPr>
                <w:rFonts w:hint="eastAsia" w:ascii="宋体" w:hAnsi="Times New Roman"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5FE5C665">
            <w:pPr>
              <w:adjustRightInd w:val="0"/>
              <w:snapToGrid w:val="0"/>
              <w:jc w:val="center"/>
              <w:rPr>
                <w:rFonts w:hint="eastAsia" w:ascii="宋体" w:hAnsi="Times New Roman" w:eastAsia="宋体" w:cs="Times New Roman"/>
                <w:kern w:val="2"/>
                <w:sz w:val="18"/>
                <w:szCs w:val="24"/>
                <w:lang w:val="en-US" w:eastAsia="zh-CN" w:bidi="ar-SA"/>
              </w:rPr>
            </w:pPr>
          </w:p>
        </w:tc>
        <w:tc>
          <w:tcPr>
            <w:tcW w:w="3838" w:type="dxa"/>
            <w:tcBorders>
              <w:top w:val="single" w:color="auto" w:sz="8" w:space="0"/>
              <w:left w:val="single" w:color="auto" w:sz="4" w:space="0"/>
              <w:bottom w:val="single" w:color="auto" w:sz="8" w:space="0"/>
              <w:right w:val="single" w:color="auto" w:sz="4" w:space="0"/>
            </w:tcBorders>
            <w:noWrap w:val="0"/>
            <w:vAlign w:val="center"/>
          </w:tcPr>
          <w:p w14:paraId="590B9351">
            <w:pPr>
              <w:adjustRightInd w:val="0"/>
              <w:snapToGrid w:val="0"/>
              <w:rPr>
                <w:rFonts w:hint="eastAsia" w:ascii="宋体" w:hAnsi="Times New Roman" w:eastAsia="宋体" w:cs="Times New Roman"/>
                <w:kern w:val="2"/>
                <w:sz w:val="18"/>
                <w:szCs w:val="18"/>
                <w:lang w:val="en-US" w:eastAsia="zh-CN" w:bidi="ar-SA"/>
              </w:rPr>
            </w:pPr>
          </w:p>
        </w:tc>
        <w:tc>
          <w:tcPr>
            <w:tcW w:w="749" w:type="dxa"/>
            <w:tcBorders>
              <w:top w:val="single" w:color="auto" w:sz="8" w:space="0"/>
              <w:left w:val="single" w:color="auto" w:sz="4" w:space="0"/>
              <w:bottom w:val="single" w:color="auto" w:sz="8" w:space="0"/>
              <w:right w:val="single" w:color="auto" w:sz="4" w:space="0"/>
            </w:tcBorders>
            <w:noWrap w:val="0"/>
            <w:vAlign w:val="top"/>
          </w:tcPr>
          <w:p w14:paraId="4694A9C5">
            <w:pPr>
              <w:adjustRightInd w:val="0"/>
              <w:snapToGrid w:val="0"/>
              <w:rPr>
                <w:rFonts w:ascii="宋体" w:hAnsi="Times New Roman" w:eastAsia="宋体" w:cs="Times New Roman"/>
                <w:kern w:val="2"/>
                <w:sz w:val="18"/>
                <w:szCs w:val="24"/>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078334E6">
            <w:pPr>
              <w:adjustRightInd w:val="0"/>
              <w:snapToGrid w:val="0"/>
              <w:rPr>
                <w:rFonts w:ascii="宋体" w:hAnsi="Times New Roman" w:eastAsia="宋体" w:cs="Times New Roman"/>
                <w:kern w:val="2"/>
                <w:sz w:val="18"/>
                <w:szCs w:val="24"/>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3722861E">
            <w:pPr>
              <w:adjustRightInd w:val="0"/>
              <w:snapToGrid w:val="0"/>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678F0F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15CFB8B">
            <w:pPr>
              <w:adjustRightInd w:val="0"/>
              <w:snapToGrid w:val="0"/>
              <w:jc w:val="center"/>
              <w:rPr>
                <w:rFonts w:hint="eastAsia" w:ascii="宋体" w:hAnsi="Times New Roman" w:eastAsia="宋体" w:cs="Times New Roman"/>
                <w:kern w:val="2"/>
                <w:sz w:val="18"/>
                <w:szCs w:val="24"/>
                <w:lang w:val="en-US" w:eastAsia="zh-CN" w:bidi="ar-SA"/>
              </w:rPr>
            </w:pPr>
            <w:r>
              <w:rPr>
                <w:rFonts w:hint="eastAsia" w:ascii="宋体"/>
                <w:sz w:val="18"/>
                <w:lang w:eastAsia="zh-CN"/>
              </w:rPr>
              <w:t>1.9</w:t>
            </w:r>
            <w:r>
              <w:rPr>
                <w:rFonts w:hint="eastAsia" w:ascii="宋体"/>
                <w:sz w:val="18"/>
              </w:rPr>
              <w:t>.1</w:t>
            </w:r>
          </w:p>
        </w:tc>
        <w:tc>
          <w:tcPr>
            <w:tcW w:w="0" w:type="auto"/>
            <w:vAlign w:val="top"/>
          </w:tcPr>
          <w:p w14:paraId="152961CE">
            <w:pPr>
              <w:adjustRightInd w:val="0"/>
              <w:snapToGrid w:val="0"/>
              <w:rPr>
                <w:rFonts w:hint="eastAsia" w:ascii="宋体" w:hAnsi="Times New Roman" w:eastAsia="宋体" w:cs="Times New Roman"/>
                <w:kern w:val="2"/>
                <w:sz w:val="18"/>
                <w:szCs w:val="24"/>
                <w:lang w:val="en-US" w:eastAsia="zh-CN" w:bidi="ar-SA"/>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应选用</w:t>
            </w:r>
            <w:r>
              <w:rPr>
                <w:rFonts w:ascii="宋体" w:hAnsi="宋体"/>
                <w:sz w:val="18"/>
                <w:szCs w:val="18"/>
              </w:rPr>
              <w:t>具有</w:t>
            </w:r>
            <w:r>
              <w:rPr>
                <w:rFonts w:hint="eastAsia" w:ascii="宋体" w:hAnsi="宋体"/>
                <w:sz w:val="18"/>
                <w:szCs w:val="18"/>
              </w:rPr>
              <w:t>相应</w:t>
            </w:r>
            <w:r>
              <w:rPr>
                <w:rFonts w:ascii="宋体" w:hAnsi="宋体"/>
                <w:sz w:val="18"/>
                <w:szCs w:val="18"/>
              </w:rPr>
              <w:t>资质的供应</w:t>
            </w:r>
            <w:r>
              <w:rPr>
                <w:rFonts w:hint="eastAsia" w:ascii="宋体" w:hAnsi="宋体"/>
                <w:sz w:val="18"/>
                <w:szCs w:val="18"/>
              </w:rPr>
              <w:t>、</w:t>
            </w:r>
            <w:r>
              <w:rPr>
                <w:rFonts w:ascii="宋体" w:hAnsi="宋体"/>
                <w:sz w:val="18"/>
                <w:szCs w:val="18"/>
              </w:rPr>
              <w:t>承包</w:t>
            </w:r>
            <w:r>
              <w:rPr>
                <w:rFonts w:hint="eastAsia" w:ascii="宋体" w:hAnsi="宋体"/>
                <w:sz w:val="18"/>
                <w:szCs w:val="18"/>
              </w:rPr>
              <w:t>（</w:t>
            </w:r>
            <w:r>
              <w:rPr>
                <w:rFonts w:ascii="宋体" w:hAnsi="宋体"/>
                <w:sz w:val="18"/>
                <w:szCs w:val="18"/>
              </w:rPr>
              <w:t>承租</w:t>
            </w:r>
            <w:r>
              <w:rPr>
                <w:rFonts w:hint="eastAsia" w:ascii="宋体" w:hAnsi="宋体"/>
                <w:sz w:val="18"/>
                <w:szCs w:val="18"/>
              </w:rPr>
              <w:t>）</w:t>
            </w:r>
            <w:r>
              <w:rPr>
                <w:rFonts w:hint="eastAsia" w:ascii="宋体" w:hAnsi="宋体"/>
                <w:sz w:val="18"/>
                <w:szCs w:val="18"/>
                <w:lang w:val="en-US" w:eastAsia="zh-CN"/>
              </w:rPr>
              <w:t>单位</w:t>
            </w:r>
            <w:r>
              <w:rPr>
                <w:rFonts w:ascii="宋体" w:hAnsi="宋体"/>
                <w:sz w:val="18"/>
                <w:szCs w:val="18"/>
              </w:rPr>
              <w:t>，</w:t>
            </w:r>
            <w:r>
              <w:rPr>
                <w:rFonts w:hint="eastAsia" w:ascii="宋体" w:hAnsi="宋体"/>
                <w:sz w:val="18"/>
                <w:szCs w:val="18"/>
              </w:rPr>
              <w:t>对供应</w:t>
            </w:r>
            <w:r>
              <w:rPr>
                <w:rFonts w:hint="eastAsia" w:ascii="宋体" w:hAnsi="宋体"/>
                <w:sz w:val="18"/>
                <w:szCs w:val="18"/>
                <w:lang w:val="en-US" w:eastAsia="zh-CN"/>
              </w:rPr>
              <w:t>单位</w:t>
            </w:r>
            <w:r>
              <w:rPr>
                <w:rFonts w:hint="eastAsia" w:ascii="宋体" w:hAnsi="宋体"/>
                <w:sz w:val="18"/>
                <w:szCs w:val="18"/>
              </w:rPr>
              <w:t>选用和续用等过程进行管理，对承包（承租</w:t>
            </w:r>
            <w:r>
              <w:rPr>
                <w:rFonts w:ascii="宋体" w:hAnsi="宋体"/>
                <w:sz w:val="18"/>
                <w:szCs w:val="18"/>
              </w:rPr>
              <w:t>）</w:t>
            </w:r>
            <w:r>
              <w:rPr>
                <w:rFonts w:hint="eastAsia" w:ascii="宋体" w:hAnsi="宋体"/>
                <w:sz w:val="18"/>
                <w:szCs w:val="18"/>
                <w:lang w:val="en-US" w:eastAsia="zh-CN"/>
              </w:rPr>
              <w:t>单位</w:t>
            </w:r>
            <w:r>
              <w:rPr>
                <w:rFonts w:hint="eastAsia" w:ascii="宋体" w:hAnsi="宋体"/>
                <w:sz w:val="18"/>
                <w:szCs w:val="18"/>
              </w:rPr>
              <w:t>选择、服务前准备、作业过程监督、续用等过程进行管理。</w:t>
            </w:r>
          </w:p>
        </w:tc>
        <w:tc>
          <w:tcPr>
            <w:tcW w:w="0" w:type="auto"/>
            <w:vAlign w:val="center"/>
          </w:tcPr>
          <w:p w14:paraId="12907329">
            <w:pPr>
              <w:adjustRightInd w:val="0"/>
              <w:snapToGrid w:val="0"/>
              <w:jc w:val="center"/>
              <w:rPr>
                <w:rFonts w:ascii="宋体" w:hAnsi="Times New Roman" w:eastAsia="宋体" w:cs="Times New Roman"/>
                <w:kern w:val="2"/>
                <w:sz w:val="18"/>
                <w:szCs w:val="24"/>
                <w:lang w:val="en-US" w:eastAsia="zh-CN" w:bidi="ar-SA"/>
              </w:rPr>
            </w:pPr>
          </w:p>
        </w:tc>
        <w:tc>
          <w:tcPr>
            <w:tcW w:w="0" w:type="auto"/>
            <w:vAlign w:val="center"/>
          </w:tcPr>
          <w:p w14:paraId="46DC5304">
            <w:pPr>
              <w:adjustRightInd w:val="0"/>
              <w:snapToGrid w:val="0"/>
              <w:jc w:val="center"/>
              <w:rPr>
                <w:rFonts w:hint="eastAsia" w:ascii="宋体" w:hAnsi="Times New Roman" w:eastAsia="宋体" w:cs="Times New Roman"/>
                <w:kern w:val="2"/>
                <w:sz w:val="18"/>
                <w:szCs w:val="24"/>
                <w:lang w:val="en-US" w:eastAsia="zh-CN" w:bidi="ar-SA"/>
              </w:rPr>
            </w:pPr>
          </w:p>
        </w:tc>
        <w:tc>
          <w:tcPr>
            <w:tcW w:w="0" w:type="auto"/>
            <w:vAlign w:val="center"/>
          </w:tcPr>
          <w:p w14:paraId="6EF9B42F">
            <w:pPr>
              <w:adjustRightInd w:val="0"/>
              <w:snapToGrid w:val="0"/>
              <w:jc w:val="center"/>
              <w:rPr>
                <w:rFonts w:hint="eastAsia" w:ascii="宋体" w:hAnsi="Times New Roman" w:eastAsia="宋体" w:cs="Times New Roman"/>
                <w:kern w:val="2"/>
                <w:sz w:val="18"/>
                <w:szCs w:val="24"/>
                <w:lang w:val="en-US" w:eastAsia="zh-CN" w:bidi="ar-SA"/>
              </w:rPr>
            </w:pPr>
            <w:r>
              <w:rPr>
                <w:rFonts w:hint="eastAsia" w:ascii="宋体"/>
                <w:sz w:val="18"/>
              </w:rPr>
              <w:t>6</w:t>
            </w:r>
          </w:p>
        </w:tc>
        <w:tc>
          <w:tcPr>
            <w:tcW w:w="0" w:type="auto"/>
            <w:vAlign w:val="center"/>
          </w:tcPr>
          <w:p w14:paraId="5D91C944">
            <w:pPr>
              <w:adjustRightInd w:val="0"/>
              <w:snapToGrid w:val="0"/>
              <w:rPr>
                <w:rFonts w:hint="eastAsia" w:ascii="宋体" w:hAnsi="宋体"/>
                <w:sz w:val="18"/>
                <w:szCs w:val="18"/>
                <w:lang w:eastAsia="zh-CN"/>
              </w:rPr>
            </w:pPr>
            <w:r>
              <w:rPr>
                <w:rFonts w:hint="eastAsia" w:ascii="宋体"/>
                <w:sz w:val="18"/>
                <w:szCs w:val="18"/>
                <w:lang w:val="en-US" w:eastAsia="zh-CN"/>
              </w:rPr>
              <w:t>1）</w:t>
            </w:r>
            <w:r>
              <w:rPr>
                <w:rFonts w:ascii="宋体"/>
                <w:sz w:val="18"/>
                <w:szCs w:val="18"/>
              </w:rPr>
              <w:t>未选用具有相应资质的</w:t>
            </w:r>
            <w:r>
              <w:rPr>
                <w:rFonts w:ascii="宋体" w:hAnsi="宋体"/>
                <w:sz w:val="18"/>
                <w:szCs w:val="18"/>
              </w:rPr>
              <w:t>供应</w:t>
            </w:r>
            <w:r>
              <w:rPr>
                <w:rFonts w:hint="eastAsia" w:ascii="宋体" w:hAnsi="宋体"/>
                <w:sz w:val="18"/>
                <w:szCs w:val="18"/>
                <w:lang w:val="en-US" w:eastAsia="zh-CN"/>
              </w:rPr>
              <w:t>单位</w:t>
            </w:r>
            <w:r>
              <w:rPr>
                <w:rFonts w:hint="eastAsia" w:ascii="宋体" w:hAnsi="宋体"/>
                <w:sz w:val="18"/>
                <w:szCs w:val="18"/>
              </w:rPr>
              <w:t>、</w:t>
            </w:r>
            <w:r>
              <w:rPr>
                <w:rFonts w:ascii="宋体" w:hAnsi="宋体"/>
                <w:sz w:val="18"/>
                <w:szCs w:val="18"/>
              </w:rPr>
              <w:t>承包</w:t>
            </w:r>
            <w:r>
              <w:rPr>
                <w:rFonts w:hint="eastAsia" w:ascii="宋体" w:hAnsi="宋体"/>
                <w:sz w:val="18"/>
                <w:szCs w:val="18"/>
              </w:rPr>
              <w:t>（</w:t>
            </w:r>
            <w:r>
              <w:rPr>
                <w:rFonts w:ascii="宋体" w:hAnsi="宋体"/>
                <w:sz w:val="18"/>
                <w:szCs w:val="18"/>
              </w:rPr>
              <w:t>承租</w:t>
            </w:r>
            <w:r>
              <w:rPr>
                <w:rFonts w:hint="eastAsia" w:ascii="宋体" w:hAnsi="宋体"/>
                <w:sz w:val="18"/>
                <w:szCs w:val="18"/>
              </w:rPr>
              <w:t>）</w:t>
            </w:r>
            <w:r>
              <w:rPr>
                <w:rFonts w:hint="eastAsia" w:ascii="宋体" w:hAnsi="宋体"/>
                <w:sz w:val="18"/>
                <w:szCs w:val="18"/>
                <w:lang w:val="en-US" w:eastAsia="zh-CN"/>
              </w:rPr>
              <w:t>单位</w:t>
            </w:r>
            <w:r>
              <w:rPr>
                <w:rFonts w:hint="eastAsia" w:ascii="宋体" w:hAnsi="宋体"/>
                <w:sz w:val="18"/>
                <w:szCs w:val="18"/>
              </w:rPr>
              <w:t>的，未对相关方进行管理的，“相关方安全管理”评定要素不得分</w:t>
            </w:r>
            <w:r>
              <w:rPr>
                <w:rFonts w:hint="eastAsia" w:ascii="宋体" w:hAnsi="宋体"/>
                <w:sz w:val="18"/>
                <w:szCs w:val="18"/>
                <w:lang w:eastAsia="zh-CN"/>
              </w:rPr>
              <w:t>；</w:t>
            </w:r>
          </w:p>
          <w:p w14:paraId="52BE5848">
            <w:pPr>
              <w:adjustRightInd w:val="0"/>
              <w:snapToGrid w:val="0"/>
              <w:rPr>
                <w:rFonts w:hint="eastAsia" w:ascii="宋体" w:hAnsi="Times New Roman" w:eastAsia="宋体" w:cs="Times New Roman"/>
                <w:kern w:val="2"/>
                <w:sz w:val="18"/>
                <w:szCs w:val="18"/>
                <w:lang w:val="en-US" w:eastAsia="zh-CN" w:bidi="ar-SA"/>
              </w:rPr>
            </w:pPr>
            <w:r>
              <w:rPr>
                <w:rFonts w:hint="eastAsia" w:ascii="宋体" w:hAnsi="宋体"/>
                <w:sz w:val="18"/>
                <w:szCs w:val="18"/>
                <w:lang w:val="en-US" w:eastAsia="zh-CN"/>
              </w:rPr>
              <w:t>2）</w:t>
            </w:r>
            <w:r>
              <w:rPr>
                <w:rFonts w:ascii="宋体" w:hAnsi="宋体"/>
                <w:sz w:val="18"/>
                <w:szCs w:val="18"/>
              </w:rPr>
              <w:t>供应</w:t>
            </w:r>
            <w:r>
              <w:rPr>
                <w:rFonts w:hint="eastAsia" w:ascii="宋体" w:hAnsi="宋体"/>
                <w:sz w:val="18"/>
                <w:szCs w:val="18"/>
                <w:lang w:val="en-US" w:eastAsia="zh-CN"/>
              </w:rPr>
              <w:t>单位</w:t>
            </w:r>
            <w:r>
              <w:rPr>
                <w:rFonts w:hint="eastAsia" w:ascii="宋体" w:hAnsi="宋体"/>
                <w:sz w:val="18"/>
                <w:szCs w:val="18"/>
              </w:rPr>
              <w:t>、</w:t>
            </w:r>
            <w:r>
              <w:rPr>
                <w:rFonts w:ascii="宋体" w:hAnsi="宋体"/>
                <w:sz w:val="18"/>
                <w:szCs w:val="18"/>
              </w:rPr>
              <w:t>承包</w:t>
            </w:r>
            <w:r>
              <w:rPr>
                <w:rFonts w:hint="eastAsia" w:ascii="宋体" w:hAnsi="宋体"/>
                <w:sz w:val="18"/>
                <w:szCs w:val="18"/>
              </w:rPr>
              <w:t>（</w:t>
            </w:r>
            <w:r>
              <w:rPr>
                <w:rFonts w:ascii="宋体" w:hAnsi="宋体"/>
                <w:sz w:val="18"/>
                <w:szCs w:val="18"/>
              </w:rPr>
              <w:t>承租</w:t>
            </w:r>
            <w:r>
              <w:rPr>
                <w:rFonts w:hint="eastAsia" w:ascii="宋体" w:hAnsi="宋体"/>
                <w:sz w:val="18"/>
                <w:szCs w:val="18"/>
              </w:rPr>
              <w:t>）</w:t>
            </w:r>
            <w:r>
              <w:rPr>
                <w:rFonts w:hint="eastAsia" w:ascii="宋体" w:hAnsi="宋体"/>
                <w:sz w:val="18"/>
                <w:szCs w:val="18"/>
                <w:lang w:val="en-US" w:eastAsia="zh-CN"/>
              </w:rPr>
              <w:t>单位资质未留存，扣2分。</w:t>
            </w:r>
          </w:p>
        </w:tc>
        <w:tc>
          <w:tcPr>
            <w:tcW w:w="0" w:type="auto"/>
            <w:vAlign w:val="top"/>
          </w:tcPr>
          <w:p w14:paraId="37D2CB1F">
            <w:pPr>
              <w:adjustRightInd w:val="0"/>
              <w:snapToGrid w:val="0"/>
              <w:rPr>
                <w:rFonts w:ascii="宋体" w:hAnsi="Times New Roman" w:eastAsia="宋体" w:cs="Times New Roman"/>
                <w:kern w:val="2"/>
                <w:sz w:val="18"/>
                <w:szCs w:val="24"/>
                <w:lang w:val="en-US" w:eastAsia="zh-CN" w:bidi="ar-SA"/>
              </w:rPr>
            </w:pPr>
          </w:p>
        </w:tc>
        <w:tc>
          <w:tcPr>
            <w:tcW w:w="0" w:type="auto"/>
            <w:vAlign w:val="top"/>
          </w:tcPr>
          <w:p w14:paraId="1817B3ED">
            <w:pPr>
              <w:adjustRightInd w:val="0"/>
              <w:snapToGrid w:val="0"/>
              <w:rPr>
                <w:rFonts w:ascii="宋体" w:hAnsi="Times New Roman" w:eastAsia="宋体" w:cs="Times New Roman"/>
                <w:kern w:val="2"/>
                <w:sz w:val="18"/>
                <w:szCs w:val="24"/>
                <w:lang w:val="en-US" w:eastAsia="zh-CN" w:bidi="ar-SA"/>
              </w:rPr>
            </w:pPr>
          </w:p>
        </w:tc>
        <w:tc>
          <w:tcPr>
            <w:tcW w:w="0" w:type="auto"/>
            <w:vAlign w:val="center"/>
          </w:tcPr>
          <w:p w14:paraId="01FB2820">
            <w:pPr>
              <w:adjustRightInd w:val="0"/>
              <w:snapToGrid w:val="0"/>
              <w:jc w:val="center"/>
              <w:rPr>
                <w:rFonts w:ascii="Times New Roman" w:hAnsi="Times New Roman" w:eastAsia="宋体" w:cs="Times New Roman"/>
                <w:kern w:val="2"/>
                <w:sz w:val="21"/>
                <w:szCs w:val="24"/>
                <w:lang w:val="en-US" w:eastAsia="zh-CN" w:bidi="ar-SA"/>
              </w:rPr>
            </w:pPr>
            <w:r>
              <w:rPr>
                <w:rFonts w:hint="eastAsia" w:ascii="宋体" w:hAnsi="宋体"/>
                <w:bCs/>
                <w:sz w:val="18"/>
                <w:szCs w:val="18"/>
                <w:lang w:eastAsia="zh-CN"/>
              </w:rPr>
              <w:t>4.</w:t>
            </w:r>
            <w:r>
              <w:rPr>
                <w:rFonts w:hint="eastAsia" w:ascii="宋体" w:hAnsi="宋体"/>
                <w:bCs/>
                <w:sz w:val="18"/>
                <w:szCs w:val="18"/>
              </w:rPr>
              <w:t>1</w:t>
            </w:r>
          </w:p>
        </w:tc>
      </w:tr>
      <w:tr w14:paraId="133281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3DF396A">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1.9</w:t>
            </w:r>
            <w:r>
              <w:rPr>
                <w:rFonts w:hint="eastAsia" w:ascii="宋体" w:hAnsi="宋体"/>
                <w:sz w:val="18"/>
              </w:rPr>
              <w:t>.2</w:t>
            </w:r>
          </w:p>
        </w:tc>
        <w:tc>
          <w:tcPr>
            <w:tcW w:w="0" w:type="auto"/>
            <w:vAlign w:val="center"/>
          </w:tcPr>
          <w:p w14:paraId="40B551FF">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应与</w:t>
            </w:r>
            <w:r>
              <w:rPr>
                <w:rFonts w:ascii="宋体" w:hAnsi="宋体"/>
                <w:sz w:val="18"/>
                <w:szCs w:val="18"/>
              </w:rPr>
              <w:t>供应</w:t>
            </w:r>
            <w:r>
              <w:rPr>
                <w:rFonts w:hint="eastAsia" w:ascii="宋体" w:hAnsi="宋体"/>
                <w:sz w:val="18"/>
                <w:szCs w:val="18"/>
                <w:lang w:val="en-US" w:eastAsia="zh-CN"/>
              </w:rPr>
              <w:t>单位</w:t>
            </w:r>
            <w:r>
              <w:rPr>
                <w:rFonts w:hint="eastAsia" w:ascii="宋体" w:hAnsi="宋体"/>
                <w:sz w:val="18"/>
                <w:szCs w:val="18"/>
              </w:rPr>
              <w:t>、</w:t>
            </w:r>
            <w:r>
              <w:rPr>
                <w:rFonts w:ascii="宋体" w:hAnsi="宋体"/>
                <w:sz w:val="18"/>
                <w:szCs w:val="18"/>
              </w:rPr>
              <w:t>承包</w:t>
            </w:r>
            <w:r>
              <w:rPr>
                <w:rFonts w:hint="eastAsia" w:ascii="宋体" w:hAnsi="宋体"/>
                <w:sz w:val="18"/>
                <w:szCs w:val="18"/>
              </w:rPr>
              <w:t>（</w:t>
            </w:r>
            <w:r>
              <w:rPr>
                <w:rFonts w:ascii="宋体" w:hAnsi="宋体"/>
                <w:sz w:val="18"/>
                <w:szCs w:val="18"/>
              </w:rPr>
              <w:t>承租</w:t>
            </w:r>
            <w:r>
              <w:rPr>
                <w:rFonts w:hint="eastAsia" w:ascii="宋体" w:hAnsi="宋体"/>
                <w:sz w:val="18"/>
                <w:szCs w:val="18"/>
              </w:rPr>
              <w:t>）</w:t>
            </w:r>
            <w:r>
              <w:rPr>
                <w:rFonts w:hint="eastAsia" w:ascii="宋体" w:hAnsi="宋体"/>
                <w:sz w:val="18"/>
                <w:szCs w:val="18"/>
                <w:lang w:val="en-US" w:eastAsia="zh-CN"/>
              </w:rPr>
              <w:t>单位</w:t>
            </w:r>
            <w:r>
              <w:rPr>
                <w:rFonts w:hint="eastAsia" w:ascii="宋体" w:hAnsi="宋体"/>
                <w:sz w:val="18"/>
                <w:szCs w:val="18"/>
              </w:rPr>
              <w:t>签订安全生产管理协议，或者在合同中约定各自的安全生产管理职责。安全生产管理协议或合同应在有效期内。</w:t>
            </w:r>
          </w:p>
        </w:tc>
        <w:tc>
          <w:tcPr>
            <w:tcW w:w="0" w:type="auto"/>
            <w:vAlign w:val="center"/>
          </w:tcPr>
          <w:p w14:paraId="7505C2AE">
            <w:pPr>
              <w:widowControl/>
              <w:adjustRightInd w:val="0"/>
              <w:snapToGrid w:val="0"/>
              <w:jc w:val="center"/>
              <w:rPr>
                <w:rFonts w:hint="eastAsia" w:ascii="宋体" w:hAnsi="宋体" w:eastAsia="宋体" w:cs="Times New Roman"/>
                <w:kern w:val="2"/>
                <w:sz w:val="18"/>
                <w:szCs w:val="24"/>
                <w:lang w:val="en-US" w:eastAsia="zh-CN" w:bidi="ar-SA"/>
              </w:rPr>
            </w:pPr>
          </w:p>
        </w:tc>
        <w:tc>
          <w:tcPr>
            <w:tcW w:w="0" w:type="auto"/>
            <w:vAlign w:val="center"/>
          </w:tcPr>
          <w:p w14:paraId="6AD526A6">
            <w:pPr>
              <w:widowControl/>
              <w:adjustRightInd w:val="0"/>
              <w:snapToGrid w:val="0"/>
              <w:jc w:val="center"/>
              <w:rPr>
                <w:rFonts w:hint="eastAsia" w:ascii="宋体" w:hAnsi="宋体" w:eastAsia="宋体" w:cs="Times New Roman"/>
                <w:kern w:val="2"/>
                <w:sz w:val="18"/>
                <w:szCs w:val="24"/>
                <w:lang w:val="en-US" w:eastAsia="zh-CN" w:bidi="ar-SA"/>
              </w:rPr>
            </w:pPr>
          </w:p>
        </w:tc>
        <w:tc>
          <w:tcPr>
            <w:tcW w:w="0" w:type="auto"/>
            <w:vAlign w:val="center"/>
          </w:tcPr>
          <w:p w14:paraId="35018CC2">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10</w:t>
            </w:r>
          </w:p>
        </w:tc>
        <w:tc>
          <w:tcPr>
            <w:tcW w:w="0" w:type="auto"/>
            <w:vAlign w:val="center"/>
          </w:tcPr>
          <w:p w14:paraId="58AD8EBC">
            <w:pPr>
              <w:adjustRightInd/>
              <w:snapToGrid w:val="0"/>
              <w:jc w:val="left"/>
              <w:rPr>
                <w:rFonts w:hint="eastAsia" w:ascii="宋体" w:hAnsi="宋体"/>
                <w:sz w:val="18"/>
                <w:szCs w:val="18"/>
              </w:rPr>
            </w:pPr>
            <w:r>
              <w:rPr>
                <w:rFonts w:hint="eastAsia" w:ascii="宋体" w:hAnsi="宋体"/>
                <w:sz w:val="18"/>
                <w:szCs w:val="18"/>
              </w:rPr>
              <w:t>1）</w:t>
            </w:r>
            <w:r>
              <w:rPr>
                <w:rFonts w:ascii="宋体" w:hAnsi="宋体"/>
                <w:sz w:val="18"/>
                <w:szCs w:val="18"/>
              </w:rPr>
              <w:t>未签订相关安全生产管理协议或未在合同中明确各自的安全生产管理职责，</w:t>
            </w:r>
            <w:r>
              <w:rPr>
                <w:rFonts w:hint="eastAsia" w:ascii="宋体" w:hAnsi="宋体"/>
                <w:sz w:val="18"/>
              </w:rPr>
              <w:t>“</w:t>
            </w:r>
            <w:r>
              <w:rPr>
                <w:rFonts w:hint="eastAsia" w:ascii="宋体" w:hAnsi="宋体"/>
                <w:sz w:val="18"/>
                <w:lang w:val="en-US" w:eastAsia="zh-CN"/>
              </w:rPr>
              <w:t>相关方安全</w:t>
            </w:r>
            <w:r>
              <w:rPr>
                <w:rFonts w:hint="eastAsia" w:ascii="宋体" w:hAnsi="宋体"/>
                <w:sz w:val="18"/>
              </w:rPr>
              <w:t>”评定要素不得分</w:t>
            </w:r>
            <w:r>
              <w:rPr>
                <w:rFonts w:hint="eastAsia" w:ascii="宋体" w:hAnsi="宋体"/>
                <w:sz w:val="18"/>
                <w:szCs w:val="18"/>
              </w:rPr>
              <w:t>；</w:t>
            </w:r>
          </w:p>
          <w:p w14:paraId="6A48AA88">
            <w:pPr>
              <w:adjustRightInd/>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2）安全生产管理协议或合同</w:t>
            </w:r>
            <w:r>
              <w:rPr>
                <w:rFonts w:hint="eastAsia" w:ascii="宋体" w:hAnsi="宋体"/>
                <w:sz w:val="18"/>
                <w:szCs w:val="18"/>
              </w:rPr>
              <w:t>已失效，</w:t>
            </w:r>
            <w:r>
              <w:rPr>
                <w:rFonts w:hint="eastAsia" w:ascii="宋体" w:hAnsi="宋体"/>
                <w:sz w:val="18"/>
                <w:szCs w:val="18"/>
                <w:lang w:val="en-US" w:eastAsia="zh-CN"/>
              </w:rPr>
              <w:t>不得分。</w:t>
            </w:r>
          </w:p>
        </w:tc>
        <w:tc>
          <w:tcPr>
            <w:tcW w:w="0" w:type="auto"/>
            <w:vAlign w:val="top"/>
          </w:tcPr>
          <w:p w14:paraId="0E3D3E95">
            <w:pPr>
              <w:widowControl/>
              <w:adjustRightInd w:val="0"/>
              <w:snapToGrid w:val="0"/>
              <w:jc w:val="center"/>
              <w:rPr>
                <w:rFonts w:ascii="宋体" w:hAnsi="宋体" w:eastAsia="宋体" w:cs="Times New Roman"/>
                <w:bCs/>
                <w:kern w:val="2"/>
                <w:sz w:val="18"/>
                <w:szCs w:val="18"/>
                <w:lang w:val="en-US" w:eastAsia="zh-CN" w:bidi="ar-SA"/>
              </w:rPr>
            </w:pPr>
          </w:p>
        </w:tc>
        <w:tc>
          <w:tcPr>
            <w:tcW w:w="0" w:type="auto"/>
            <w:vAlign w:val="top"/>
          </w:tcPr>
          <w:p w14:paraId="1F26CBCB">
            <w:pPr>
              <w:widowControl/>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1A68EA5F">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bl>
    <w:p w14:paraId="5F4E85AD">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9"/>
        <w:gridCol w:w="5926"/>
        <w:gridCol w:w="586"/>
        <w:gridCol w:w="611"/>
        <w:gridCol w:w="611"/>
        <w:gridCol w:w="4603"/>
        <w:gridCol w:w="611"/>
        <w:gridCol w:w="611"/>
        <w:gridCol w:w="875"/>
      </w:tblGrid>
      <w:tr w14:paraId="41AB72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9" w:type="dxa"/>
            <w:tcBorders>
              <w:top w:val="single" w:color="auto" w:sz="8" w:space="0"/>
              <w:bottom w:val="single" w:color="auto" w:sz="8" w:space="0"/>
            </w:tcBorders>
            <w:noWrap w:val="0"/>
            <w:vAlign w:val="center"/>
          </w:tcPr>
          <w:p w14:paraId="223946BE">
            <w:pPr>
              <w:adjustRightInd w:val="0"/>
              <w:snapToGrid w:val="0"/>
              <w:jc w:val="center"/>
              <w:rPr>
                <w:rFonts w:ascii="宋体"/>
                <w:sz w:val="18"/>
                <w:szCs w:val="18"/>
              </w:rPr>
            </w:pPr>
            <w:r>
              <w:rPr>
                <w:rFonts w:ascii="宋体"/>
                <w:bCs/>
                <w:sz w:val="18"/>
                <w:szCs w:val="18"/>
              </w:rPr>
              <w:t>序号</w:t>
            </w:r>
          </w:p>
        </w:tc>
        <w:tc>
          <w:tcPr>
            <w:tcW w:w="5926" w:type="dxa"/>
            <w:tcBorders>
              <w:top w:val="single" w:color="auto" w:sz="8" w:space="0"/>
              <w:bottom w:val="single" w:color="auto" w:sz="8" w:space="0"/>
            </w:tcBorders>
            <w:noWrap w:val="0"/>
            <w:vAlign w:val="center"/>
          </w:tcPr>
          <w:p w14:paraId="28E68C40">
            <w:pPr>
              <w:adjustRightInd w:val="0"/>
              <w:snapToGrid w:val="0"/>
              <w:jc w:val="center"/>
              <w:rPr>
                <w:rFonts w:ascii="宋体" w:hAnsi="宋体"/>
                <w:sz w:val="18"/>
                <w:szCs w:val="18"/>
              </w:rPr>
            </w:pPr>
            <w:r>
              <w:rPr>
                <w:rFonts w:ascii="宋体" w:hAnsi="宋体"/>
                <w:bCs/>
                <w:sz w:val="18"/>
                <w:szCs w:val="18"/>
              </w:rPr>
              <w:t>评定内容</w:t>
            </w:r>
          </w:p>
        </w:tc>
        <w:tc>
          <w:tcPr>
            <w:tcW w:w="586" w:type="dxa"/>
            <w:tcBorders>
              <w:top w:val="single" w:color="auto" w:sz="8" w:space="0"/>
              <w:bottom w:val="single" w:color="auto" w:sz="8" w:space="0"/>
            </w:tcBorders>
            <w:noWrap w:val="0"/>
            <w:vAlign w:val="center"/>
          </w:tcPr>
          <w:p w14:paraId="79D91617">
            <w:pPr>
              <w:adjustRightInd w:val="0"/>
              <w:snapToGrid w:val="0"/>
              <w:jc w:val="center"/>
              <w:rPr>
                <w:rFonts w:ascii="宋体"/>
                <w:sz w:val="18"/>
                <w:szCs w:val="18"/>
              </w:rPr>
            </w:pPr>
            <w:r>
              <w:rPr>
                <w:rFonts w:ascii="宋体"/>
                <w:bCs/>
                <w:sz w:val="18"/>
                <w:szCs w:val="18"/>
              </w:rPr>
              <w:t>评定要素分值</w:t>
            </w:r>
          </w:p>
        </w:tc>
        <w:tc>
          <w:tcPr>
            <w:tcW w:w="611" w:type="dxa"/>
            <w:tcBorders>
              <w:top w:val="single" w:color="auto" w:sz="8" w:space="0"/>
              <w:bottom w:val="single" w:color="auto" w:sz="8" w:space="0"/>
            </w:tcBorders>
            <w:noWrap w:val="0"/>
            <w:vAlign w:val="center"/>
          </w:tcPr>
          <w:p w14:paraId="03D9292F">
            <w:pPr>
              <w:adjustRightInd w:val="0"/>
              <w:snapToGrid w:val="0"/>
              <w:jc w:val="center"/>
              <w:rPr>
                <w:rFonts w:ascii="宋体"/>
                <w:sz w:val="18"/>
                <w:szCs w:val="18"/>
              </w:rPr>
            </w:pPr>
            <w:r>
              <w:rPr>
                <w:rFonts w:ascii="宋体"/>
                <w:bCs/>
                <w:sz w:val="18"/>
                <w:szCs w:val="18"/>
              </w:rPr>
              <w:t>评定细项分值</w:t>
            </w:r>
          </w:p>
        </w:tc>
        <w:tc>
          <w:tcPr>
            <w:tcW w:w="611" w:type="dxa"/>
            <w:tcBorders>
              <w:top w:val="single" w:color="auto" w:sz="8" w:space="0"/>
              <w:bottom w:val="single" w:color="auto" w:sz="8" w:space="0"/>
            </w:tcBorders>
            <w:noWrap w:val="0"/>
            <w:vAlign w:val="center"/>
          </w:tcPr>
          <w:p w14:paraId="6EF08B2E">
            <w:pPr>
              <w:adjustRightInd w:val="0"/>
              <w:snapToGrid w:val="0"/>
              <w:jc w:val="center"/>
              <w:rPr>
                <w:rFonts w:ascii="宋体"/>
                <w:sz w:val="18"/>
                <w:szCs w:val="18"/>
              </w:rPr>
            </w:pPr>
            <w:r>
              <w:rPr>
                <w:rFonts w:ascii="宋体"/>
                <w:bCs/>
                <w:sz w:val="18"/>
                <w:szCs w:val="18"/>
              </w:rPr>
              <w:t>评定条款分值</w:t>
            </w:r>
          </w:p>
        </w:tc>
        <w:tc>
          <w:tcPr>
            <w:tcW w:w="4603" w:type="dxa"/>
            <w:tcBorders>
              <w:top w:val="single" w:color="auto" w:sz="8" w:space="0"/>
              <w:bottom w:val="single" w:color="auto" w:sz="8" w:space="0"/>
            </w:tcBorders>
            <w:noWrap w:val="0"/>
            <w:vAlign w:val="center"/>
          </w:tcPr>
          <w:p w14:paraId="7626420D">
            <w:pPr>
              <w:adjustRightInd w:val="0"/>
              <w:snapToGrid w:val="0"/>
              <w:jc w:val="center"/>
              <w:rPr>
                <w:rFonts w:ascii="宋体"/>
                <w:sz w:val="18"/>
                <w:szCs w:val="18"/>
              </w:rPr>
            </w:pPr>
            <w:r>
              <w:rPr>
                <w:rFonts w:ascii="宋体"/>
                <w:bCs/>
                <w:sz w:val="18"/>
                <w:szCs w:val="18"/>
              </w:rPr>
              <w:t>评分标准</w:t>
            </w:r>
          </w:p>
        </w:tc>
        <w:tc>
          <w:tcPr>
            <w:tcW w:w="611" w:type="dxa"/>
            <w:tcBorders>
              <w:top w:val="single" w:color="auto" w:sz="8" w:space="0"/>
              <w:bottom w:val="single" w:color="auto" w:sz="8" w:space="0"/>
            </w:tcBorders>
            <w:noWrap w:val="0"/>
            <w:vAlign w:val="center"/>
          </w:tcPr>
          <w:p w14:paraId="24272C44">
            <w:pPr>
              <w:adjustRightInd w:val="0"/>
              <w:snapToGrid w:val="0"/>
              <w:jc w:val="center"/>
              <w:rPr>
                <w:rFonts w:ascii="宋体" w:hAnsi="宋体"/>
                <w:sz w:val="18"/>
                <w:szCs w:val="18"/>
              </w:rPr>
            </w:pPr>
            <w:r>
              <w:rPr>
                <w:rFonts w:ascii="宋体" w:hAnsi="宋体"/>
                <w:bCs/>
                <w:sz w:val="18"/>
                <w:szCs w:val="18"/>
              </w:rPr>
              <w:t>评定得分</w:t>
            </w:r>
          </w:p>
        </w:tc>
        <w:tc>
          <w:tcPr>
            <w:tcW w:w="611" w:type="dxa"/>
            <w:tcBorders>
              <w:top w:val="single" w:color="auto" w:sz="8" w:space="0"/>
              <w:bottom w:val="single" w:color="auto" w:sz="8" w:space="0"/>
            </w:tcBorders>
            <w:noWrap w:val="0"/>
            <w:vAlign w:val="center"/>
          </w:tcPr>
          <w:p w14:paraId="1A93D639">
            <w:pPr>
              <w:adjustRightInd w:val="0"/>
              <w:snapToGrid w:val="0"/>
              <w:jc w:val="center"/>
              <w:rPr>
                <w:rFonts w:ascii="宋体" w:hAnsi="宋体"/>
                <w:sz w:val="18"/>
                <w:szCs w:val="18"/>
              </w:rPr>
            </w:pPr>
            <w:r>
              <w:rPr>
                <w:rFonts w:ascii="宋体" w:hAnsi="宋体"/>
                <w:bCs/>
                <w:sz w:val="18"/>
                <w:szCs w:val="18"/>
              </w:rPr>
              <w:t>扣分说明</w:t>
            </w:r>
          </w:p>
        </w:tc>
        <w:tc>
          <w:tcPr>
            <w:tcW w:w="875" w:type="dxa"/>
            <w:tcBorders>
              <w:top w:val="single" w:color="auto" w:sz="8" w:space="0"/>
              <w:bottom w:val="single" w:color="auto" w:sz="8" w:space="0"/>
            </w:tcBorders>
            <w:noWrap w:val="0"/>
            <w:vAlign w:val="center"/>
          </w:tcPr>
          <w:p w14:paraId="293601C5">
            <w:pPr>
              <w:adjustRightInd w:val="0"/>
              <w:snapToGrid w:val="0"/>
              <w:jc w:val="center"/>
              <w:rPr>
                <w:rFonts w:ascii="宋体" w:hAnsi="宋体"/>
                <w:sz w:val="18"/>
                <w:szCs w:val="18"/>
              </w:rPr>
            </w:pPr>
            <w:r>
              <w:rPr>
                <w:rFonts w:ascii="宋体" w:hAnsi="宋体"/>
                <w:bCs/>
                <w:sz w:val="18"/>
                <w:szCs w:val="18"/>
              </w:rPr>
              <w:t>对应条款编号</w:t>
            </w:r>
          </w:p>
        </w:tc>
      </w:tr>
      <w:tr w14:paraId="4DF48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9" w:type="dxa"/>
            <w:tcBorders>
              <w:top w:val="single" w:color="auto" w:sz="8" w:space="0"/>
              <w:bottom w:val="single" w:color="auto" w:sz="8" w:space="0"/>
            </w:tcBorders>
            <w:noWrap w:val="0"/>
            <w:vAlign w:val="center"/>
          </w:tcPr>
          <w:p w14:paraId="1784BBED">
            <w:pPr>
              <w:widowControl/>
              <w:adjustRightInd w:val="0"/>
              <w:snapToGrid w:val="0"/>
              <w:jc w:val="center"/>
              <w:rPr>
                <w:rFonts w:ascii="宋体" w:hAnsi="宋体"/>
                <w:bCs/>
                <w:sz w:val="18"/>
                <w:szCs w:val="18"/>
              </w:rPr>
            </w:pPr>
            <w:r>
              <w:rPr>
                <w:rFonts w:hint="eastAsia" w:ascii="宋体" w:hAnsi="宋体"/>
                <w:sz w:val="18"/>
                <w:lang w:eastAsia="zh-CN"/>
              </w:rPr>
              <w:t>1.9</w:t>
            </w:r>
            <w:r>
              <w:rPr>
                <w:rFonts w:hint="eastAsia" w:ascii="宋体" w:hAnsi="宋体"/>
                <w:sz w:val="18"/>
              </w:rPr>
              <w:t>.3</w:t>
            </w:r>
          </w:p>
        </w:tc>
        <w:tc>
          <w:tcPr>
            <w:tcW w:w="5926" w:type="dxa"/>
            <w:tcBorders>
              <w:top w:val="single" w:color="auto" w:sz="8" w:space="0"/>
              <w:bottom w:val="single" w:color="auto" w:sz="8" w:space="0"/>
            </w:tcBorders>
            <w:noWrap w:val="0"/>
            <w:vAlign w:val="center"/>
          </w:tcPr>
          <w:p w14:paraId="1F5D75FD">
            <w:pPr>
              <w:adjustRightInd/>
              <w:snapToGrid w:val="0"/>
              <w:jc w:val="left"/>
              <w:rPr>
                <w:rFonts w:hint="eastAsia" w:ascii="宋体" w:hAnsi="宋体"/>
                <w:sz w:val="18"/>
                <w:szCs w:val="18"/>
                <w:highlight w:val="none"/>
              </w:rPr>
            </w:pPr>
            <w:r>
              <w:rPr>
                <w:rFonts w:hint="eastAsia" w:ascii="宋体" w:hAnsi="宋体"/>
                <w:sz w:val="18"/>
                <w:szCs w:val="18"/>
                <w:highlight w:val="none"/>
              </w:rPr>
              <w:t>安全生产管理协议或安全生产管理职责应</w:t>
            </w:r>
            <w:r>
              <w:rPr>
                <w:rFonts w:hint="eastAsia" w:ascii="宋体" w:hAnsi="宋体"/>
                <w:sz w:val="18"/>
                <w:szCs w:val="18"/>
                <w:highlight w:val="none"/>
                <w:lang w:val="en-US" w:eastAsia="zh-CN"/>
              </w:rPr>
              <w:t>包括</w:t>
            </w:r>
            <w:r>
              <w:rPr>
                <w:rFonts w:hint="eastAsia" w:ascii="宋体" w:hAnsi="宋体"/>
                <w:sz w:val="18"/>
                <w:szCs w:val="18"/>
                <w:highlight w:val="none"/>
              </w:rPr>
              <w:t>下列</w:t>
            </w:r>
            <w:r>
              <w:rPr>
                <w:rFonts w:hint="eastAsia" w:ascii="宋体" w:hAnsi="宋体"/>
                <w:sz w:val="18"/>
                <w:szCs w:val="18"/>
                <w:highlight w:val="none"/>
                <w:lang w:val="en-US" w:eastAsia="zh-CN"/>
              </w:rPr>
              <w:t>内容</w:t>
            </w:r>
            <w:r>
              <w:rPr>
                <w:rFonts w:hint="eastAsia" w:ascii="宋体" w:hAnsi="宋体"/>
                <w:sz w:val="18"/>
                <w:szCs w:val="18"/>
                <w:highlight w:val="none"/>
              </w:rPr>
              <w:t>：</w:t>
            </w:r>
          </w:p>
          <w:p w14:paraId="0FC3FFE9">
            <w:pPr>
              <w:adjustRightInd/>
              <w:snapToGrid w:val="0"/>
              <w:jc w:val="left"/>
              <w:rPr>
                <w:rFonts w:hint="eastAsia" w:ascii="宋体" w:hAnsi="宋体"/>
                <w:sz w:val="18"/>
                <w:szCs w:val="18"/>
                <w:highlight w:val="none"/>
              </w:rPr>
            </w:pPr>
            <w:r>
              <w:rPr>
                <w:rFonts w:hint="eastAsia" w:ascii="宋体" w:hAnsi="宋体"/>
                <w:sz w:val="18"/>
                <w:szCs w:val="18"/>
                <w:highlight w:val="none"/>
              </w:rPr>
              <w:t>a）双方安全生产职责、各自管理的区域范围；</w:t>
            </w:r>
          </w:p>
          <w:p w14:paraId="43DB38BA">
            <w:pPr>
              <w:adjustRightInd/>
              <w:snapToGrid w:val="0"/>
              <w:jc w:val="left"/>
              <w:rPr>
                <w:rFonts w:hint="eastAsia" w:ascii="宋体" w:hAnsi="宋体"/>
                <w:sz w:val="18"/>
                <w:szCs w:val="18"/>
                <w:highlight w:val="none"/>
              </w:rPr>
            </w:pPr>
            <w:r>
              <w:rPr>
                <w:rFonts w:hint="eastAsia" w:ascii="宋体" w:hAnsi="宋体"/>
                <w:sz w:val="18"/>
                <w:szCs w:val="18"/>
                <w:highlight w:val="none"/>
                <w:lang w:val="en-US" w:eastAsia="zh-CN"/>
              </w:rPr>
              <w:t>b</w:t>
            </w:r>
            <w:r>
              <w:rPr>
                <w:rFonts w:hint="eastAsia" w:ascii="宋体" w:hAnsi="宋体"/>
                <w:sz w:val="18"/>
                <w:szCs w:val="18"/>
                <w:highlight w:val="none"/>
              </w:rPr>
              <w:t>）作业场所、作业人员、设备设施的安全生产管理责任；</w:t>
            </w:r>
          </w:p>
          <w:p w14:paraId="60722D50">
            <w:pPr>
              <w:adjustRightInd/>
              <w:snapToGrid w:val="0"/>
              <w:jc w:val="left"/>
              <w:rPr>
                <w:rFonts w:hint="eastAsia" w:ascii="宋体" w:hAnsi="宋体"/>
                <w:sz w:val="18"/>
                <w:szCs w:val="18"/>
                <w:highlight w:val="none"/>
              </w:rPr>
            </w:pPr>
            <w:r>
              <w:rPr>
                <w:rFonts w:hint="eastAsia" w:ascii="宋体" w:hAnsi="宋体"/>
                <w:sz w:val="18"/>
                <w:szCs w:val="18"/>
                <w:highlight w:val="none"/>
                <w:lang w:val="en-US" w:eastAsia="zh-CN"/>
              </w:rPr>
              <w:t>c</w:t>
            </w:r>
            <w:r>
              <w:rPr>
                <w:rFonts w:hint="eastAsia" w:ascii="宋体" w:hAnsi="宋体"/>
                <w:sz w:val="18"/>
                <w:szCs w:val="18"/>
                <w:highlight w:val="none"/>
              </w:rPr>
              <w:t>）双方有关安全生产的权利和义务；</w:t>
            </w:r>
          </w:p>
          <w:p w14:paraId="5B1D1AB9">
            <w:pPr>
              <w:adjustRightInd/>
              <w:snapToGrid w:val="0"/>
              <w:jc w:val="left"/>
              <w:rPr>
                <w:rFonts w:hint="eastAsia" w:ascii="宋体" w:hAnsi="宋体" w:eastAsia="宋体"/>
                <w:sz w:val="18"/>
                <w:szCs w:val="18"/>
                <w:highlight w:val="none"/>
                <w:lang w:eastAsia="zh-CN"/>
              </w:rPr>
            </w:pPr>
            <w:r>
              <w:rPr>
                <w:rFonts w:hint="eastAsia" w:ascii="宋体" w:hAnsi="宋体"/>
                <w:sz w:val="18"/>
                <w:szCs w:val="18"/>
                <w:highlight w:val="none"/>
                <w:lang w:val="en-US" w:eastAsia="zh-CN"/>
              </w:rPr>
              <w:t>d</w:t>
            </w:r>
            <w:r>
              <w:rPr>
                <w:rFonts w:hint="eastAsia" w:ascii="宋体" w:hAnsi="宋体"/>
                <w:sz w:val="18"/>
                <w:szCs w:val="18"/>
                <w:highlight w:val="none"/>
              </w:rPr>
              <w:t>）生产安全事故报告和应急救援责任</w:t>
            </w:r>
            <w:r>
              <w:rPr>
                <w:rFonts w:hint="eastAsia" w:ascii="宋体" w:hAnsi="宋体"/>
                <w:sz w:val="18"/>
                <w:szCs w:val="18"/>
                <w:highlight w:val="none"/>
                <w:lang w:eastAsia="zh-CN"/>
              </w:rPr>
              <w:t>；</w:t>
            </w:r>
          </w:p>
          <w:p w14:paraId="6DB05EC8">
            <w:pPr>
              <w:widowControl/>
              <w:adjustRightInd/>
              <w:snapToGrid/>
              <w:jc w:val="left"/>
              <w:rPr>
                <w:rFonts w:ascii="宋体" w:hAnsi="宋体"/>
                <w:bCs/>
                <w:sz w:val="18"/>
                <w:szCs w:val="18"/>
              </w:rPr>
            </w:pPr>
            <w:r>
              <w:rPr>
                <w:rFonts w:hint="eastAsia" w:ascii="宋体" w:hAnsi="宋体"/>
                <w:sz w:val="18"/>
                <w:szCs w:val="18"/>
                <w:highlight w:val="none"/>
                <w:lang w:val="en-US" w:eastAsia="zh-CN"/>
              </w:rPr>
              <w:t>e</w:t>
            </w:r>
            <w:r>
              <w:rPr>
                <w:rFonts w:hint="eastAsia" w:ascii="宋体" w:hAnsi="宋体"/>
                <w:sz w:val="18"/>
                <w:szCs w:val="18"/>
                <w:highlight w:val="none"/>
              </w:rPr>
              <w:t>）</w:t>
            </w:r>
            <w:r>
              <w:rPr>
                <w:rFonts w:hint="eastAsia" w:ascii="宋体" w:hAnsi="宋体"/>
                <w:sz w:val="18"/>
                <w:szCs w:val="18"/>
                <w:highlight w:val="none"/>
                <w:lang w:val="en-US" w:eastAsia="zh-CN"/>
              </w:rPr>
              <w:t>对承租</w:t>
            </w:r>
            <w:r>
              <w:rPr>
                <w:rFonts w:hint="eastAsia" w:ascii="宋体" w:hAnsi="宋体"/>
                <w:sz w:val="18"/>
                <w:szCs w:val="18"/>
                <w:lang w:val="en-US" w:eastAsia="zh-CN"/>
              </w:rPr>
              <w:t>单位</w:t>
            </w:r>
            <w:r>
              <w:rPr>
                <w:rFonts w:hint="eastAsia" w:ascii="宋体" w:hAnsi="宋体"/>
                <w:sz w:val="18"/>
                <w:szCs w:val="18"/>
                <w:highlight w:val="none"/>
                <w:lang w:val="en-US" w:eastAsia="zh-CN"/>
              </w:rPr>
              <w:t>还</w:t>
            </w:r>
            <w:r>
              <w:rPr>
                <w:rFonts w:hint="eastAsia" w:ascii="宋体" w:hAnsi="宋体"/>
                <w:sz w:val="18"/>
                <w:szCs w:val="18"/>
                <w:highlight w:val="none"/>
              </w:rPr>
              <w:t>应明确房屋房屋结构、用途变更等事项的职责和要求。</w:t>
            </w:r>
          </w:p>
        </w:tc>
        <w:tc>
          <w:tcPr>
            <w:tcW w:w="586" w:type="dxa"/>
            <w:tcBorders>
              <w:top w:val="single" w:color="auto" w:sz="8" w:space="0"/>
              <w:bottom w:val="single" w:color="auto" w:sz="8" w:space="0"/>
            </w:tcBorders>
            <w:noWrap w:val="0"/>
            <w:vAlign w:val="center"/>
          </w:tcPr>
          <w:p w14:paraId="7CB7DBC2">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77B1DE46">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1F48A6A2">
            <w:pPr>
              <w:widowControl/>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sz w:val="18"/>
                <w:lang w:val="en-US" w:eastAsia="zh-CN"/>
              </w:rPr>
              <w:t>10</w:t>
            </w:r>
          </w:p>
        </w:tc>
        <w:tc>
          <w:tcPr>
            <w:tcW w:w="4603" w:type="dxa"/>
            <w:tcBorders>
              <w:top w:val="single" w:color="auto" w:sz="8" w:space="0"/>
              <w:bottom w:val="single" w:color="auto" w:sz="8" w:space="0"/>
            </w:tcBorders>
            <w:noWrap w:val="0"/>
            <w:vAlign w:val="center"/>
          </w:tcPr>
          <w:p w14:paraId="229F4377">
            <w:pPr>
              <w:widowControl/>
              <w:adjustRightInd w:val="0"/>
              <w:snapToGrid w:val="0"/>
              <w:jc w:val="left"/>
              <w:rPr>
                <w:rFonts w:hint="eastAsia" w:ascii="宋体" w:hAnsi="宋体" w:eastAsia="宋体" w:cs="Times New Roman"/>
                <w:bCs/>
                <w:kern w:val="2"/>
                <w:sz w:val="18"/>
                <w:szCs w:val="18"/>
                <w:lang w:val="en-US" w:eastAsia="zh-CN" w:bidi="ar-SA"/>
              </w:rPr>
            </w:pPr>
            <w:r>
              <w:rPr>
                <w:rFonts w:ascii="宋体" w:hAnsi="宋体"/>
                <w:sz w:val="18"/>
                <w:szCs w:val="18"/>
              </w:rPr>
              <w:t>安全生产管理职责</w:t>
            </w:r>
            <w:r>
              <w:rPr>
                <w:rFonts w:hint="eastAsia" w:ascii="宋体" w:hAnsi="宋体"/>
                <w:sz w:val="18"/>
                <w:szCs w:val="18"/>
                <w:lang w:val="en-US" w:eastAsia="zh-CN"/>
              </w:rPr>
              <w:t>内容不全的，一处扣3分</w:t>
            </w:r>
            <w:r>
              <w:rPr>
                <w:rFonts w:hint="eastAsia" w:ascii="宋体" w:hAnsi="宋体"/>
                <w:sz w:val="18"/>
                <w:szCs w:val="18"/>
              </w:rPr>
              <w:t>。</w:t>
            </w:r>
          </w:p>
        </w:tc>
        <w:tc>
          <w:tcPr>
            <w:tcW w:w="611" w:type="dxa"/>
            <w:tcBorders>
              <w:top w:val="single" w:color="auto" w:sz="8" w:space="0"/>
              <w:bottom w:val="single" w:color="auto" w:sz="8" w:space="0"/>
            </w:tcBorders>
            <w:noWrap w:val="0"/>
            <w:vAlign w:val="top"/>
          </w:tcPr>
          <w:p w14:paraId="676CAB99">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top"/>
          </w:tcPr>
          <w:p w14:paraId="12610FDB">
            <w:pPr>
              <w:widowControl/>
              <w:adjustRightInd w:val="0"/>
              <w:snapToGrid w:val="0"/>
              <w:jc w:val="center"/>
              <w:rPr>
                <w:rFonts w:ascii="宋体" w:hAnsi="宋体"/>
                <w:bCs/>
                <w:sz w:val="18"/>
                <w:szCs w:val="18"/>
              </w:rPr>
            </w:pPr>
          </w:p>
        </w:tc>
        <w:tc>
          <w:tcPr>
            <w:tcW w:w="875" w:type="dxa"/>
            <w:tcBorders>
              <w:top w:val="single" w:color="auto" w:sz="8" w:space="0"/>
              <w:bottom w:val="single" w:color="auto" w:sz="8" w:space="0"/>
            </w:tcBorders>
            <w:noWrap w:val="0"/>
            <w:vAlign w:val="center"/>
          </w:tcPr>
          <w:p w14:paraId="3780C54D">
            <w:pPr>
              <w:widowControl/>
              <w:adjustRightInd w:val="0"/>
              <w:snapToGrid w:val="0"/>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26897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9" w:type="dxa"/>
            <w:tcBorders>
              <w:top w:val="single" w:color="auto" w:sz="8" w:space="0"/>
              <w:bottom w:val="single" w:color="auto" w:sz="8" w:space="0"/>
            </w:tcBorders>
            <w:noWrap w:val="0"/>
            <w:vAlign w:val="center"/>
          </w:tcPr>
          <w:p w14:paraId="55821760">
            <w:pPr>
              <w:widowControl/>
              <w:adjustRightInd w:val="0"/>
              <w:snapToGrid w:val="0"/>
              <w:jc w:val="center"/>
              <w:rPr>
                <w:rFonts w:hint="eastAsia" w:ascii="宋体" w:hAnsi="宋体"/>
                <w:sz w:val="18"/>
              </w:rPr>
            </w:pPr>
            <w:r>
              <w:rPr>
                <w:rFonts w:hint="eastAsia" w:ascii="宋体" w:hAnsi="宋体"/>
                <w:sz w:val="18"/>
                <w:szCs w:val="18"/>
                <w:lang w:eastAsia="zh-CN"/>
              </w:rPr>
              <w:t>1.9</w:t>
            </w:r>
            <w:r>
              <w:rPr>
                <w:rFonts w:hint="eastAsia" w:ascii="宋体" w:hAnsi="宋体"/>
                <w:sz w:val="18"/>
                <w:szCs w:val="18"/>
              </w:rPr>
              <w:t>.4</w:t>
            </w:r>
          </w:p>
        </w:tc>
        <w:tc>
          <w:tcPr>
            <w:tcW w:w="5926" w:type="dxa"/>
            <w:tcBorders>
              <w:top w:val="single" w:color="auto" w:sz="8" w:space="0"/>
              <w:bottom w:val="single" w:color="auto" w:sz="8" w:space="0"/>
            </w:tcBorders>
            <w:noWrap w:val="0"/>
            <w:vAlign w:val="center"/>
          </w:tcPr>
          <w:p w14:paraId="1BF8A661">
            <w:pPr>
              <w:adjustRightInd w:val="0"/>
              <w:snapToGrid w:val="0"/>
              <w:jc w:val="left"/>
              <w:rPr>
                <w:rFonts w:hint="eastAsia" w:ascii="宋体" w:hAnsi="宋体"/>
                <w:sz w:val="18"/>
                <w:szCs w:val="18"/>
              </w:rPr>
            </w:pPr>
            <w:r>
              <w:rPr>
                <w:rFonts w:hint="eastAsia" w:ascii="宋体" w:hAnsi="宋体"/>
                <w:sz w:val="18"/>
                <w:szCs w:val="18"/>
                <w:lang w:eastAsia="zh-CN"/>
              </w:rPr>
              <w:t>景区</w:t>
            </w:r>
            <w:r>
              <w:rPr>
                <w:rFonts w:hint="eastAsia" w:ascii="宋体" w:hAnsi="宋体"/>
                <w:sz w:val="18"/>
                <w:szCs w:val="18"/>
              </w:rPr>
              <w:t>应将被派遣劳动者纳入本</w:t>
            </w:r>
            <w:r>
              <w:rPr>
                <w:rFonts w:hint="eastAsia" w:ascii="宋体" w:hAnsi="宋体"/>
                <w:sz w:val="18"/>
                <w:szCs w:val="18"/>
                <w:lang w:eastAsia="zh-CN"/>
              </w:rPr>
              <w:t>景区</w:t>
            </w:r>
            <w:r>
              <w:rPr>
                <w:rFonts w:hint="eastAsia" w:ascii="宋体" w:hAnsi="宋体"/>
                <w:sz w:val="18"/>
                <w:szCs w:val="18"/>
              </w:rPr>
              <w:t>从业人员进行统一管理，对被派遣劳动者进行岗位安全操作规程和安全操作技能的教育和培训。</w:t>
            </w:r>
          </w:p>
        </w:tc>
        <w:tc>
          <w:tcPr>
            <w:tcW w:w="586" w:type="dxa"/>
            <w:tcBorders>
              <w:top w:val="single" w:color="auto" w:sz="8" w:space="0"/>
              <w:bottom w:val="single" w:color="auto" w:sz="8" w:space="0"/>
            </w:tcBorders>
            <w:noWrap w:val="0"/>
            <w:vAlign w:val="center"/>
          </w:tcPr>
          <w:p w14:paraId="404970DD">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6A8FB762">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3F27C2B9">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5</w:t>
            </w:r>
          </w:p>
        </w:tc>
        <w:tc>
          <w:tcPr>
            <w:tcW w:w="4603" w:type="dxa"/>
            <w:tcBorders>
              <w:top w:val="single" w:color="auto" w:sz="8" w:space="0"/>
              <w:bottom w:val="single" w:color="auto" w:sz="8" w:space="0"/>
            </w:tcBorders>
            <w:noWrap w:val="0"/>
            <w:vAlign w:val="center"/>
          </w:tcPr>
          <w:p w14:paraId="4AE515D7">
            <w:pPr>
              <w:widowControl/>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不符合要求，不得分。</w:t>
            </w:r>
          </w:p>
        </w:tc>
        <w:tc>
          <w:tcPr>
            <w:tcW w:w="611" w:type="dxa"/>
            <w:tcBorders>
              <w:top w:val="single" w:color="auto" w:sz="8" w:space="0"/>
              <w:bottom w:val="single" w:color="auto" w:sz="8" w:space="0"/>
            </w:tcBorders>
            <w:noWrap w:val="0"/>
            <w:vAlign w:val="top"/>
          </w:tcPr>
          <w:p w14:paraId="3591B475">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top"/>
          </w:tcPr>
          <w:p w14:paraId="7E761032">
            <w:pPr>
              <w:widowControl/>
              <w:adjustRightInd w:val="0"/>
              <w:snapToGrid w:val="0"/>
              <w:jc w:val="center"/>
              <w:rPr>
                <w:rFonts w:ascii="宋体" w:hAnsi="宋体"/>
                <w:bCs/>
                <w:sz w:val="18"/>
                <w:szCs w:val="18"/>
              </w:rPr>
            </w:pPr>
          </w:p>
        </w:tc>
        <w:tc>
          <w:tcPr>
            <w:tcW w:w="875" w:type="dxa"/>
            <w:tcBorders>
              <w:top w:val="single" w:color="auto" w:sz="8" w:space="0"/>
              <w:bottom w:val="single" w:color="auto" w:sz="8" w:space="0"/>
            </w:tcBorders>
            <w:noWrap w:val="0"/>
            <w:vAlign w:val="center"/>
          </w:tcPr>
          <w:p w14:paraId="52A59BDE">
            <w:pPr>
              <w:widowControl/>
              <w:adjustRightInd w:val="0"/>
              <w:snapToGrid w:val="0"/>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46DF7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9" w:type="dxa"/>
            <w:tcBorders>
              <w:top w:val="single" w:color="auto" w:sz="8" w:space="0"/>
              <w:bottom w:val="single" w:color="auto" w:sz="8" w:space="0"/>
            </w:tcBorders>
            <w:noWrap w:val="0"/>
            <w:vAlign w:val="center"/>
          </w:tcPr>
          <w:p w14:paraId="77DA57A4">
            <w:pPr>
              <w:widowControl/>
              <w:adjustRightInd w:val="0"/>
              <w:snapToGrid w:val="0"/>
              <w:jc w:val="center"/>
              <w:rPr>
                <w:rFonts w:hint="eastAsia" w:ascii="宋体" w:hAnsi="宋体"/>
                <w:sz w:val="18"/>
                <w:szCs w:val="18"/>
              </w:rPr>
            </w:pPr>
            <w:r>
              <w:rPr>
                <w:rFonts w:hint="eastAsia" w:ascii="宋体" w:hAnsi="宋体"/>
                <w:sz w:val="18"/>
                <w:szCs w:val="18"/>
                <w:lang w:eastAsia="zh-CN"/>
              </w:rPr>
              <w:t>1.9</w:t>
            </w:r>
            <w:r>
              <w:rPr>
                <w:rFonts w:hint="eastAsia" w:ascii="宋体" w:hAnsi="宋体"/>
                <w:sz w:val="18"/>
                <w:szCs w:val="18"/>
              </w:rPr>
              <w:t>.5</w:t>
            </w:r>
          </w:p>
        </w:tc>
        <w:tc>
          <w:tcPr>
            <w:tcW w:w="5926" w:type="dxa"/>
            <w:tcBorders>
              <w:top w:val="single" w:color="auto" w:sz="8" w:space="0"/>
              <w:bottom w:val="single" w:color="auto" w:sz="8" w:space="0"/>
            </w:tcBorders>
            <w:noWrap w:val="0"/>
            <w:vAlign w:val="center"/>
          </w:tcPr>
          <w:p w14:paraId="09BF23E1">
            <w:pPr>
              <w:adjustRightInd w:val="0"/>
              <w:snapToGrid w:val="0"/>
              <w:rPr>
                <w:rFonts w:hint="eastAsia" w:ascii="宋体" w:hAnsi="宋体"/>
                <w:sz w:val="18"/>
                <w:szCs w:val="18"/>
              </w:rPr>
            </w:pPr>
            <w:r>
              <w:rPr>
                <w:rFonts w:hint="eastAsia" w:ascii="宋体" w:hAnsi="宋体"/>
                <w:sz w:val="18"/>
                <w:szCs w:val="18"/>
              </w:rPr>
              <w:t>★</w:t>
            </w:r>
            <w:r>
              <w:rPr>
                <w:rFonts w:hint="eastAsia" w:ascii="宋体" w:hAnsi="宋体"/>
                <w:sz w:val="18"/>
                <w:szCs w:val="18"/>
                <w:lang w:eastAsia="zh-CN"/>
              </w:rPr>
              <w:t>景区</w:t>
            </w:r>
            <w:r>
              <w:rPr>
                <w:rFonts w:hint="eastAsia" w:ascii="宋体" w:hAnsi="宋体"/>
                <w:sz w:val="18"/>
                <w:szCs w:val="18"/>
              </w:rPr>
              <w:t>应对承包（承租）</w:t>
            </w:r>
            <w:r>
              <w:rPr>
                <w:rFonts w:hint="eastAsia" w:ascii="宋体" w:hAnsi="宋体"/>
                <w:sz w:val="18"/>
                <w:szCs w:val="18"/>
                <w:lang w:val="en-US" w:eastAsia="zh-CN"/>
              </w:rPr>
              <w:t>单位</w:t>
            </w:r>
            <w:r>
              <w:rPr>
                <w:rFonts w:hint="eastAsia" w:ascii="宋体" w:hAnsi="宋体"/>
                <w:sz w:val="18"/>
                <w:szCs w:val="18"/>
              </w:rPr>
              <w:t>的安全生产工作统一协调、管理，定期进行安全检查。对发现安全检查中发现的事故隐患，</w:t>
            </w:r>
            <w:r>
              <w:rPr>
                <w:rFonts w:hint="eastAsia" w:ascii="宋体" w:hAnsi="宋体"/>
                <w:sz w:val="18"/>
                <w:szCs w:val="18"/>
                <w:lang w:eastAsia="zh-CN"/>
              </w:rPr>
              <w:t>景区</w:t>
            </w:r>
            <w:r>
              <w:rPr>
                <w:rFonts w:hint="eastAsia" w:ascii="宋体" w:hAnsi="宋体"/>
                <w:sz w:val="18"/>
                <w:szCs w:val="18"/>
              </w:rPr>
              <w:t>应及时督促相关</w:t>
            </w:r>
            <w:r>
              <w:rPr>
                <w:rFonts w:hint="eastAsia" w:ascii="宋体" w:hAnsi="宋体"/>
                <w:sz w:val="18"/>
                <w:szCs w:val="18"/>
                <w:lang w:val="en-US" w:eastAsia="zh-CN"/>
              </w:rPr>
              <w:t>单位</w:t>
            </w:r>
            <w:r>
              <w:rPr>
                <w:rFonts w:hint="eastAsia" w:ascii="宋体" w:hAnsi="宋体"/>
                <w:sz w:val="18"/>
                <w:szCs w:val="18"/>
              </w:rPr>
              <w:t>进行整改。</w:t>
            </w:r>
          </w:p>
        </w:tc>
        <w:tc>
          <w:tcPr>
            <w:tcW w:w="586" w:type="dxa"/>
            <w:tcBorders>
              <w:top w:val="single" w:color="auto" w:sz="8" w:space="0"/>
              <w:bottom w:val="single" w:color="auto" w:sz="8" w:space="0"/>
            </w:tcBorders>
            <w:noWrap w:val="0"/>
            <w:vAlign w:val="center"/>
          </w:tcPr>
          <w:p w14:paraId="655009B6">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0E2BDA7B">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4D6D0658">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10</w:t>
            </w:r>
          </w:p>
        </w:tc>
        <w:tc>
          <w:tcPr>
            <w:tcW w:w="4603" w:type="dxa"/>
            <w:tcBorders>
              <w:top w:val="single" w:color="auto" w:sz="8" w:space="0"/>
              <w:bottom w:val="single" w:color="auto" w:sz="8" w:space="0"/>
            </w:tcBorders>
            <w:noWrap w:val="0"/>
            <w:vAlign w:val="center"/>
          </w:tcPr>
          <w:p w14:paraId="4CA42DF5">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未对安全生产工作定期安全检查的，</w:t>
            </w:r>
            <w:r>
              <w:rPr>
                <w:rFonts w:hint="eastAsia" w:ascii="宋体" w:hAnsi="宋体"/>
                <w:sz w:val="18"/>
                <w:szCs w:val="18"/>
                <w:lang w:val="en-US" w:eastAsia="zh-CN"/>
              </w:rPr>
              <w:t>或</w:t>
            </w:r>
            <w:r>
              <w:rPr>
                <w:rFonts w:hint="eastAsia" w:ascii="宋体" w:hAnsi="宋体"/>
                <w:sz w:val="18"/>
                <w:szCs w:val="18"/>
              </w:rPr>
              <w:t>现场发现安全问题的未督促相关</w:t>
            </w:r>
            <w:r>
              <w:rPr>
                <w:rFonts w:hint="eastAsia" w:ascii="宋体" w:hAnsi="宋体"/>
                <w:sz w:val="18"/>
                <w:szCs w:val="18"/>
                <w:lang w:val="en-US" w:eastAsia="zh-CN"/>
              </w:rPr>
              <w:t>单位</w:t>
            </w:r>
            <w:r>
              <w:rPr>
                <w:rFonts w:hint="eastAsia" w:ascii="宋体" w:hAnsi="宋体"/>
                <w:sz w:val="18"/>
                <w:szCs w:val="18"/>
              </w:rPr>
              <w:t>整改的，“相关方安全管理”评定要素不得分</w:t>
            </w:r>
            <w:r>
              <w:rPr>
                <w:rFonts w:hint="eastAsia" w:ascii="宋体" w:hAnsi="宋体"/>
                <w:sz w:val="18"/>
                <w:szCs w:val="18"/>
                <w:lang w:eastAsia="zh-CN"/>
              </w:rPr>
              <w:t>；</w:t>
            </w:r>
          </w:p>
        </w:tc>
        <w:tc>
          <w:tcPr>
            <w:tcW w:w="611" w:type="dxa"/>
            <w:tcBorders>
              <w:top w:val="single" w:color="auto" w:sz="8" w:space="0"/>
              <w:bottom w:val="single" w:color="auto" w:sz="8" w:space="0"/>
            </w:tcBorders>
            <w:noWrap w:val="0"/>
            <w:vAlign w:val="top"/>
          </w:tcPr>
          <w:p w14:paraId="107A0E29">
            <w:pPr>
              <w:widowControl/>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top"/>
          </w:tcPr>
          <w:p w14:paraId="0DDBF7D3">
            <w:pPr>
              <w:widowControl/>
              <w:adjustRightInd w:val="0"/>
              <w:snapToGrid w:val="0"/>
              <w:jc w:val="center"/>
              <w:rPr>
                <w:rFonts w:ascii="宋体" w:hAnsi="宋体"/>
                <w:bCs/>
                <w:sz w:val="18"/>
                <w:szCs w:val="18"/>
              </w:rPr>
            </w:pPr>
          </w:p>
        </w:tc>
        <w:tc>
          <w:tcPr>
            <w:tcW w:w="875" w:type="dxa"/>
            <w:tcBorders>
              <w:top w:val="single" w:color="auto" w:sz="8" w:space="0"/>
              <w:bottom w:val="single" w:color="auto" w:sz="8" w:space="0"/>
            </w:tcBorders>
            <w:noWrap w:val="0"/>
            <w:vAlign w:val="center"/>
          </w:tcPr>
          <w:p w14:paraId="45071030">
            <w:pPr>
              <w:widowControl/>
              <w:adjustRightInd w:val="0"/>
              <w:snapToGrid w:val="0"/>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51D89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19" w:type="dxa"/>
            <w:tcBorders>
              <w:top w:val="single" w:color="auto" w:sz="8" w:space="0"/>
              <w:bottom w:val="single" w:color="auto" w:sz="8" w:space="0"/>
            </w:tcBorders>
            <w:noWrap w:val="0"/>
            <w:vAlign w:val="center"/>
          </w:tcPr>
          <w:p w14:paraId="728C6770">
            <w:pPr>
              <w:widowControl/>
              <w:jc w:val="center"/>
              <w:rPr>
                <w:rFonts w:hint="eastAsia" w:ascii="宋体" w:hAnsi="宋体" w:eastAsia="宋体" w:cs="Times New Roman"/>
                <w:kern w:val="2"/>
                <w:sz w:val="18"/>
                <w:szCs w:val="18"/>
                <w:lang w:val="en-US" w:eastAsia="zh-CN" w:bidi="ar-SA"/>
              </w:rPr>
            </w:pPr>
            <w:r>
              <w:rPr>
                <w:rFonts w:hint="eastAsia" w:ascii="宋体" w:hAnsi="宋体"/>
                <w:sz w:val="18"/>
                <w:lang w:eastAsia="zh-CN"/>
              </w:rPr>
              <w:t>1.10</w:t>
            </w:r>
          </w:p>
        </w:tc>
        <w:tc>
          <w:tcPr>
            <w:tcW w:w="5926" w:type="dxa"/>
            <w:tcBorders>
              <w:top w:val="single" w:color="auto" w:sz="8" w:space="0"/>
              <w:bottom w:val="single" w:color="auto" w:sz="8" w:space="0"/>
            </w:tcBorders>
            <w:noWrap w:val="0"/>
            <w:vAlign w:val="center"/>
          </w:tcPr>
          <w:p w14:paraId="57FC1938">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rPr>
              <w:t>劳动防护用品</w:t>
            </w:r>
          </w:p>
        </w:tc>
        <w:tc>
          <w:tcPr>
            <w:tcW w:w="586" w:type="dxa"/>
            <w:tcBorders>
              <w:top w:val="single" w:color="auto" w:sz="8" w:space="0"/>
              <w:bottom w:val="single" w:color="auto" w:sz="8" w:space="0"/>
            </w:tcBorders>
            <w:noWrap w:val="0"/>
            <w:vAlign w:val="center"/>
          </w:tcPr>
          <w:p w14:paraId="12A0AB4E">
            <w:pPr>
              <w:widowControl/>
              <w:jc w:val="center"/>
              <w:rPr>
                <w:rFonts w:ascii="宋体" w:hAnsi="宋体" w:eastAsia="宋体" w:cs="Times New Roman"/>
                <w:bCs/>
                <w:kern w:val="2"/>
                <w:sz w:val="18"/>
                <w:szCs w:val="18"/>
                <w:lang w:val="en-US" w:eastAsia="zh-CN" w:bidi="ar-SA"/>
              </w:rPr>
            </w:pPr>
            <w:r>
              <w:rPr>
                <w:rFonts w:hint="eastAsia" w:ascii="宋体" w:hAnsi="宋体"/>
                <w:sz w:val="18"/>
              </w:rPr>
              <w:t>10</w:t>
            </w:r>
          </w:p>
        </w:tc>
        <w:tc>
          <w:tcPr>
            <w:tcW w:w="611" w:type="dxa"/>
            <w:tcBorders>
              <w:top w:val="single" w:color="auto" w:sz="8" w:space="0"/>
              <w:bottom w:val="single" w:color="auto" w:sz="8" w:space="0"/>
            </w:tcBorders>
            <w:noWrap w:val="0"/>
            <w:vAlign w:val="center"/>
          </w:tcPr>
          <w:p w14:paraId="624CA685">
            <w:pPr>
              <w:widowControl/>
              <w:jc w:val="center"/>
              <w:rPr>
                <w:rFonts w:ascii="宋体" w:hAnsi="宋体" w:eastAsia="宋体" w:cs="Times New Roman"/>
                <w:bCs/>
                <w:kern w:val="2"/>
                <w:sz w:val="18"/>
                <w:szCs w:val="18"/>
                <w:lang w:val="en-US" w:eastAsia="zh-CN" w:bidi="ar-SA"/>
              </w:rPr>
            </w:pPr>
          </w:p>
        </w:tc>
        <w:tc>
          <w:tcPr>
            <w:tcW w:w="611" w:type="dxa"/>
            <w:tcBorders>
              <w:top w:val="single" w:color="auto" w:sz="8" w:space="0"/>
              <w:bottom w:val="single" w:color="auto" w:sz="8" w:space="0"/>
            </w:tcBorders>
            <w:noWrap w:val="0"/>
            <w:vAlign w:val="center"/>
          </w:tcPr>
          <w:p w14:paraId="08A5E311">
            <w:pPr>
              <w:widowControl/>
              <w:jc w:val="center"/>
              <w:rPr>
                <w:rFonts w:hint="eastAsia" w:ascii="宋体" w:hAnsi="宋体" w:eastAsia="宋体" w:cs="Times New Roman"/>
                <w:kern w:val="2"/>
                <w:sz w:val="18"/>
                <w:szCs w:val="24"/>
                <w:lang w:val="en-US" w:eastAsia="zh-CN" w:bidi="ar-SA"/>
              </w:rPr>
            </w:pPr>
          </w:p>
        </w:tc>
        <w:tc>
          <w:tcPr>
            <w:tcW w:w="4603" w:type="dxa"/>
            <w:tcBorders>
              <w:top w:val="single" w:color="auto" w:sz="8" w:space="0"/>
              <w:bottom w:val="single" w:color="auto" w:sz="8" w:space="0"/>
            </w:tcBorders>
            <w:noWrap w:val="0"/>
            <w:vAlign w:val="center"/>
          </w:tcPr>
          <w:p w14:paraId="7F8DDC04">
            <w:pPr>
              <w:adjustRightInd w:val="0"/>
              <w:snapToGrid w:val="0"/>
              <w:jc w:val="left"/>
              <w:rPr>
                <w:rFonts w:hint="eastAsia" w:ascii="宋体" w:hAnsi="宋体" w:eastAsia="宋体" w:cs="Times New Roman"/>
                <w:kern w:val="2"/>
                <w:sz w:val="18"/>
                <w:szCs w:val="18"/>
                <w:lang w:val="en-US" w:eastAsia="zh-CN" w:bidi="ar-SA"/>
              </w:rPr>
            </w:pPr>
          </w:p>
        </w:tc>
        <w:tc>
          <w:tcPr>
            <w:tcW w:w="611" w:type="dxa"/>
            <w:tcBorders>
              <w:top w:val="single" w:color="auto" w:sz="8" w:space="0"/>
              <w:bottom w:val="single" w:color="auto" w:sz="8" w:space="0"/>
            </w:tcBorders>
            <w:noWrap w:val="0"/>
            <w:vAlign w:val="top"/>
          </w:tcPr>
          <w:p w14:paraId="546E5262">
            <w:pPr>
              <w:widowControl/>
              <w:jc w:val="center"/>
              <w:rPr>
                <w:rFonts w:ascii="宋体" w:hAnsi="宋体" w:eastAsia="宋体" w:cs="Times New Roman"/>
                <w:bCs/>
                <w:kern w:val="2"/>
                <w:sz w:val="18"/>
                <w:szCs w:val="18"/>
                <w:lang w:val="en-US" w:eastAsia="zh-CN" w:bidi="ar-SA"/>
              </w:rPr>
            </w:pPr>
          </w:p>
        </w:tc>
        <w:tc>
          <w:tcPr>
            <w:tcW w:w="611" w:type="dxa"/>
            <w:tcBorders>
              <w:top w:val="single" w:color="auto" w:sz="8" w:space="0"/>
              <w:bottom w:val="single" w:color="auto" w:sz="8" w:space="0"/>
            </w:tcBorders>
            <w:noWrap w:val="0"/>
            <w:vAlign w:val="top"/>
          </w:tcPr>
          <w:p w14:paraId="5D9CA61D">
            <w:pPr>
              <w:widowControl/>
              <w:jc w:val="center"/>
              <w:rPr>
                <w:rFonts w:ascii="宋体" w:hAnsi="宋体" w:eastAsia="宋体" w:cs="Times New Roman"/>
                <w:bCs/>
                <w:kern w:val="2"/>
                <w:sz w:val="18"/>
                <w:szCs w:val="18"/>
                <w:lang w:val="en-US" w:eastAsia="zh-CN" w:bidi="ar-SA"/>
              </w:rPr>
            </w:pPr>
          </w:p>
        </w:tc>
        <w:tc>
          <w:tcPr>
            <w:tcW w:w="875" w:type="dxa"/>
            <w:tcBorders>
              <w:top w:val="single" w:color="auto" w:sz="8" w:space="0"/>
              <w:bottom w:val="single" w:color="auto" w:sz="8" w:space="0"/>
            </w:tcBorders>
            <w:noWrap w:val="0"/>
            <w:vAlign w:val="center"/>
          </w:tcPr>
          <w:p w14:paraId="0073CFEC">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6A0D47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DAF6F7">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1.10</w:t>
            </w:r>
            <w:r>
              <w:rPr>
                <w:rFonts w:hint="eastAsia" w:ascii="宋体" w:hAnsi="宋体"/>
                <w:sz w:val="18"/>
              </w:rPr>
              <w:t>.1</w:t>
            </w:r>
          </w:p>
        </w:tc>
        <w:tc>
          <w:tcPr>
            <w:tcW w:w="0" w:type="auto"/>
            <w:vAlign w:val="center"/>
          </w:tcPr>
          <w:p w14:paraId="0EE9A691">
            <w:pPr>
              <w:adjustRightInd w:val="0"/>
              <w:snapToGrid w:val="0"/>
              <w:rPr>
                <w:rFonts w:hint="eastAsia" w:ascii="宋体" w:hAnsi="宋体" w:eastAsia="宋体" w:cs="Times New Roman"/>
                <w:kern w:val="2"/>
                <w:sz w:val="18"/>
                <w:szCs w:val="24"/>
                <w:lang w:val="en-US" w:eastAsia="zh-CN" w:bidi="ar-SA"/>
              </w:rPr>
            </w:pPr>
            <w:r>
              <w:rPr>
                <w:rFonts w:hint="eastAsia" w:ascii="宋体" w:hAnsi="宋体"/>
                <w:sz w:val="18"/>
                <w:szCs w:val="18"/>
                <w:lang w:eastAsia="zh-CN"/>
              </w:rPr>
              <w:t>景区</w:t>
            </w:r>
            <w:r>
              <w:rPr>
                <w:rFonts w:hint="eastAsia" w:ascii="宋体" w:hAnsi="宋体"/>
                <w:sz w:val="18"/>
                <w:szCs w:val="18"/>
              </w:rPr>
              <w:t>应通过危险有害因素的辨识</w:t>
            </w:r>
            <w:r>
              <w:rPr>
                <w:rFonts w:ascii="宋体" w:hAnsi="宋体"/>
                <w:sz w:val="18"/>
                <w:szCs w:val="18"/>
              </w:rPr>
              <w:t>，确定劳动防护用品的需求计划</w:t>
            </w:r>
            <w:r>
              <w:rPr>
                <w:rFonts w:hint="eastAsia" w:ascii="宋体" w:hAnsi="宋体"/>
                <w:sz w:val="18"/>
                <w:szCs w:val="18"/>
              </w:rPr>
              <w:t>或</w:t>
            </w:r>
            <w:r>
              <w:rPr>
                <w:rFonts w:ascii="宋体" w:hAnsi="宋体"/>
                <w:sz w:val="18"/>
                <w:szCs w:val="18"/>
              </w:rPr>
              <w:t>发放标准</w:t>
            </w:r>
            <w:r>
              <w:rPr>
                <w:rFonts w:hint="eastAsia" w:ascii="宋体" w:hAnsi="宋体"/>
                <w:sz w:val="18"/>
                <w:szCs w:val="18"/>
              </w:rPr>
              <w:t>。</w:t>
            </w:r>
          </w:p>
        </w:tc>
        <w:tc>
          <w:tcPr>
            <w:tcW w:w="0" w:type="auto"/>
            <w:vAlign w:val="center"/>
          </w:tcPr>
          <w:p w14:paraId="60909EA4">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21690213">
            <w:pPr>
              <w:widowControl/>
              <w:jc w:val="center"/>
              <w:rPr>
                <w:rFonts w:ascii="宋体" w:hAnsi="宋体" w:eastAsia="宋体" w:cs="Times New Roman"/>
                <w:bCs/>
                <w:kern w:val="2"/>
                <w:sz w:val="18"/>
                <w:szCs w:val="18"/>
                <w:lang w:val="en-US" w:eastAsia="zh-CN" w:bidi="ar-SA"/>
              </w:rPr>
            </w:pPr>
          </w:p>
        </w:tc>
        <w:tc>
          <w:tcPr>
            <w:tcW w:w="0" w:type="auto"/>
            <w:vAlign w:val="center"/>
          </w:tcPr>
          <w:p w14:paraId="4CFC2A0A">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2</w:t>
            </w:r>
          </w:p>
        </w:tc>
        <w:tc>
          <w:tcPr>
            <w:tcW w:w="0" w:type="auto"/>
            <w:vAlign w:val="center"/>
          </w:tcPr>
          <w:p w14:paraId="2E408206">
            <w:pPr>
              <w:adjustRightInd/>
              <w:snapToGrid w:val="0"/>
              <w:jc w:val="left"/>
              <w:rPr>
                <w:rFonts w:hint="eastAsia" w:ascii="宋体" w:hAnsi="宋体" w:eastAsia="宋体" w:cs="Times New Roman"/>
                <w:kern w:val="2"/>
                <w:sz w:val="18"/>
                <w:szCs w:val="18"/>
                <w:lang w:val="en-US" w:eastAsia="zh-CN" w:bidi="ar-SA"/>
              </w:rPr>
            </w:pPr>
            <w:r>
              <w:rPr>
                <w:rFonts w:ascii="宋体" w:hAnsi="宋体"/>
                <w:sz w:val="18"/>
                <w:szCs w:val="18"/>
              </w:rPr>
              <w:t>未</w:t>
            </w:r>
            <w:r>
              <w:rPr>
                <w:rFonts w:hint="eastAsia" w:ascii="宋体" w:hAnsi="宋体"/>
                <w:sz w:val="18"/>
                <w:szCs w:val="18"/>
                <w:lang w:val="en-US" w:eastAsia="zh-CN"/>
              </w:rPr>
              <w:t>制定</w:t>
            </w:r>
            <w:r>
              <w:rPr>
                <w:rFonts w:ascii="宋体" w:hAnsi="宋体"/>
                <w:sz w:val="18"/>
                <w:szCs w:val="18"/>
              </w:rPr>
              <w:t>劳动防护用品的需求计划或发放标准的，</w:t>
            </w:r>
            <w:r>
              <w:rPr>
                <w:rFonts w:hint="eastAsia" w:ascii="宋体" w:hAnsi="宋体"/>
                <w:sz w:val="18"/>
                <w:szCs w:val="18"/>
                <w:lang w:val="en-US" w:eastAsia="zh-CN"/>
              </w:rPr>
              <w:t>不得分</w:t>
            </w:r>
            <w:r>
              <w:rPr>
                <w:rFonts w:ascii="宋体" w:hAnsi="宋体"/>
                <w:sz w:val="18"/>
                <w:szCs w:val="18"/>
              </w:rPr>
              <w:t>；</w:t>
            </w:r>
            <w:r>
              <w:rPr>
                <w:rFonts w:hint="eastAsia" w:ascii="宋体" w:hAnsi="宋体"/>
                <w:sz w:val="18"/>
                <w:szCs w:val="18"/>
                <w:lang w:val="en-US" w:eastAsia="zh-CN"/>
              </w:rPr>
              <w:t>内容不全的，</w:t>
            </w:r>
            <w:r>
              <w:rPr>
                <w:rFonts w:ascii="宋体" w:hAnsi="宋体"/>
                <w:sz w:val="18"/>
                <w:szCs w:val="18"/>
              </w:rPr>
              <w:t>扣</w:t>
            </w:r>
            <w:r>
              <w:rPr>
                <w:rFonts w:hint="eastAsia" w:ascii="宋体" w:hAnsi="宋体"/>
                <w:sz w:val="18"/>
                <w:szCs w:val="18"/>
              </w:rPr>
              <w:t>1</w:t>
            </w:r>
            <w:r>
              <w:rPr>
                <w:rFonts w:ascii="宋体" w:hAnsi="宋体"/>
                <w:sz w:val="18"/>
                <w:szCs w:val="18"/>
              </w:rPr>
              <w:t>分。</w:t>
            </w:r>
          </w:p>
        </w:tc>
        <w:tc>
          <w:tcPr>
            <w:tcW w:w="0" w:type="auto"/>
            <w:vAlign w:val="top"/>
          </w:tcPr>
          <w:p w14:paraId="228032D1">
            <w:pPr>
              <w:widowControl/>
              <w:jc w:val="center"/>
              <w:rPr>
                <w:rFonts w:ascii="宋体" w:hAnsi="宋体" w:eastAsia="宋体" w:cs="Times New Roman"/>
                <w:bCs/>
                <w:kern w:val="2"/>
                <w:sz w:val="18"/>
                <w:szCs w:val="18"/>
                <w:lang w:val="en-US" w:eastAsia="zh-CN" w:bidi="ar-SA"/>
              </w:rPr>
            </w:pPr>
          </w:p>
        </w:tc>
        <w:tc>
          <w:tcPr>
            <w:tcW w:w="0" w:type="auto"/>
            <w:vAlign w:val="top"/>
          </w:tcPr>
          <w:p w14:paraId="315E8318">
            <w:pPr>
              <w:widowControl/>
              <w:jc w:val="center"/>
              <w:rPr>
                <w:rFonts w:ascii="宋体" w:hAnsi="宋体" w:eastAsia="宋体" w:cs="Times New Roman"/>
                <w:bCs/>
                <w:kern w:val="2"/>
                <w:sz w:val="18"/>
                <w:szCs w:val="18"/>
                <w:lang w:val="en-US" w:eastAsia="zh-CN" w:bidi="ar-SA"/>
              </w:rPr>
            </w:pPr>
          </w:p>
        </w:tc>
        <w:tc>
          <w:tcPr>
            <w:tcW w:w="0" w:type="auto"/>
            <w:vAlign w:val="center"/>
          </w:tcPr>
          <w:p w14:paraId="31E7DD08">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2ABDDE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1CA05B">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1.10</w:t>
            </w:r>
            <w:r>
              <w:rPr>
                <w:rFonts w:hint="eastAsia" w:ascii="宋体" w:hAnsi="宋体"/>
                <w:sz w:val="18"/>
              </w:rPr>
              <w:t>.2</w:t>
            </w:r>
          </w:p>
        </w:tc>
        <w:tc>
          <w:tcPr>
            <w:tcW w:w="0" w:type="auto"/>
            <w:vAlign w:val="center"/>
          </w:tcPr>
          <w:p w14:paraId="49CEF948">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景区</w:t>
            </w:r>
            <w:r>
              <w:rPr>
                <w:rFonts w:hint="eastAsia" w:ascii="宋体" w:hAnsi="宋体"/>
                <w:sz w:val="18"/>
                <w:szCs w:val="18"/>
              </w:rPr>
              <w:t>采购的</w:t>
            </w:r>
            <w:r>
              <w:rPr>
                <w:rFonts w:ascii="宋体" w:hAnsi="宋体"/>
                <w:sz w:val="18"/>
                <w:szCs w:val="18"/>
              </w:rPr>
              <w:t>劳动防护用品的质量应符合国家、行业的相关标准要求</w:t>
            </w:r>
            <w:r>
              <w:rPr>
                <w:rFonts w:hint="eastAsia" w:ascii="宋体" w:hAnsi="宋体"/>
                <w:sz w:val="18"/>
                <w:szCs w:val="18"/>
                <w:highlight w:val="none"/>
                <w:lang w:eastAsia="zh-CN"/>
              </w:rPr>
              <w:t>，应从具有资质的生产和销售单位购买，查验并保存劳动防护用品检验报告等质量证明文件的原件或复印件。</w:t>
            </w:r>
            <w:r>
              <w:rPr>
                <w:rFonts w:hint="eastAsia" w:ascii="宋体" w:hAnsi="宋体"/>
                <w:sz w:val="18"/>
                <w:szCs w:val="18"/>
              </w:rPr>
              <w:t>。</w:t>
            </w:r>
          </w:p>
        </w:tc>
        <w:tc>
          <w:tcPr>
            <w:tcW w:w="0" w:type="auto"/>
            <w:vAlign w:val="center"/>
          </w:tcPr>
          <w:p w14:paraId="0CE149D9">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61015372">
            <w:pPr>
              <w:widowControl/>
              <w:jc w:val="center"/>
              <w:rPr>
                <w:rFonts w:ascii="宋体" w:hAnsi="宋体" w:eastAsia="宋体" w:cs="Times New Roman"/>
                <w:bCs/>
                <w:kern w:val="2"/>
                <w:sz w:val="18"/>
                <w:szCs w:val="18"/>
                <w:lang w:val="en-US" w:eastAsia="zh-CN" w:bidi="ar-SA"/>
              </w:rPr>
            </w:pPr>
          </w:p>
        </w:tc>
        <w:tc>
          <w:tcPr>
            <w:tcW w:w="0" w:type="auto"/>
            <w:vAlign w:val="center"/>
          </w:tcPr>
          <w:p w14:paraId="2E3B4117">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2</w:t>
            </w:r>
          </w:p>
        </w:tc>
        <w:tc>
          <w:tcPr>
            <w:tcW w:w="0" w:type="auto"/>
            <w:vAlign w:val="center"/>
          </w:tcPr>
          <w:p w14:paraId="1AF55617">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劳动防护用品</w:t>
            </w:r>
            <w:r>
              <w:rPr>
                <w:rFonts w:hint="eastAsia" w:ascii="宋体" w:hAnsi="宋体"/>
                <w:sz w:val="18"/>
                <w:szCs w:val="18"/>
                <w:lang w:val="en-US" w:eastAsia="zh-CN"/>
              </w:rPr>
              <w:t>不合格</w:t>
            </w:r>
            <w:r>
              <w:rPr>
                <w:rFonts w:ascii="宋体" w:hAnsi="宋体"/>
                <w:sz w:val="18"/>
                <w:szCs w:val="18"/>
              </w:rPr>
              <w:t>的，</w:t>
            </w:r>
            <w:r>
              <w:rPr>
                <w:rFonts w:hint="eastAsia" w:ascii="宋体" w:hAnsi="宋体"/>
                <w:sz w:val="18"/>
                <w:szCs w:val="18"/>
              </w:rPr>
              <w:t>一处扣1分。</w:t>
            </w:r>
          </w:p>
        </w:tc>
        <w:tc>
          <w:tcPr>
            <w:tcW w:w="0" w:type="auto"/>
            <w:vAlign w:val="top"/>
          </w:tcPr>
          <w:p w14:paraId="1AA877E9">
            <w:pPr>
              <w:widowControl/>
              <w:jc w:val="center"/>
              <w:rPr>
                <w:rFonts w:ascii="宋体" w:hAnsi="宋体" w:eastAsia="宋体" w:cs="Times New Roman"/>
                <w:bCs/>
                <w:kern w:val="2"/>
                <w:sz w:val="18"/>
                <w:szCs w:val="18"/>
                <w:lang w:val="en-US" w:eastAsia="zh-CN" w:bidi="ar-SA"/>
              </w:rPr>
            </w:pPr>
          </w:p>
        </w:tc>
        <w:tc>
          <w:tcPr>
            <w:tcW w:w="0" w:type="auto"/>
            <w:vAlign w:val="top"/>
          </w:tcPr>
          <w:p w14:paraId="1CFD62D3">
            <w:pPr>
              <w:widowControl/>
              <w:jc w:val="center"/>
              <w:rPr>
                <w:rFonts w:ascii="宋体" w:hAnsi="宋体" w:eastAsia="宋体" w:cs="Times New Roman"/>
                <w:bCs/>
                <w:kern w:val="2"/>
                <w:sz w:val="18"/>
                <w:szCs w:val="18"/>
                <w:lang w:val="en-US" w:eastAsia="zh-CN" w:bidi="ar-SA"/>
              </w:rPr>
            </w:pPr>
          </w:p>
        </w:tc>
        <w:tc>
          <w:tcPr>
            <w:tcW w:w="0" w:type="auto"/>
            <w:vAlign w:val="center"/>
          </w:tcPr>
          <w:p w14:paraId="5BE29789">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7AA4DC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493834C">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1.10</w:t>
            </w:r>
            <w:r>
              <w:rPr>
                <w:rFonts w:hint="eastAsia" w:ascii="宋体" w:hAnsi="宋体"/>
                <w:sz w:val="18"/>
              </w:rPr>
              <w:t>.3</w:t>
            </w:r>
          </w:p>
        </w:tc>
        <w:tc>
          <w:tcPr>
            <w:tcW w:w="0" w:type="auto"/>
            <w:vAlign w:val="center"/>
          </w:tcPr>
          <w:p w14:paraId="7A2A78BD">
            <w:pPr>
              <w:adjustRightInd w:val="0"/>
              <w:snapToGrid w:val="0"/>
              <w:rPr>
                <w:rFonts w:hint="eastAsia" w:ascii="宋体" w:hAnsi="宋体" w:eastAsia="宋体" w:cs="Times New Roman"/>
                <w:kern w:val="2"/>
                <w:sz w:val="18"/>
                <w:szCs w:val="18"/>
                <w:lang w:val="en-US" w:eastAsia="zh-CN" w:bidi="ar-SA"/>
              </w:rPr>
            </w:pPr>
            <w:r>
              <w:rPr>
                <w:rFonts w:hint="eastAsia" w:ascii="宋体" w:hAnsi="宋体" w:eastAsia="宋体" w:cs="Times New Roman"/>
                <w:sz w:val="18"/>
                <w:szCs w:val="18"/>
                <w:highlight w:val="none"/>
              </w:rPr>
              <w:t>应按照劳动防护用品的配备标准和发放周期定期发放，对工作过程中损坏的，应及时更换，并作好登记</w:t>
            </w:r>
            <w:r>
              <w:rPr>
                <w:rFonts w:hint="eastAsia" w:ascii="宋体" w:hAnsi="宋体" w:eastAsia="宋体" w:cs="Times New Roman"/>
                <w:sz w:val="18"/>
                <w:szCs w:val="18"/>
                <w:highlight w:val="none"/>
                <w:lang w:eastAsia="zh-CN"/>
              </w:rPr>
              <w:t>。</w:t>
            </w:r>
          </w:p>
        </w:tc>
        <w:tc>
          <w:tcPr>
            <w:tcW w:w="0" w:type="auto"/>
            <w:vAlign w:val="center"/>
          </w:tcPr>
          <w:p w14:paraId="4216C1B5">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37762F48">
            <w:pPr>
              <w:widowControl/>
              <w:jc w:val="center"/>
              <w:rPr>
                <w:rFonts w:ascii="宋体" w:hAnsi="宋体" w:eastAsia="宋体" w:cs="Times New Roman"/>
                <w:bCs/>
                <w:kern w:val="2"/>
                <w:sz w:val="18"/>
                <w:szCs w:val="18"/>
                <w:lang w:val="en-US" w:eastAsia="zh-CN" w:bidi="ar-SA"/>
              </w:rPr>
            </w:pPr>
          </w:p>
        </w:tc>
        <w:tc>
          <w:tcPr>
            <w:tcW w:w="0" w:type="auto"/>
            <w:vAlign w:val="center"/>
          </w:tcPr>
          <w:p w14:paraId="0A52FED0">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2</w:t>
            </w:r>
          </w:p>
        </w:tc>
        <w:tc>
          <w:tcPr>
            <w:tcW w:w="0" w:type="auto"/>
            <w:vAlign w:val="center"/>
          </w:tcPr>
          <w:p w14:paraId="61BB748B">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未保存发放记录或记录不规范的，不得分。</w:t>
            </w:r>
          </w:p>
        </w:tc>
        <w:tc>
          <w:tcPr>
            <w:tcW w:w="0" w:type="auto"/>
            <w:vAlign w:val="top"/>
          </w:tcPr>
          <w:p w14:paraId="407F30A4">
            <w:pPr>
              <w:widowControl/>
              <w:jc w:val="center"/>
              <w:rPr>
                <w:rFonts w:ascii="宋体" w:hAnsi="宋体" w:eastAsia="宋体" w:cs="Times New Roman"/>
                <w:bCs/>
                <w:kern w:val="2"/>
                <w:sz w:val="18"/>
                <w:szCs w:val="18"/>
                <w:lang w:val="en-US" w:eastAsia="zh-CN" w:bidi="ar-SA"/>
              </w:rPr>
            </w:pPr>
          </w:p>
        </w:tc>
        <w:tc>
          <w:tcPr>
            <w:tcW w:w="0" w:type="auto"/>
            <w:vAlign w:val="top"/>
          </w:tcPr>
          <w:p w14:paraId="0224CEB4">
            <w:pPr>
              <w:widowControl/>
              <w:jc w:val="center"/>
              <w:rPr>
                <w:rFonts w:ascii="宋体" w:hAnsi="宋体" w:eastAsia="宋体" w:cs="Times New Roman"/>
                <w:bCs/>
                <w:kern w:val="2"/>
                <w:sz w:val="18"/>
                <w:szCs w:val="18"/>
                <w:lang w:val="en-US" w:eastAsia="zh-CN" w:bidi="ar-SA"/>
              </w:rPr>
            </w:pPr>
          </w:p>
        </w:tc>
        <w:tc>
          <w:tcPr>
            <w:tcW w:w="0" w:type="auto"/>
            <w:vAlign w:val="center"/>
          </w:tcPr>
          <w:p w14:paraId="11FC301A">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306BF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8AB104">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1.10</w:t>
            </w:r>
            <w:r>
              <w:rPr>
                <w:rFonts w:hint="eastAsia" w:ascii="宋体" w:hAnsi="宋体"/>
                <w:sz w:val="18"/>
              </w:rPr>
              <w:t>.4</w:t>
            </w:r>
          </w:p>
        </w:tc>
        <w:tc>
          <w:tcPr>
            <w:tcW w:w="0" w:type="auto"/>
            <w:vAlign w:val="center"/>
          </w:tcPr>
          <w:p w14:paraId="596B1F79">
            <w:pPr>
              <w:adjustRightInd w:val="0"/>
              <w:snapToGrid w:val="0"/>
              <w:rPr>
                <w:rFonts w:hint="eastAsia" w:ascii="宋体" w:hAnsi="宋体" w:eastAsia="宋体" w:cs="Times New Roman"/>
                <w:kern w:val="2"/>
                <w:sz w:val="18"/>
                <w:szCs w:val="18"/>
                <w:lang w:val="en-US" w:eastAsia="zh-CN" w:bidi="ar-SA"/>
              </w:rPr>
            </w:pPr>
            <w:r>
              <w:rPr>
                <w:rFonts w:ascii="宋体" w:hAnsi="宋体"/>
                <w:sz w:val="18"/>
                <w:szCs w:val="18"/>
              </w:rPr>
              <w:t>劳动防护用品</w:t>
            </w:r>
            <w:r>
              <w:rPr>
                <w:rFonts w:hint="eastAsia" w:ascii="宋体" w:hAnsi="宋体"/>
                <w:sz w:val="18"/>
                <w:szCs w:val="18"/>
              </w:rPr>
              <w:t>应符合产品说明书、产品标志规定的出厂使用年限。</w:t>
            </w:r>
          </w:p>
        </w:tc>
        <w:tc>
          <w:tcPr>
            <w:tcW w:w="0" w:type="auto"/>
            <w:vAlign w:val="center"/>
          </w:tcPr>
          <w:p w14:paraId="10C644C8">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B9CC388">
            <w:pPr>
              <w:widowControl/>
              <w:jc w:val="center"/>
              <w:rPr>
                <w:rFonts w:ascii="宋体" w:hAnsi="宋体" w:eastAsia="宋体" w:cs="Times New Roman"/>
                <w:bCs/>
                <w:kern w:val="2"/>
                <w:sz w:val="18"/>
                <w:szCs w:val="18"/>
                <w:lang w:val="en-US" w:eastAsia="zh-CN" w:bidi="ar-SA"/>
              </w:rPr>
            </w:pPr>
          </w:p>
        </w:tc>
        <w:tc>
          <w:tcPr>
            <w:tcW w:w="0" w:type="auto"/>
            <w:vAlign w:val="center"/>
          </w:tcPr>
          <w:p w14:paraId="7B7C1A25">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4</w:t>
            </w:r>
          </w:p>
        </w:tc>
        <w:tc>
          <w:tcPr>
            <w:tcW w:w="0" w:type="auto"/>
            <w:vAlign w:val="center"/>
          </w:tcPr>
          <w:p w14:paraId="64CC8820">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劳动防护用品超期使用的，</w:t>
            </w:r>
            <w:r>
              <w:rPr>
                <w:rFonts w:hint="eastAsia" w:ascii="宋体" w:hAnsi="宋体"/>
                <w:sz w:val="18"/>
                <w:szCs w:val="18"/>
              </w:rPr>
              <w:t>不得分</w:t>
            </w:r>
            <w:r>
              <w:rPr>
                <w:rFonts w:ascii="宋体" w:hAnsi="宋体"/>
                <w:sz w:val="18"/>
                <w:szCs w:val="18"/>
              </w:rPr>
              <w:t>。</w:t>
            </w:r>
          </w:p>
        </w:tc>
        <w:tc>
          <w:tcPr>
            <w:tcW w:w="0" w:type="auto"/>
            <w:vAlign w:val="top"/>
          </w:tcPr>
          <w:p w14:paraId="6EF3D2CE">
            <w:pPr>
              <w:widowControl/>
              <w:jc w:val="center"/>
              <w:rPr>
                <w:rFonts w:ascii="宋体" w:hAnsi="宋体" w:eastAsia="宋体" w:cs="Times New Roman"/>
                <w:bCs/>
                <w:kern w:val="2"/>
                <w:sz w:val="18"/>
                <w:szCs w:val="18"/>
                <w:lang w:val="en-US" w:eastAsia="zh-CN" w:bidi="ar-SA"/>
              </w:rPr>
            </w:pPr>
          </w:p>
        </w:tc>
        <w:tc>
          <w:tcPr>
            <w:tcW w:w="0" w:type="auto"/>
            <w:vAlign w:val="top"/>
          </w:tcPr>
          <w:p w14:paraId="270F51B6">
            <w:pPr>
              <w:widowControl/>
              <w:jc w:val="center"/>
              <w:rPr>
                <w:rFonts w:ascii="宋体" w:hAnsi="宋体" w:eastAsia="宋体" w:cs="Times New Roman"/>
                <w:bCs/>
                <w:kern w:val="2"/>
                <w:sz w:val="18"/>
                <w:szCs w:val="18"/>
                <w:lang w:val="en-US" w:eastAsia="zh-CN" w:bidi="ar-SA"/>
              </w:rPr>
            </w:pPr>
          </w:p>
        </w:tc>
        <w:tc>
          <w:tcPr>
            <w:tcW w:w="0" w:type="auto"/>
            <w:vAlign w:val="center"/>
          </w:tcPr>
          <w:p w14:paraId="1F010F99">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3957F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C41B1E5">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1.11</w:t>
            </w:r>
          </w:p>
        </w:tc>
        <w:tc>
          <w:tcPr>
            <w:tcW w:w="0" w:type="auto"/>
            <w:vAlign w:val="center"/>
          </w:tcPr>
          <w:p w14:paraId="5FB05E9A">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rPr>
              <w:t>特种设备安全</w:t>
            </w:r>
          </w:p>
        </w:tc>
        <w:tc>
          <w:tcPr>
            <w:tcW w:w="0" w:type="auto"/>
            <w:vAlign w:val="center"/>
          </w:tcPr>
          <w:p w14:paraId="5D63B2E0">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30</w:t>
            </w:r>
          </w:p>
        </w:tc>
        <w:tc>
          <w:tcPr>
            <w:tcW w:w="0" w:type="auto"/>
            <w:vAlign w:val="center"/>
          </w:tcPr>
          <w:p w14:paraId="77E7BEAD">
            <w:pPr>
              <w:widowControl/>
              <w:jc w:val="center"/>
              <w:rPr>
                <w:rFonts w:ascii="宋体" w:hAnsi="宋体" w:eastAsia="宋体" w:cs="Times New Roman"/>
                <w:bCs/>
                <w:kern w:val="2"/>
                <w:sz w:val="18"/>
                <w:szCs w:val="18"/>
                <w:lang w:val="en-US" w:eastAsia="zh-CN" w:bidi="ar-SA"/>
              </w:rPr>
            </w:pPr>
          </w:p>
        </w:tc>
        <w:tc>
          <w:tcPr>
            <w:tcW w:w="0" w:type="auto"/>
            <w:vAlign w:val="center"/>
          </w:tcPr>
          <w:p w14:paraId="4BDA427C">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946EB8C">
            <w:pPr>
              <w:adjustRightInd w:val="0"/>
              <w:snapToGrid w:val="0"/>
              <w:jc w:val="left"/>
              <w:rPr>
                <w:rFonts w:hint="eastAsia" w:ascii="宋体" w:hAnsi="宋体" w:eastAsia="宋体" w:cs="Times New Roman"/>
                <w:kern w:val="2"/>
                <w:sz w:val="18"/>
                <w:szCs w:val="18"/>
                <w:lang w:val="en-US" w:eastAsia="zh-CN" w:bidi="ar-SA"/>
              </w:rPr>
            </w:pPr>
          </w:p>
        </w:tc>
        <w:tc>
          <w:tcPr>
            <w:tcW w:w="0" w:type="auto"/>
            <w:vAlign w:val="top"/>
          </w:tcPr>
          <w:p w14:paraId="2BA5E309">
            <w:pPr>
              <w:widowControl/>
              <w:jc w:val="center"/>
              <w:rPr>
                <w:rFonts w:ascii="宋体" w:hAnsi="宋体" w:eastAsia="宋体" w:cs="Times New Roman"/>
                <w:bCs/>
                <w:kern w:val="2"/>
                <w:sz w:val="18"/>
                <w:szCs w:val="18"/>
                <w:lang w:val="en-US" w:eastAsia="zh-CN" w:bidi="ar-SA"/>
              </w:rPr>
            </w:pPr>
          </w:p>
        </w:tc>
        <w:tc>
          <w:tcPr>
            <w:tcW w:w="0" w:type="auto"/>
            <w:vAlign w:val="top"/>
          </w:tcPr>
          <w:p w14:paraId="3C25A7EF">
            <w:pPr>
              <w:widowControl/>
              <w:jc w:val="center"/>
              <w:rPr>
                <w:rFonts w:ascii="宋体" w:hAnsi="宋体" w:eastAsia="宋体" w:cs="Times New Roman"/>
                <w:bCs/>
                <w:kern w:val="2"/>
                <w:sz w:val="18"/>
                <w:szCs w:val="18"/>
                <w:lang w:val="en-US" w:eastAsia="zh-CN" w:bidi="ar-SA"/>
              </w:rPr>
            </w:pPr>
          </w:p>
        </w:tc>
        <w:tc>
          <w:tcPr>
            <w:tcW w:w="0" w:type="auto"/>
            <w:vAlign w:val="center"/>
          </w:tcPr>
          <w:p w14:paraId="5476D787">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1BB17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12E306">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1.11</w:t>
            </w:r>
            <w:r>
              <w:rPr>
                <w:rFonts w:hint="eastAsia" w:ascii="宋体" w:hAnsi="宋体"/>
                <w:sz w:val="18"/>
              </w:rPr>
              <w:t>.</w:t>
            </w:r>
            <w:r>
              <w:rPr>
                <w:rFonts w:hint="eastAsia" w:ascii="宋体" w:hAnsi="宋体"/>
                <w:sz w:val="18"/>
                <w:lang w:val="en-US" w:eastAsia="zh-CN"/>
              </w:rPr>
              <w:t>1</w:t>
            </w:r>
          </w:p>
        </w:tc>
        <w:tc>
          <w:tcPr>
            <w:tcW w:w="0" w:type="auto"/>
            <w:vAlign w:val="center"/>
          </w:tcPr>
          <w:p w14:paraId="2E273BA1">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特种设备使用单位应建立特种设备台账。</w:t>
            </w:r>
          </w:p>
        </w:tc>
        <w:tc>
          <w:tcPr>
            <w:tcW w:w="0" w:type="auto"/>
            <w:vAlign w:val="center"/>
          </w:tcPr>
          <w:p w14:paraId="02A401D0">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4294AFC7">
            <w:pPr>
              <w:widowControl/>
              <w:jc w:val="center"/>
              <w:rPr>
                <w:rFonts w:ascii="宋体" w:hAnsi="宋体" w:eastAsia="宋体" w:cs="Times New Roman"/>
                <w:bCs/>
                <w:kern w:val="2"/>
                <w:sz w:val="18"/>
                <w:szCs w:val="18"/>
                <w:lang w:val="en-US" w:eastAsia="zh-CN" w:bidi="ar-SA"/>
              </w:rPr>
            </w:pPr>
          </w:p>
        </w:tc>
        <w:tc>
          <w:tcPr>
            <w:tcW w:w="0" w:type="auto"/>
            <w:vAlign w:val="center"/>
          </w:tcPr>
          <w:p w14:paraId="5AB1BFCE">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rPr>
              <w:t>2</w:t>
            </w:r>
          </w:p>
        </w:tc>
        <w:tc>
          <w:tcPr>
            <w:tcW w:w="0" w:type="auto"/>
            <w:vAlign w:val="center"/>
          </w:tcPr>
          <w:p w14:paraId="1038C1FC">
            <w:pPr>
              <w:adjustRightInd w:val="0"/>
              <w:snapToGrid w:val="0"/>
              <w:jc w:val="left"/>
              <w:rPr>
                <w:rFonts w:hint="eastAsia" w:ascii="宋体" w:hAnsi="宋体" w:eastAsia="宋体" w:cs="Times New Roman"/>
                <w:kern w:val="2"/>
                <w:sz w:val="18"/>
                <w:szCs w:val="18"/>
                <w:lang w:val="en-US" w:eastAsia="zh-CN" w:bidi="ar-SA"/>
              </w:rPr>
            </w:pPr>
            <w:r>
              <w:rPr>
                <w:rFonts w:ascii="宋体" w:hAnsi="宋体"/>
                <w:sz w:val="18"/>
                <w:szCs w:val="18"/>
              </w:rPr>
              <w:t>未建立特种设备台帐的，</w:t>
            </w:r>
            <w:r>
              <w:rPr>
                <w:rFonts w:hint="eastAsia" w:ascii="宋体" w:hAnsi="宋体"/>
                <w:sz w:val="18"/>
                <w:szCs w:val="18"/>
              </w:rPr>
              <w:t>不得分。</w:t>
            </w:r>
          </w:p>
        </w:tc>
        <w:tc>
          <w:tcPr>
            <w:tcW w:w="0" w:type="auto"/>
            <w:vAlign w:val="top"/>
          </w:tcPr>
          <w:p w14:paraId="364885B5">
            <w:pPr>
              <w:widowControl/>
              <w:jc w:val="center"/>
              <w:rPr>
                <w:rFonts w:ascii="宋体" w:hAnsi="宋体" w:eastAsia="宋体" w:cs="Times New Roman"/>
                <w:bCs/>
                <w:kern w:val="2"/>
                <w:sz w:val="18"/>
                <w:szCs w:val="18"/>
                <w:lang w:val="en-US" w:eastAsia="zh-CN" w:bidi="ar-SA"/>
              </w:rPr>
            </w:pPr>
          </w:p>
        </w:tc>
        <w:tc>
          <w:tcPr>
            <w:tcW w:w="0" w:type="auto"/>
            <w:vAlign w:val="top"/>
          </w:tcPr>
          <w:p w14:paraId="22416F33">
            <w:pPr>
              <w:widowControl/>
              <w:jc w:val="center"/>
              <w:rPr>
                <w:rFonts w:ascii="宋体" w:hAnsi="宋体" w:eastAsia="宋体" w:cs="Times New Roman"/>
                <w:bCs/>
                <w:kern w:val="2"/>
                <w:sz w:val="18"/>
                <w:szCs w:val="18"/>
                <w:lang w:val="en-US" w:eastAsia="zh-CN" w:bidi="ar-SA"/>
              </w:rPr>
            </w:pPr>
          </w:p>
        </w:tc>
        <w:tc>
          <w:tcPr>
            <w:tcW w:w="0" w:type="auto"/>
            <w:vAlign w:val="center"/>
          </w:tcPr>
          <w:p w14:paraId="290D5C1B">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60847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602E289">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1.11</w:t>
            </w:r>
            <w:r>
              <w:rPr>
                <w:rFonts w:hint="eastAsia" w:ascii="宋体" w:hAnsi="宋体"/>
                <w:sz w:val="18"/>
              </w:rPr>
              <w:t>.</w:t>
            </w:r>
            <w:r>
              <w:rPr>
                <w:rFonts w:hint="eastAsia" w:ascii="宋体" w:hAnsi="宋体"/>
                <w:sz w:val="18"/>
                <w:lang w:val="en-US" w:eastAsia="zh-CN"/>
              </w:rPr>
              <w:t>2</w:t>
            </w:r>
          </w:p>
        </w:tc>
        <w:tc>
          <w:tcPr>
            <w:tcW w:w="0" w:type="auto"/>
            <w:vAlign w:val="center"/>
          </w:tcPr>
          <w:p w14:paraId="49669202">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特种设备使用单位应配备特种设备安全总监和安全员。</w:t>
            </w:r>
          </w:p>
        </w:tc>
        <w:tc>
          <w:tcPr>
            <w:tcW w:w="0" w:type="auto"/>
            <w:vAlign w:val="center"/>
          </w:tcPr>
          <w:p w14:paraId="3A4A3FA8">
            <w:pPr>
              <w:widowControl/>
              <w:jc w:val="center"/>
              <w:rPr>
                <w:rFonts w:hint="eastAsia" w:ascii="宋体" w:hAnsi="宋体" w:eastAsia="宋体" w:cs="Times New Roman"/>
                <w:kern w:val="2"/>
                <w:sz w:val="18"/>
                <w:szCs w:val="24"/>
                <w:lang w:val="en-US" w:eastAsia="zh-CN" w:bidi="ar-SA"/>
              </w:rPr>
            </w:pPr>
          </w:p>
        </w:tc>
        <w:tc>
          <w:tcPr>
            <w:tcW w:w="0" w:type="auto"/>
            <w:vAlign w:val="center"/>
          </w:tcPr>
          <w:p w14:paraId="176812BF">
            <w:pPr>
              <w:widowControl/>
              <w:jc w:val="center"/>
              <w:rPr>
                <w:rFonts w:ascii="宋体" w:hAnsi="宋体" w:eastAsia="宋体" w:cs="Times New Roman"/>
                <w:bCs/>
                <w:kern w:val="2"/>
                <w:sz w:val="18"/>
                <w:szCs w:val="18"/>
                <w:lang w:val="en-US" w:eastAsia="zh-CN" w:bidi="ar-SA"/>
              </w:rPr>
            </w:pPr>
          </w:p>
        </w:tc>
        <w:tc>
          <w:tcPr>
            <w:tcW w:w="0" w:type="auto"/>
            <w:vAlign w:val="center"/>
          </w:tcPr>
          <w:p w14:paraId="71E179A1">
            <w:pPr>
              <w:widowControl/>
              <w:adjustRightInd w:val="0"/>
              <w:snapToGrid w:val="0"/>
              <w:jc w:val="center"/>
              <w:rPr>
                <w:rFonts w:hint="default" w:ascii="宋体" w:hAnsi="宋体" w:eastAsia="宋体" w:cs="Times New Roman"/>
                <w:kern w:val="2"/>
                <w:sz w:val="18"/>
                <w:szCs w:val="24"/>
                <w:lang w:val="en-US" w:eastAsia="zh-CN" w:bidi="ar-SA"/>
              </w:rPr>
            </w:pPr>
            <w:r>
              <w:rPr>
                <w:rFonts w:hint="eastAsia" w:ascii="宋体" w:hAnsi="宋体"/>
                <w:sz w:val="18"/>
                <w:lang w:val="en-US" w:eastAsia="zh-CN"/>
              </w:rPr>
              <w:t>10</w:t>
            </w:r>
          </w:p>
        </w:tc>
        <w:tc>
          <w:tcPr>
            <w:tcW w:w="0" w:type="auto"/>
            <w:vAlign w:val="center"/>
          </w:tcPr>
          <w:p w14:paraId="0CE3A453">
            <w:pPr>
              <w:adjustRightInd w:val="0"/>
              <w:snapToGrid w:val="0"/>
              <w:jc w:val="left"/>
              <w:rPr>
                <w:rFonts w:ascii="宋体" w:hAnsi="宋体" w:eastAsia="宋体" w:cs="Times New Roman"/>
                <w:kern w:val="2"/>
                <w:sz w:val="18"/>
                <w:szCs w:val="18"/>
                <w:lang w:val="en-US" w:eastAsia="zh-CN" w:bidi="ar-SA"/>
              </w:rPr>
            </w:pPr>
            <w:r>
              <w:rPr>
                <w:rFonts w:hint="eastAsia" w:ascii="宋体" w:hAnsi="宋体"/>
                <w:sz w:val="18"/>
                <w:szCs w:val="18"/>
                <w:lang w:val="en-US" w:eastAsia="zh-CN"/>
              </w:rPr>
              <w:t>未</w:t>
            </w:r>
            <w:r>
              <w:rPr>
                <w:rFonts w:hint="eastAsia" w:ascii="宋体" w:hAnsi="宋体"/>
                <w:sz w:val="18"/>
                <w:szCs w:val="18"/>
              </w:rPr>
              <w:t>配备特种设备安全总监</w:t>
            </w:r>
            <w:r>
              <w:rPr>
                <w:rFonts w:hint="eastAsia" w:ascii="宋体" w:hAnsi="宋体"/>
                <w:sz w:val="18"/>
                <w:szCs w:val="18"/>
                <w:lang w:eastAsia="zh-CN"/>
              </w:rPr>
              <w:t>、</w:t>
            </w:r>
            <w:r>
              <w:rPr>
                <w:rFonts w:hint="eastAsia" w:ascii="宋体" w:hAnsi="宋体"/>
                <w:sz w:val="18"/>
                <w:szCs w:val="18"/>
              </w:rPr>
              <w:t>安全员</w:t>
            </w:r>
            <w:r>
              <w:rPr>
                <w:rFonts w:hint="eastAsia" w:ascii="宋体" w:hAnsi="宋体"/>
                <w:sz w:val="18"/>
                <w:szCs w:val="18"/>
                <w:lang w:val="en-US" w:eastAsia="zh-CN"/>
              </w:rPr>
              <w:t>的，不得分</w:t>
            </w:r>
            <w:r>
              <w:rPr>
                <w:rFonts w:hint="eastAsia" w:ascii="宋体" w:hAnsi="宋体"/>
                <w:sz w:val="18"/>
                <w:szCs w:val="18"/>
              </w:rPr>
              <w:t>。</w:t>
            </w:r>
          </w:p>
        </w:tc>
        <w:tc>
          <w:tcPr>
            <w:tcW w:w="0" w:type="auto"/>
            <w:vAlign w:val="top"/>
          </w:tcPr>
          <w:p w14:paraId="7F78F2E1">
            <w:pPr>
              <w:widowControl/>
              <w:jc w:val="center"/>
              <w:rPr>
                <w:rFonts w:ascii="宋体" w:hAnsi="宋体" w:eastAsia="宋体" w:cs="Times New Roman"/>
                <w:bCs/>
                <w:kern w:val="2"/>
                <w:sz w:val="18"/>
                <w:szCs w:val="18"/>
                <w:lang w:val="en-US" w:eastAsia="zh-CN" w:bidi="ar-SA"/>
              </w:rPr>
            </w:pPr>
          </w:p>
        </w:tc>
        <w:tc>
          <w:tcPr>
            <w:tcW w:w="0" w:type="auto"/>
            <w:vAlign w:val="top"/>
          </w:tcPr>
          <w:p w14:paraId="2785A340">
            <w:pPr>
              <w:widowControl/>
              <w:jc w:val="center"/>
              <w:rPr>
                <w:rFonts w:ascii="宋体" w:hAnsi="宋体" w:eastAsia="宋体" w:cs="Times New Roman"/>
                <w:bCs/>
                <w:kern w:val="2"/>
                <w:sz w:val="18"/>
                <w:szCs w:val="18"/>
                <w:lang w:val="en-US" w:eastAsia="zh-CN" w:bidi="ar-SA"/>
              </w:rPr>
            </w:pPr>
          </w:p>
        </w:tc>
        <w:tc>
          <w:tcPr>
            <w:tcW w:w="0" w:type="auto"/>
            <w:vAlign w:val="center"/>
          </w:tcPr>
          <w:p w14:paraId="1D902321">
            <w:pPr>
              <w:widowControl/>
              <w:jc w:val="center"/>
              <w:rPr>
                <w:rFonts w:hint="default"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lang w:val="en-US" w:eastAsia="zh-CN"/>
              </w:rPr>
              <w:t>1.4.1</w:t>
            </w:r>
          </w:p>
        </w:tc>
      </w:tr>
      <w:tr w14:paraId="30846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shd w:val="clear"/>
            <w:vAlign w:val="center"/>
          </w:tcPr>
          <w:p w14:paraId="0C5452F4">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lang w:eastAsia="zh-CN"/>
              </w:rPr>
              <w:t>1.11</w:t>
            </w:r>
            <w:r>
              <w:rPr>
                <w:rFonts w:hint="eastAsia" w:ascii="宋体" w:hAnsi="宋体"/>
                <w:sz w:val="18"/>
              </w:rPr>
              <w:t>.</w:t>
            </w:r>
            <w:r>
              <w:rPr>
                <w:rFonts w:hint="eastAsia" w:ascii="宋体" w:hAnsi="宋体"/>
                <w:sz w:val="18"/>
                <w:lang w:val="en-US" w:eastAsia="zh-CN"/>
              </w:rPr>
              <w:t>3</w:t>
            </w:r>
          </w:p>
        </w:tc>
        <w:tc>
          <w:tcPr>
            <w:tcW w:w="0" w:type="auto"/>
            <w:shd w:val="clear"/>
            <w:vAlign w:val="center"/>
          </w:tcPr>
          <w:p w14:paraId="57ED9FED">
            <w:pPr>
              <w:adjustRightInd w:val="0"/>
              <w:snapToGrid w:val="0"/>
              <w:rPr>
                <w:rFonts w:hint="eastAsia" w:ascii="宋体" w:hAnsi="宋体"/>
                <w:sz w:val="18"/>
                <w:szCs w:val="18"/>
              </w:rPr>
            </w:pPr>
            <w:r>
              <w:rPr>
                <w:rFonts w:hint="eastAsia" w:ascii="宋体" w:hAnsi="宋体"/>
                <w:sz w:val="18"/>
                <w:szCs w:val="18"/>
              </w:rPr>
              <w:t>特种设备使用单位应建立特种设备安全技术档案并符合下列要求：</w:t>
            </w:r>
          </w:p>
          <w:p w14:paraId="64B3F302">
            <w:pPr>
              <w:adjustRightInd w:val="0"/>
              <w:snapToGrid w:val="0"/>
              <w:rPr>
                <w:rFonts w:hint="eastAsia" w:ascii="宋体" w:hAnsi="宋体"/>
                <w:sz w:val="18"/>
                <w:szCs w:val="18"/>
              </w:rPr>
            </w:pPr>
            <w:r>
              <w:rPr>
                <w:rFonts w:hint="eastAsia" w:ascii="宋体" w:hAnsi="宋体"/>
                <w:sz w:val="18"/>
                <w:szCs w:val="18"/>
              </w:rPr>
              <w:t>a）锅炉、压力容器、压力管道的出厂、安装资料等应齐全；</w:t>
            </w:r>
          </w:p>
          <w:p w14:paraId="330B4AE5">
            <w:pPr>
              <w:adjustRightInd w:val="0"/>
              <w:snapToGrid w:val="0"/>
              <w:rPr>
                <w:rFonts w:hint="eastAsia" w:ascii="宋体" w:hAnsi="宋体"/>
                <w:sz w:val="18"/>
                <w:szCs w:val="18"/>
              </w:rPr>
            </w:pPr>
            <w:r>
              <w:rPr>
                <w:rFonts w:hint="eastAsia" w:ascii="宋体" w:hAnsi="宋体"/>
                <w:sz w:val="18"/>
                <w:szCs w:val="18"/>
              </w:rPr>
              <w:t>b）电梯的产品合格证书、自检报告、安装资料等应齐全；</w:t>
            </w:r>
          </w:p>
          <w:p w14:paraId="6272D3CB">
            <w:pPr>
              <w:widowControl/>
              <w:rPr>
                <w:rFonts w:hint="eastAsia" w:ascii="宋体" w:hAnsi="宋体" w:eastAsia="宋体" w:cs="Times New Roman"/>
                <w:bCs/>
                <w:kern w:val="2"/>
                <w:sz w:val="18"/>
                <w:szCs w:val="18"/>
                <w:lang w:val="en-US" w:eastAsia="zh-CN" w:bidi="ar-SA"/>
              </w:rPr>
            </w:pPr>
            <w:r>
              <w:rPr>
                <w:rFonts w:hint="eastAsia" w:ascii="宋体" w:hAnsi="宋体"/>
                <w:sz w:val="18"/>
                <w:szCs w:val="18"/>
              </w:rPr>
              <w:t>c）场（厂）内专用机动车辆的产品合格证书、自检报告等资料应齐全。</w:t>
            </w:r>
          </w:p>
        </w:tc>
        <w:tc>
          <w:tcPr>
            <w:tcW w:w="0" w:type="auto"/>
            <w:shd w:val="clear"/>
            <w:vAlign w:val="center"/>
          </w:tcPr>
          <w:p w14:paraId="50DE2106">
            <w:pPr>
              <w:widowControl/>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0DCCA898">
            <w:pPr>
              <w:widowControl/>
              <w:jc w:val="center"/>
              <w:rPr>
                <w:rFonts w:ascii="宋体" w:hAnsi="宋体" w:eastAsia="宋体" w:cs="Times New Roman"/>
                <w:bCs/>
                <w:kern w:val="2"/>
                <w:sz w:val="18"/>
                <w:szCs w:val="18"/>
                <w:lang w:val="en-US" w:eastAsia="zh-CN" w:bidi="ar-SA"/>
              </w:rPr>
            </w:pPr>
          </w:p>
        </w:tc>
        <w:tc>
          <w:tcPr>
            <w:tcW w:w="0" w:type="auto"/>
            <w:shd w:val="clear"/>
            <w:vAlign w:val="center"/>
          </w:tcPr>
          <w:p w14:paraId="2A6B7324">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lang w:val="en-US" w:eastAsia="zh-CN"/>
              </w:rPr>
              <w:t>5</w:t>
            </w:r>
          </w:p>
        </w:tc>
        <w:tc>
          <w:tcPr>
            <w:tcW w:w="0" w:type="auto"/>
            <w:shd w:val="clear"/>
            <w:vAlign w:val="center"/>
          </w:tcPr>
          <w:p w14:paraId="25099DFB">
            <w:pPr>
              <w:adjustRightInd w:val="0"/>
              <w:snapToGrid w:val="0"/>
              <w:jc w:val="left"/>
              <w:rPr>
                <w:rFonts w:ascii="宋体" w:hAnsi="宋体"/>
                <w:sz w:val="18"/>
                <w:szCs w:val="18"/>
              </w:rPr>
            </w:pPr>
            <w:r>
              <w:rPr>
                <w:rFonts w:hint="eastAsia" w:ascii="宋体" w:hAnsi="宋体"/>
                <w:sz w:val="18"/>
                <w:szCs w:val="18"/>
              </w:rPr>
              <w:t>1）</w:t>
            </w:r>
            <w:r>
              <w:rPr>
                <w:rFonts w:ascii="宋体" w:hAnsi="宋体"/>
                <w:sz w:val="18"/>
                <w:szCs w:val="18"/>
              </w:rPr>
              <w:t>未建立特种设备安全技术档案的，</w:t>
            </w:r>
            <w:r>
              <w:rPr>
                <w:rFonts w:hint="eastAsia" w:ascii="宋体" w:hAnsi="宋体"/>
                <w:sz w:val="18"/>
                <w:szCs w:val="18"/>
              </w:rPr>
              <w:t>不得分</w:t>
            </w:r>
            <w:r>
              <w:rPr>
                <w:rFonts w:ascii="宋体" w:hAnsi="宋体"/>
                <w:sz w:val="18"/>
                <w:szCs w:val="18"/>
              </w:rPr>
              <w:t>；</w:t>
            </w:r>
          </w:p>
          <w:p w14:paraId="3570E908">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rPr>
              <w:t>2）</w:t>
            </w:r>
            <w:r>
              <w:rPr>
                <w:rFonts w:ascii="宋体" w:hAnsi="宋体"/>
                <w:sz w:val="18"/>
                <w:szCs w:val="18"/>
              </w:rPr>
              <w:t>特种设备安全技术档案内容不完善的，扣</w:t>
            </w:r>
            <w:r>
              <w:rPr>
                <w:rFonts w:hint="eastAsia" w:ascii="宋体" w:hAnsi="宋体"/>
                <w:sz w:val="18"/>
                <w:szCs w:val="18"/>
                <w:lang w:val="en-US" w:eastAsia="zh-CN"/>
              </w:rPr>
              <w:t>2</w:t>
            </w:r>
            <w:r>
              <w:rPr>
                <w:rFonts w:ascii="宋体" w:hAnsi="宋体"/>
                <w:sz w:val="18"/>
                <w:szCs w:val="18"/>
              </w:rPr>
              <w:t>分。</w:t>
            </w:r>
          </w:p>
        </w:tc>
        <w:tc>
          <w:tcPr>
            <w:tcW w:w="0" w:type="auto"/>
            <w:shd w:val="clear"/>
            <w:vAlign w:val="center"/>
          </w:tcPr>
          <w:p w14:paraId="48B05898">
            <w:pPr>
              <w:widowControl/>
              <w:jc w:val="center"/>
              <w:rPr>
                <w:rFonts w:ascii="宋体" w:hAnsi="宋体" w:eastAsia="宋体" w:cs="Times New Roman"/>
                <w:bCs/>
                <w:kern w:val="2"/>
                <w:sz w:val="18"/>
                <w:szCs w:val="18"/>
                <w:lang w:val="en-US" w:eastAsia="zh-CN" w:bidi="ar-SA"/>
              </w:rPr>
            </w:pPr>
          </w:p>
        </w:tc>
        <w:tc>
          <w:tcPr>
            <w:tcW w:w="0" w:type="auto"/>
            <w:shd w:val="clear"/>
            <w:vAlign w:val="center"/>
          </w:tcPr>
          <w:p w14:paraId="6428B7A1">
            <w:pPr>
              <w:widowControl/>
              <w:jc w:val="center"/>
              <w:rPr>
                <w:rFonts w:ascii="宋体" w:hAnsi="宋体" w:eastAsia="宋体" w:cs="Times New Roman"/>
                <w:bCs/>
                <w:kern w:val="2"/>
                <w:sz w:val="18"/>
                <w:szCs w:val="18"/>
                <w:lang w:val="en-US" w:eastAsia="zh-CN" w:bidi="ar-SA"/>
              </w:rPr>
            </w:pPr>
          </w:p>
        </w:tc>
        <w:tc>
          <w:tcPr>
            <w:tcW w:w="0" w:type="auto"/>
            <w:shd w:val="clear"/>
            <w:vAlign w:val="center"/>
          </w:tcPr>
          <w:p w14:paraId="2B8EF233">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lang w:eastAsia="zh-CN"/>
              </w:rPr>
              <w:t>4.</w:t>
            </w:r>
            <w:r>
              <w:rPr>
                <w:rFonts w:hint="eastAsia" w:ascii="宋体" w:hAnsi="宋体"/>
                <w:sz w:val="18"/>
              </w:rPr>
              <w:t>1</w:t>
            </w:r>
          </w:p>
        </w:tc>
      </w:tr>
    </w:tbl>
    <w:p w14:paraId="05A4A7C5">
      <w:pPr>
        <w:pStyle w:val="168"/>
        <w:numPr>
          <w:ilvl w:val="0"/>
          <w:numId w:val="0"/>
        </w:numPr>
        <w:spacing w:before="156" w:after="156"/>
      </w:pPr>
      <w:r>
        <w:br w:type="page"/>
      </w:r>
      <w:r>
        <w:rPr>
          <w:rFonts w:hint="eastAsia"/>
        </w:rPr>
        <w:t>表B.1 基础管理要求指标的安全生产等级评定细则</w:t>
      </w:r>
      <w:r>
        <w:rPr>
          <w:rFonts w:hint="eastAsia" w:ascii="宋体" w:hAnsi="宋体" w:eastAsia="宋体"/>
        </w:rPr>
        <w:t>（续）</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8"/>
        <w:gridCol w:w="6003"/>
        <w:gridCol w:w="719"/>
        <w:gridCol w:w="725"/>
        <w:gridCol w:w="725"/>
        <w:gridCol w:w="3838"/>
        <w:gridCol w:w="749"/>
        <w:gridCol w:w="642"/>
        <w:gridCol w:w="1004"/>
      </w:tblGrid>
      <w:tr w14:paraId="526244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223525E">
            <w:pPr>
              <w:widowControl/>
              <w:jc w:val="center"/>
              <w:rPr>
                <w:rFonts w:ascii="宋体" w:hAnsi="宋体"/>
                <w:bCs/>
                <w:sz w:val="18"/>
                <w:szCs w:val="18"/>
              </w:rPr>
            </w:pPr>
            <w:r>
              <w:rPr>
                <w:rFonts w:ascii="宋体" w:hAnsi="宋体"/>
                <w:bCs/>
                <w:sz w:val="18"/>
                <w:szCs w:val="18"/>
              </w:rPr>
              <w:t>序号</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1D8E556D">
            <w:pPr>
              <w:widowControl/>
              <w:jc w:val="center"/>
              <w:rPr>
                <w:rFonts w:ascii="宋体" w:hAnsi="宋体"/>
                <w:bCs/>
                <w:sz w:val="18"/>
                <w:szCs w:val="18"/>
              </w:rPr>
            </w:pPr>
            <w:r>
              <w:rPr>
                <w:rFonts w:ascii="宋体" w:hAnsi="宋体"/>
                <w:bCs/>
                <w:sz w:val="18"/>
                <w:szCs w:val="18"/>
              </w:rPr>
              <w:t>评定内容</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1FF6EAE3">
            <w:pPr>
              <w:widowControl/>
              <w:jc w:val="center"/>
              <w:rPr>
                <w:rFonts w:ascii="宋体" w:hAnsi="宋体"/>
                <w:bCs/>
                <w:sz w:val="18"/>
                <w:szCs w:val="18"/>
              </w:rPr>
            </w:pPr>
            <w:r>
              <w:rPr>
                <w:rFonts w:ascii="宋体" w:hAnsi="宋体"/>
                <w:bCs/>
                <w:sz w:val="18"/>
                <w:szCs w:val="18"/>
              </w:rPr>
              <w:t>评定要素分值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16E5110D">
            <w:pPr>
              <w:widowControl/>
              <w:jc w:val="center"/>
              <w:rPr>
                <w:rFonts w:ascii="宋体" w:hAnsi="宋体"/>
                <w:bCs/>
                <w:sz w:val="18"/>
                <w:szCs w:val="18"/>
              </w:rPr>
            </w:pPr>
            <w:r>
              <w:rPr>
                <w:rFonts w:ascii="宋体" w:hAnsi="宋体"/>
                <w:bCs/>
                <w:sz w:val="18"/>
                <w:szCs w:val="18"/>
              </w:rPr>
              <w:t>评定细项分值</w:t>
            </w:r>
          </w:p>
        </w:tc>
        <w:tc>
          <w:tcPr>
            <w:tcW w:w="725" w:type="dxa"/>
            <w:tcBorders>
              <w:top w:val="single" w:color="auto" w:sz="8" w:space="0"/>
              <w:left w:val="single" w:color="auto" w:sz="4" w:space="0"/>
              <w:bottom w:val="single" w:color="auto" w:sz="8" w:space="0"/>
              <w:right w:val="single" w:color="auto" w:sz="4" w:space="0"/>
            </w:tcBorders>
            <w:noWrap w:val="0"/>
            <w:vAlign w:val="center"/>
          </w:tcPr>
          <w:p w14:paraId="4BF3E5F8">
            <w:pPr>
              <w:widowControl/>
              <w:jc w:val="center"/>
              <w:rPr>
                <w:rFonts w:ascii="宋体" w:hAnsi="宋体"/>
                <w:bCs/>
                <w:sz w:val="18"/>
                <w:szCs w:val="18"/>
              </w:rPr>
            </w:pPr>
            <w:r>
              <w:rPr>
                <w:rFonts w:ascii="宋体" w:hAnsi="宋体"/>
                <w:bCs/>
                <w:sz w:val="18"/>
                <w:szCs w:val="18"/>
              </w:rPr>
              <w:t>评定条款分值</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D976E17">
            <w:pPr>
              <w:widowControl/>
              <w:jc w:val="center"/>
              <w:rPr>
                <w:rFonts w:ascii="宋体" w:hAnsi="宋体"/>
                <w:bCs/>
                <w:sz w:val="18"/>
                <w:szCs w:val="18"/>
              </w:rPr>
            </w:pPr>
            <w:r>
              <w:rPr>
                <w:rFonts w:ascii="宋体" w:hAnsi="宋体"/>
                <w:bCs/>
                <w:sz w:val="18"/>
                <w:szCs w:val="18"/>
              </w:rPr>
              <w:t>评分标准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1AA463AB">
            <w:pPr>
              <w:widowControl/>
              <w:jc w:val="center"/>
              <w:rPr>
                <w:rFonts w:ascii="宋体" w:hAnsi="宋体"/>
                <w:bCs/>
                <w:sz w:val="18"/>
                <w:szCs w:val="18"/>
              </w:rPr>
            </w:pPr>
            <w:r>
              <w:rPr>
                <w:rFonts w:ascii="宋体" w:hAnsi="宋体"/>
                <w:bCs/>
                <w:sz w:val="18"/>
                <w:szCs w:val="18"/>
              </w:rPr>
              <w:t>评定得分</w:t>
            </w:r>
          </w:p>
        </w:tc>
        <w:tc>
          <w:tcPr>
            <w:tcW w:w="642" w:type="dxa"/>
            <w:tcBorders>
              <w:top w:val="single" w:color="auto" w:sz="8" w:space="0"/>
              <w:left w:val="single" w:color="auto" w:sz="4" w:space="0"/>
              <w:bottom w:val="single" w:color="auto" w:sz="8" w:space="0"/>
              <w:right w:val="single" w:color="auto" w:sz="4" w:space="0"/>
            </w:tcBorders>
            <w:noWrap w:val="0"/>
            <w:vAlign w:val="center"/>
          </w:tcPr>
          <w:p w14:paraId="652C88EC">
            <w:pPr>
              <w:widowControl/>
              <w:jc w:val="center"/>
              <w:rPr>
                <w:rFonts w:ascii="宋体" w:hAnsi="宋体"/>
                <w:bCs/>
                <w:sz w:val="18"/>
                <w:szCs w:val="18"/>
              </w:rPr>
            </w:pPr>
            <w:r>
              <w:rPr>
                <w:rFonts w:ascii="宋体" w:hAnsi="宋体"/>
                <w:bCs/>
                <w:sz w:val="18"/>
                <w:szCs w:val="18"/>
              </w:rPr>
              <w:t>扣分说明</w:t>
            </w: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9D08330">
            <w:pPr>
              <w:widowControl/>
              <w:jc w:val="center"/>
              <w:rPr>
                <w:rFonts w:ascii="宋体" w:hAnsi="宋体"/>
                <w:bCs/>
                <w:sz w:val="18"/>
                <w:szCs w:val="18"/>
              </w:rPr>
            </w:pPr>
            <w:r>
              <w:rPr>
                <w:rFonts w:ascii="宋体" w:hAnsi="宋体"/>
                <w:bCs/>
                <w:sz w:val="18"/>
                <w:szCs w:val="18"/>
              </w:rPr>
              <w:t>对应条款编号</w:t>
            </w:r>
          </w:p>
        </w:tc>
      </w:tr>
      <w:tr w14:paraId="41197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5423711D">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1.11</w:t>
            </w:r>
            <w:r>
              <w:rPr>
                <w:rFonts w:hint="eastAsia" w:ascii="宋体" w:hAnsi="宋体"/>
                <w:sz w:val="18"/>
              </w:rPr>
              <w:t>.</w:t>
            </w:r>
            <w:r>
              <w:rPr>
                <w:rFonts w:hint="eastAsia" w:ascii="宋体" w:hAnsi="宋体"/>
                <w:sz w:val="18"/>
                <w:lang w:val="en-US" w:eastAsia="zh-CN"/>
              </w:rPr>
              <w:t>4</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695C0F68">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特种设备使用单位</w:t>
            </w:r>
            <w:r>
              <w:rPr>
                <w:rFonts w:hint="eastAsia" w:ascii="宋体" w:hAnsi="宋体"/>
                <w:sz w:val="18"/>
                <w:szCs w:val="18"/>
                <w:lang w:val="en-US" w:eastAsia="zh-CN"/>
              </w:rPr>
              <w:t>应</w:t>
            </w:r>
            <w:r>
              <w:rPr>
                <w:rFonts w:hint="eastAsia" w:ascii="宋体" w:hAnsi="宋体"/>
                <w:sz w:val="18"/>
                <w:szCs w:val="18"/>
              </w:rPr>
              <w:t>建立健全</w:t>
            </w:r>
            <w:r>
              <w:rPr>
                <w:rFonts w:hint="eastAsia" w:ascii="宋体" w:hAnsi="宋体"/>
                <w:sz w:val="18"/>
                <w:szCs w:val="18"/>
                <w:lang w:val="en-US" w:eastAsia="zh-CN"/>
              </w:rPr>
              <w:t>并落实</w:t>
            </w:r>
            <w:r>
              <w:rPr>
                <w:rFonts w:hint="eastAsia" w:ascii="宋体" w:hAnsi="宋体"/>
                <w:sz w:val="18"/>
                <w:szCs w:val="18"/>
              </w:rPr>
              <w:t>日管控、周排查、月调度工作机制</w:t>
            </w:r>
            <w:r>
              <w:rPr>
                <w:rFonts w:hint="eastAsia" w:ascii="宋体" w:hAnsi="宋体"/>
                <w:sz w:val="18"/>
                <w:szCs w:val="18"/>
                <w:lang w:eastAsia="zh-CN"/>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449C3472">
            <w:pPr>
              <w:widowControl/>
              <w:jc w:val="center"/>
              <w:rPr>
                <w:rFonts w:hint="eastAsia" w:ascii="宋体" w:hAnsi="宋体" w:eastAsia="宋体" w:cs="Times New Roman"/>
                <w:kern w:val="2"/>
                <w:sz w:val="18"/>
                <w:szCs w:val="24"/>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563078A8">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5446C7FA">
            <w:pPr>
              <w:widowControl/>
              <w:adjustRightInd w:val="0"/>
              <w:snapToGrid w:val="0"/>
              <w:jc w:val="center"/>
              <w:rPr>
                <w:rFonts w:hint="eastAsia" w:ascii="宋体" w:hAnsi="宋体" w:eastAsia="宋体" w:cs="Times New Roman"/>
                <w:kern w:val="2"/>
                <w:sz w:val="18"/>
                <w:szCs w:val="24"/>
                <w:lang w:val="en-US" w:eastAsia="zh-CN" w:bidi="ar-SA"/>
              </w:rPr>
            </w:pPr>
            <w:r>
              <w:rPr>
                <w:rFonts w:hint="eastAsia" w:ascii="宋体" w:hAnsi="宋体"/>
                <w:sz w:val="18"/>
                <w:lang w:val="en-US" w:eastAsia="zh-CN"/>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3D099480">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1）未</w:t>
            </w:r>
            <w:r>
              <w:rPr>
                <w:rFonts w:hint="eastAsia" w:ascii="宋体" w:hAnsi="宋体"/>
                <w:sz w:val="18"/>
                <w:szCs w:val="18"/>
              </w:rPr>
              <w:t>建立</w:t>
            </w:r>
            <w:r>
              <w:rPr>
                <w:rFonts w:hint="eastAsia" w:ascii="宋体" w:hAnsi="宋体"/>
                <w:sz w:val="18"/>
                <w:szCs w:val="18"/>
                <w:lang w:eastAsia="zh-CN"/>
              </w:rPr>
              <w:t>、</w:t>
            </w:r>
            <w:r>
              <w:rPr>
                <w:rFonts w:hint="eastAsia" w:ascii="宋体" w:hAnsi="宋体"/>
                <w:sz w:val="18"/>
                <w:szCs w:val="18"/>
                <w:lang w:val="en-US" w:eastAsia="zh-CN"/>
              </w:rPr>
              <w:t>落实</w:t>
            </w:r>
            <w:r>
              <w:rPr>
                <w:rFonts w:hint="eastAsia" w:ascii="宋体" w:hAnsi="宋体"/>
                <w:sz w:val="18"/>
                <w:szCs w:val="18"/>
              </w:rPr>
              <w:t>日管控、周排查、月调度工作制度和机制</w:t>
            </w:r>
            <w:r>
              <w:rPr>
                <w:rFonts w:hint="eastAsia" w:ascii="宋体" w:hAnsi="宋体"/>
                <w:sz w:val="18"/>
                <w:szCs w:val="18"/>
                <w:lang w:val="en-US" w:eastAsia="zh-CN"/>
              </w:rPr>
              <w:t>的，不得分。</w:t>
            </w:r>
          </w:p>
          <w:p w14:paraId="1857BD28">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2）内容有缺失的，一处扣2分。</w:t>
            </w:r>
          </w:p>
        </w:tc>
        <w:tc>
          <w:tcPr>
            <w:tcW w:w="749" w:type="dxa"/>
            <w:tcBorders>
              <w:top w:val="single" w:color="auto" w:sz="8" w:space="0"/>
              <w:left w:val="single" w:color="auto" w:sz="4" w:space="0"/>
              <w:bottom w:val="single" w:color="auto" w:sz="8" w:space="0"/>
              <w:right w:val="single" w:color="auto" w:sz="4" w:space="0"/>
            </w:tcBorders>
            <w:noWrap w:val="0"/>
            <w:vAlign w:val="top"/>
          </w:tcPr>
          <w:p w14:paraId="74501D55">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top"/>
          </w:tcPr>
          <w:p w14:paraId="6281EE47">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77E73D3A">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lang w:val="en-US" w:eastAsia="zh-CN"/>
              </w:rPr>
              <w:t>1.4.2</w:t>
            </w:r>
          </w:p>
        </w:tc>
      </w:tr>
      <w:tr w14:paraId="74A09C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14348EEA">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1.1</w:t>
            </w:r>
            <w:r>
              <w:rPr>
                <w:rFonts w:hint="eastAsia" w:ascii="宋体" w:hAnsi="宋体"/>
                <w:sz w:val="18"/>
                <w:lang w:val="en-US" w:eastAsia="zh-CN"/>
              </w:rPr>
              <w:t>1</w:t>
            </w:r>
            <w:r>
              <w:rPr>
                <w:rFonts w:ascii="宋体" w:hAnsi="宋体"/>
                <w:sz w:val="18"/>
              </w:rPr>
              <w:t>.</w:t>
            </w:r>
            <w:r>
              <w:rPr>
                <w:rFonts w:hint="eastAsia" w:ascii="宋体" w:hAnsi="宋体"/>
                <w:sz w:val="18"/>
                <w:lang w:val="en-US" w:eastAsia="zh-CN"/>
              </w:rPr>
              <w:t>5</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78A7F04F">
            <w:pPr>
              <w:adjustRightInd w:val="0"/>
              <w:snapToGrid w:val="0"/>
              <w:rPr>
                <w:rFonts w:hint="eastAsia" w:ascii="宋体" w:hAnsi="宋体"/>
                <w:sz w:val="18"/>
                <w:szCs w:val="18"/>
              </w:rPr>
            </w:pPr>
            <w:r>
              <w:rPr>
                <w:rFonts w:hint="eastAsia" w:ascii="宋体" w:hAnsi="宋体"/>
                <w:sz w:val="18"/>
                <w:szCs w:val="18"/>
              </w:rPr>
              <w:t>特种设备使用单位应对在用特种设备至少每月进行1次自行检查，保存检查记录，记录保存符合下列要求：</w:t>
            </w:r>
          </w:p>
          <w:p w14:paraId="10ABA477">
            <w:pPr>
              <w:adjustRightInd w:val="0"/>
              <w:snapToGrid w:val="0"/>
              <w:rPr>
                <w:rFonts w:hint="eastAsia" w:ascii="宋体" w:hAnsi="宋体"/>
                <w:sz w:val="18"/>
                <w:szCs w:val="18"/>
              </w:rPr>
            </w:pPr>
            <w:r>
              <w:rPr>
                <w:rFonts w:hint="eastAsia" w:ascii="宋体" w:hAnsi="宋体"/>
                <w:sz w:val="18"/>
                <w:szCs w:val="18"/>
              </w:rPr>
              <w:t>a）锅炉、压力容器、压力管道的运行记录应齐全；</w:t>
            </w:r>
          </w:p>
          <w:p w14:paraId="705A9A58">
            <w:pPr>
              <w:adjustRightInd w:val="0"/>
              <w:snapToGrid w:val="0"/>
              <w:rPr>
                <w:rFonts w:hint="eastAsia" w:ascii="宋体" w:hAnsi="宋体"/>
                <w:sz w:val="18"/>
                <w:szCs w:val="18"/>
              </w:rPr>
            </w:pPr>
            <w:r>
              <w:rPr>
                <w:rFonts w:hint="eastAsia" w:ascii="宋体" w:hAnsi="宋体"/>
                <w:sz w:val="18"/>
                <w:szCs w:val="18"/>
              </w:rPr>
              <w:t>b）电梯日常维保</w:t>
            </w:r>
            <w:r>
              <w:rPr>
                <w:rFonts w:hint="eastAsia" w:ascii="宋体" w:hAnsi="宋体"/>
                <w:sz w:val="18"/>
                <w:szCs w:val="18"/>
                <w:lang w:val="en-US" w:eastAsia="zh-CN"/>
              </w:rPr>
              <w:t>单位</w:t>
            </w:r>
            <w:r>
              <w:rPr>
                <w:rFonts w:hint="eastAsia" w:ascii="宋体" w:hAnsi="宋体"/>
                <w:sz w:val="18"/>
                <w:szCs w:val="18"/>
              </w:rPr>
              <w:t>的相关检查记录应齐全；</w:t>
            </w:r>
          </w:p>
          <w:p w14:paraId="02538A30">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c）起重机械、场（厂）内专用机动车辆的日常点检、定期自检和日常维护保养等记录应齐全。</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58B51253">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05D913B5">
            <w:pPr>
              <w:widowControl/>
              <w:jc w:val="center"/>
              <w:rPr>
                <w:rFonts w:ascii="宋体" w:hAnsi="宋体" w:eastAsia="宋体" w:cs="Times New Roman"/>
                <w:bCs/>
                <w:kern w:val="2"/>
                <w:sz w:val="18"/>
                <w:szCs w:val="18"/>
                <w:lang w:val="en-US" w:eastAsia="zh-CN" w:bidi="ar-SA"/>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6A76B958">
            <w:pPr>
              <w:widowControl/>
              <w:jc w:val="center"/>
              <w:rPr>
                <w:rFonts w:hint="eastAsia" w:ascii="宋体" w:hAnsi="宋体" w:eastAsia="宋体" w:cs="Times New Roman"/>
                <w:kern w:val="2"/>
                <w:sz w:val="18"/>
                <w:szCs w:val="24"/>
                <w:lang w:val="en-US" w:eastAsia="zh-CN" w:bidi="ar-SA"/>
              </w:rPr>
            </w:pPr>
            <w:r>
              <w:rPr>
                <w:rFonts w:hint="eastAsia" w:ascii="宋体" w:hAnsi="宋体"/>
                <w:sz w:val="18"/>
              </w:rPr>
              <w:t>3</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22FEE76E">
            <w:pPr>
              <w:adjustRightInd w:val="0"/>
              <w:snapToGrid w:val="0"/>
              <w:jc w:val="left"/>
              <w:rPr>
                <w:rFonts w:ascii="宋体" w:hAnsi="宋体"/>
                <w:sz w:val="18"/>
                <w:szCs w:val="18"/>
              </w:rPr>
            </w:pPr>
            <w:r>
              <w:rPr>
                <w:rFonts w:hint="eastAsia" w:ascii="宋体" w:hAnsi="宋体"/>
                <w:sz w:val="18"/>
                <w:szCs w:val="18"/>
              </w:rPr>
              <w:t>1）</w:t>
            </w:r>
            <w:r>
              <w:rPr>
                <w:rFonts w:ascii="宋体" w:hAnsi="宋体"/>
                <w:sz w:val="18"/>
                <w:szCs w:val="18"/>
              </w:rPr>
              <w:t>未</w:t>
            </w:r>
            <w:r>
              <w:rPr>
                <w:rFonts w:hint="eastAsia" w:ascii="宋体" w:hAnsi="宋体"/>
                <w:sz w:val="18"/>
                <w:szCs w:val="18"/>
              </w:rPr>
              <w:t>对</w:t>
            </w:r>
            <w:r>
              <w:rPr>
                <w:rFonts w:ascii="宋体" w:hAnsi="宋体"/>
                <w:sz w:val="18"/>
                <w:szCs w:val="18"/>
              </w:rPr>
              <w:t>特种设备</w:t>
            </w:r>
            <w:r>
              <w:rPr>
                <w:rFonts w:hint="eastAsia" w:ascii="宋体" w:hAnsi="宋体"/>
                <w:sz w:val="18"/>
                <w:szCs w:val="18"/>
              </w:rPr>
              <w:t>进行</w:t>
            </w:r>
            <w:r>
              <w:rPr>
                <w:rFonts w:ascii="宋体" w:hAnsi="宋体"/>
                <w:sz w:val="18"/>
                <w:szCs w:val="18"/>
              </w:rPr>
              <w:t>检查的，</w:t>
            </w:r>
            <w:r>
              <w:rPr>
                <w:rFonts w:hint="eastAsia" w:ascii="宋体" w:hAnsi="宋体"/>
                <w:sz w:val="18"/>
                <w:szCs w:val="18"/>
              </w:rPr>
              <w:t>不得分</w:t>
            </w:r>
            <w:r>
              <w:rPr>
                <w:rFonts w:ascii="宋体" w:hAnsi="宋体"/>
                <w:sz w:val="18"/>
                <w:szCs w:val="18"/>
              </w:rPr>
              <w:t>；</w:t>
            </w:r>
          </w:p>
          <w:p w14:paraId="33C76A16">
            <w:pPr>
              <w:adjustRightInd w:val="0"/>
              <w:snapToGrid w:val="0"/>
              <w:jc w:val="left"/>
              <w:rPr>
                <w:rFonts w:ascii="宋体" w:hAnsi="宋体"/>
                <w:sz w:val="18"/>
                <w:szCs w:val="18"/>
              </w:rPr>
            </w:pPr>
            <w:r>
              <w:rPr>
                <w:rFonts w:hint="eastAsia" w:ascii="宋体" w:hAnsi="宋体"/>
                <w:sz w:val="18"/>
                <w:szCs w:val="18"/>
              </w:rPr>
              <w:t>2）</w:t>
            </w:r>
            <w:r>
              <w:rPr>
                <w:rFonts w:ascii="宋体" w:hAnsi="宋体"/>
                <w:sz w:val="18"/>
                <w:szCs w:val="18"/>
              </w:rPr>
              <w:t>未保存特种设备检查记录的，扣</w:t>
            </w:r>
            <w:r>
              <w:rPr>
                <w:rFonts w:hint="eastAsia" w:ascii="宋体" w:hAnsi="宋体"/>
                <w:sz w:val="18"/>
                <w:szCs w:val="18"/>
              </w:rPr>
              <w:t>2</w:t>
            </w:r>
            <w:r>
              <w:rPr>
                <w:rFonts w:ascii="宋体" w:hAnsi="宋体"/>
                <w:sz w:val="18"/>
                <w:szCs w:val="18"/>
              </w:rPr>
              <w:t>分；</w:t>
            </w:r>
          </w:p>
          <w:p w14:paraId="4028556E">
            <w:pPr>
              <w:adjustRightInd w:val="0"/>
              <w:snapToGrid w:val="0"/>
              <w:spacing w:line="240" w:lineRule="atLeast"/>
              <w:jc w:val="left"/>
              <w:rPr>
                <w:rFonts w:hint="eastAsia" w:ascii="宋体" w:hAnsi="宋体" w:eastAsia="宋体" w:cs="Times New Roman"/>
                <w:kern w:val="2"/>
                <w:sz w:val="18"/>
                <w:szCs w:val="18"/>
                <w:lang w:val="en-US" w:eastAsia="zh-CN" w:bidi="ar-SA"/>
              </w:rPr>
            </w:pPr>
            <w:r>
              <w:rPr>
                <w:rFonts w:hint="eastAsia" w:ascii="宋体" w:hAnsi="宋体"/>
                <w:sz w:val="18"/>
                <w:szCs w:val="18"/>
              </w:rPr>
              <w:t>3）</w:t>
            </w:r>
            <w:r>
              <w:rPr>
                <w:rFonts w:ascii="宋体" w:hAnsi="宋体"/>
                <w:sz w:val="18"/>
                <w:szCs w:val="18"/>
              </w:rPr>
              <w:t>特种设备检查记录不完善的，扣</w:t>
            </w:r>
            <w:r>
              <w:rPr>
                <w:rFonts w:hint="eastAsia" w:ascii="宋体" w:hAnsi="宋体"/>
                <w:sz w:val="18"/>
                <w:szCs w:val="18"/>
              </w:rPr>
              <w:t>1</w:t>
            </w:r>
            <w:r>
              <w:rPr>
                <w:rFonts w:ascii="宋体" w:hAnsi="宋体"/>
                <w:sz w:val="18"/>
                <w:szCs w:val="18"/>
              </w:rPr>
              <w:t>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02620E2B">
            <w:pPr>
              <w:widowControl/>
              <w:jc w:val="center"/>
              <w:rPr>
                <w:rFonts w:ascii="宋体" w:hAnsi="宋体" w:eastAsia="宋体" w:cs="Times New Roman"/>
                <w:bCs/>
                <w:kern w:val="2"/>
                <w:sz w:val="18"/>
                <w:szCs w:val="18"/>
                <w:lang w:val="en-US" w:eastAsia="zh-CN" w:bidi="ar-SA"/>
              </w:rPr>
            </w:pPr>
          </w:p>
        </w:tc>
        <w:tc>
          <w:tcPr>
            <w:tcW w:w="642" w:type="dxa"/>
            <w:tcBorders>
              <w:top w:val="single" w:color="auto" w:sz="8" w:space="0"/>
              <w:left w:val="single" w:color="auto" w:sz="4" w:space="0"/>
              <w:bottom w:val="single" w:color="auto" w:sz="8" w:space="0"/>
              <w:right w:val="single" w:color="auto" w:sz="4" w:space="0"/>
            </w:tcBorders>
            <w:noWrap w:val="0"/>
            <w:vAlign w:val="center"/>
          </w:tcPr>
          <w:p w14:paraId="13CE8028">
            <w:pPr>
              <w:widowControl/>
              <w:jc w:val="center"/>
              <w:rPr>
                <w:rFonts w:ascii="宋体" w:hAnsi="宋体" w:eastAsia="宋体" w:cs="Times New Roman"/>
                <w:bCs/>
                <w:kern w:val="2"/>
                <w:sz w:val="18"/>
                <w:szCs w:val="18"/>
                <w:lang w:val="en-US" w:eastAsia="zh-CN" w:bidi="ar-SA"/>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2436CC13">
            <w:pPr>
              <w:widowControl/>
              <w:jc w:val="center"/>
              <w:rPr>
                <w:rFonts w:hint="eastAsia" w:ascii="宋体" w:hAnsi="宋体" w:eastAsia="宋体" w:cs="Times New Roman"/>
                <w:kern w:val="2"/>
                <w:sz w:val="18"/>
                <w:szCs w:val="24"/>
                <w:lang w:val="en-US" w:eastAsia="zh-CN" w:bidi="ar-SA"/>
              </w:rPr>
            </w:pPr>
            <w:r>
              <w:rPr>
                <w:rFonts w:hint="eastAsia" w:ascii="宋体" w:hAnsi="宋体"/>
                <w:sz w:val="18"/>
                <w:lang w:eastAsia="zh-CN"/>
              </w:rPr>
              <w:t>4.</w:t>
            </w:r>
            <w:r>
              <w:rPr>
                <w:rFonts w:hint="eastAsia" w:ascii="宋体" w:hAnsi="宋体"/>
                <w:sz w:val="18"/>
              </w:rPr>
              <w:t>1</w:t>
            </w:r>
          </w:p>
        </w:tc>
      </w:tr>
      <w:tr w14:paraId="10567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tcBorders>
              <w:top w:val="single" w:color="auto" w:sz="8" w:space="0"/>
              <w:left w:val="single" w:color="auto" w:sz="8" w:space="0"/>
              <w:bottom w:val="single" w:color="auto" w:sz="8" w:space="0"/>
              <w:right w:val="single" w:color="auto" w:sz="4" w:space="0"/>
            </w:tcBorders>
            <w:noWrap w:val="0"/>
            <w:vAlign w:val="center"/>
          </w:tcPr>
          <w:p w14:paraId="0FF668BE">
            <w:pPr>
              <w:widowControl/>
              <w:jc w:val="center"/>
              <w:rPr>
                <w:rFonts w:hint="eastAsia" w:ascii="宋体" w:hAnsi="宋体" w:eastAsia="宋体"/>
                <w:sz w:val="18"/>
                <w:lang w:eastAsia="zh-CN"/>
              </w:rPr>
            </w:pPr>
            <w:r>
              <w:rPr>
                <w:rFonts w:hint="eastAsia" w:ascii="宋体" w:hAnsi="宋体"/>
                <w:sz w:val="18"/>
              </w:rPr>
              <w:t>1.1</w:t>
            </w:r>
            <w:r>
              <w:rPr>
                <w:rFonts w:hint="eastAsia" w:ascii="宋体" w:hAnsi="宋体"/>
                <w:sz w:val="18"/>
                <w:lang w:val="en-US" w:eastAsia="zh-CN"/>
              </w:rPr>
              <w:t>1</w:t>
            </w:r>
            <w:r>
              <w:rPr>
                <w:rFonts w:ascii="宋体" w:hAnsi="宋体"/>
                <w:sz w:val="18"/>
              </w:rPr>
              <w:t>.</w:t>
            </w:r>
            <w:r>
              <w:rPr>
                <w:rFonts w:hint="eastAsia" w:ascii="宋体" w:hAnsi="宋体"/>
                <w:sz w:val="18"/>
                <w:lang w:val="en-US" w:eastAsia="zh-CN"/>
              </w:rPr>
              <w:t>6</w:t>
            </w:r>
          </w:p>
        </w:tc>
        <w:tc>
          <w:tcPr>
            <w:tcW w:w="6003" w:type="dxa"/>
            <w:tcBorders>
              <w:top w:val="single" w:color="auto" w:sz="8" w:space="0"/>
              <w:left w:val="single" w:color="auto" w:sz="4" w:space="0"/>
              <w:bottom w:val="single" w:color="auto" w:sz="8" w:space="0"/>
              <w:right w:val="single" w:color="auto" w:sz="4" w:space="0"/>
            </w:tcBorders>
            <w:noWrap w:val="0"/>
            <w:vAlign w:val="center"/>
          </w:tcPr>
          <w:p w14:paraId="18F59703">
            <w:pPr>
              <w:adjustRightInd w:val="0"/>
              <w:snapToGrid w:val="0"/>
              <w:jc w:val="left"/>
              <w:rPr>
                <w:rFonts w:hint="eastAsia" w:ascii="宋体" w:hAnsi="宋体"/>
                <w:sz w:val="18"/>
                <w:szCs w:val="18"/>
              </w:rPr>
            </w:pPr>
            <w:r>
              <w:rPr>
                <w:rFonts w:hint="eastAsia" w:ascii="宋体" w:hAnsi="宋体"/>
                <w:sz w:val="18"/>
                <w:szCs w:val="18"/>
              </w:rPr>
              <w:t>特种设备的安全附件、安全保护装置应定期校验检定、检修，并保存</w:t>
            </w:r>
            <w:r>
              <w:rPr>
                <w:rFonts w:ascii="宋体" w:hAnsi="宋体"/>
                <w:sz w:val="18"/>
                <w:szCs w:val="18"/>
              </w:rPr>
              <w:t>记录</w:t>
            </w:r>
            <w:r>
              <w:rPr>
                <w:rFonts w:hint="eastAsia" w:ascii="宋体" w:hAnsi="宋体"/>
                <w:sz w:val="18"/>
                <w:szCs w:val="18"/>
              </w:rPr>
              <w:t>。</w:t>
            </w:r>
          </w:p>
        </w:tc>
        <w:tc>
          <w:tcPr>
            <w:tcW w:w="719" w:type="dxa"/>
            <w:tcBorders>
              <w:top w:val="single" w:color="auto" w:sz="8" w:space="0"/>
              <w:left w:val="single" w:color="auto" w:sz="4" w:space="0"/>
              <w:bottom w:val="single" w:color="auto" w:sz="8" w:space="0"/>
              <w:right w:val="single" w:color="auto" w:sz="4" w:space="0"/>
            </w:tcBorders>
            <w:noWrap w:val="0"/>
            <w:vAlign w:val="center"/>
          </w:tcPr>
          <w:p w14:paraId="26B63179">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4809FA1F">
            <w:pPr>
              <w:widowControl/>
              <w:jc w:val="center"/>
              <w:rPr>
                <w:rFonts w:ascii="宋体" w:hAnsi="宋体"/>
                <w:bCs/>
                <w:sz w:val="18"/>
                <w:szCs w:val="18"/>
              </w:rPr>
            </w:pPr>
          </w:p>
        </w:tc>
        <w:tc>
          <w:tcPr>
            <w:tcW w:w="725" w:type="dxa"/>
            <w:tcBorders>
              <w:top w:val="single" w:color="auto" w:sz="8" w:space="0"/>
              <w:left w:val="single" w:color="auto" w:sz="4" w:space="0"/>
              <w:bottom w:val="single" w:color="auto" w:sz="8" w:space="0"/>
              <w:right w:val="single" w:color="auto" w:sz="4" w:space="0"/>
            </w:tcBorders>
            <w:noWrap w:val="0"/>
            <w:vAlign w:val="center"/>
          </w:tcPr>
          <w:p w14:paraId="79D5C2E4">
            <w:pPr>
              <w:widowControl/>
              <w:jc w:val="center"/>
              <w:rPr>
                <w:rFonts w:hint="eastAsia" w:ascii="宋体" w:hAnsi="宋体"/>
                <w:sz w:val="18"/>
              </w:rPr>
            </w:pPr>
            <w:r>
              <w:rPr>
                <w:rFonts w:hint="eastAsia" w:ascii="宋体" w:hAnsi="宋体"/>
                <w:sz w:val="18"/>
              </w:rPr>
              <w:t>5</w:t>
            </w:r>
          </w:p>
        </w:tc>
        <w:tc>
          <w:tcPr>
            <w:tcW w:w="3838" w:type="dxa"/>
            <w:tcBorders>
              <w:top w:val="single" w:color="auto" w:sz="8" w:space="0"/>
              <w:left w:val="single" w:color="auto" w:sz="4" w:space="0"/>
              <w:bottom w:val="single" w:color="auto" w:sz="8" w:space="0"/>
              <w:right w:val="single" w:color="auto" w:sz="4" w:space="0"/>
            </w:tcBorders>
            <w:noWrap w:val="0"/>
            <w:vAlign w:val="center"/>
          </w:tcPr>
          <w:p w14:paraId="085C098D">
            <w:pPr>
              <w:adjustRightInd w:val="0"/>
              <w:snapToGrid w:val="0"/>
              <w:jc w:val="left"/>
              <w:rPr>
                <w:rFonts w:hint="eastAsia" w:ascii="宋体" w:hAnsi="宋体"/>
                <w:sz w:val="18"/>
              </w:rPr>
            </w:pPr>
            <w:r>
              <w:rPr>
                <w:rFonts w:hint="eastAsia" w:ascii="宋体" w:hAnsi="宋体"/>
                <w:sz w:val="18"/>
                <w:szCs w:val="18"/>
              </w:rPr>
              <w:t>1）未定期</w:t>
            </w:r>
            <w:r>
              <w:rPr>
                <w:rFonts w:hint="eastAsia" w:ascii="宋体" w:hAnsi="宋体"/>
                <w:sz w:val="18"/>
              </w:rPr>
              <w:t>校验、检修的，</w:t>
            </w:r>
            <w:r>
              <w:rPr>
                <w:rFonts w:hint="eastAsia" w:ascii="宋体" w:hAnsi="宋体"/>
                <w:sz w:val="18"/>
                <w:szCs w:val="18"/>
              </w:rPr>
              <w:t>不得分</w:t>
            </w:r>
            <w:r>
              <w:rPr>
                <w:rFonts w:hint="eastAsia" w:ascii="宋体" w:hAnsi="宋体"/>
                <w:sz w:val="18"/>
              </w:rPr>
              <w:t>；</w:t>
            </w:r>
          </w:p>
          <w:p w14:paraId="103F88E4">
            <w:pPr>
              <w:adjustRightInd w:val="0"/>
              <w:snapToGrid w:val="0"/>
              <w:jc w:val="left"/>
              <w:rPr>
                <w:rFonts w:hint="eastAsia" w:ascii="宋体" w:hAnsi="宋体"/>
                <w:sz w:val="18"/>
                <w:szCs w:val="18"/>
              </w:rPr>
            </w:pPr>
            <w:r>
              <w:rPr>
                <w:rFonts w:hint="eastAsia" w:ascii="宋体" w:hAnsi="宋体"/>
                <w:sz w:val="18"/>
              </w:rPr>
              <w:t>2）未保存校验检定和检修</w:t>
            </w:r>
            <w:r>
              <w:rPr>
                <w:rFonts w:ascii="宋体" w:hAnsi="宋体"/>
                <w:sz w:val="18"/>
              </w:rPr>
              <w:t>记录的，扣</w:t>
            </w:r>
            <w:r>
              <w:rPr>
                <w:rFonts w:hint="eastAsia" w:ascii="宋体" w:hAnsi="宋体"/>
                <w:sz w:val="18"/>
              </w:rPr>
              <w:t>2分。</w:t>
            </w:r>
          </w:p>
        </w:tc>
        <w:tc>
          <w:tcPr>
            <w:tcW w:w="749" w:type="dxa"/>
            <w:tcBorders>
              <w:top w:val="single" w:color="auto" w:sz="8" w:space="0"/>
              <w:left w:val="single" w:color="auto" w:sz="4" w:space="0"/>
              <w:bottom w:val="single" w:color="auto" w:sz="8" w:space="0"/>
              <w:right w:val="single" w:color="auto" w:sz="4" w:space="0"/>
            </w:tcBorders>
            <w:noWrap w:val="0"/>
            <w:vAlign w:val="center"/>
          </w:tcPr>
          <w:p w14:paraId="186B4D23">
            <w:pPr>
              <w:widowControl/>
              <w:jc w:val="center"/>
              <w:rPr>
                <w:rFonts w:ascii="宋体" w:hAnsi="宋体"/>
                <w:bCs/>
                <w:sz w:val="18"/>
                <w:szCs w:val="18"/>
              </w:rPr>
            </w:pPr>
          </w:p>
        </w:tc>
        <w:tc>
          <w:tcPr>
            <w:tcW w:w="642" w:type="dxa"/>
            <w:tcBorders>
              <w:top w:val="single" w:color="auto" w:sz="8" w:space="0"/>
              <w:left w:val="single" w:color="auto" w:sz="4" w:space="0"/>
              <w:bottom w:val="single" w:color="auto" w:sz="8" w:space="0"/>
              <w:right w:val="single" w:color="auto" w:sz="4" w:space="0"/>
            </w:tcBorders>
            <w:noWrap w:val="0"/>
            <w:vAlign w:val="center"/>
          </w:tcPr>
          <w:p w14:paraId="1349B32F">
            <w:pPr>
              <w:widowControl/>
              <w:jc w:val="center"/>
              <w:rPr>
                <w:rFonts w:ascii="宋体" w:hAnsi="宋体"/>
                <w:bCs/>
                <w:sz w:val="18"/>
                <w:szCs w:val="18"/>
              </w:rPr>
            </w:pPr>
          </w:p>
        </w:tc>
        <w:tc>
          <w:tcPr>
            <w:tcW w:w="1004" w:type="dxa"/>
            <w:tcBorders>
              <w:top w:val="single" w:color="auto" w:sz="8" w:space="0"/>
              <w:left w:val="single" w:color="auto" w:sz="4" w:space="0"/>
              <w:bottom w:val="single" w:color="auto" w:sz="8" w:space="0"/>
              <w:right w:val="single" w:color="auto" w:sz="8" w:space="0"/>
            </w:tcBorders>
            <w:noWrap w:val="0"/>
            <w:vAlign w:val="center"/>
          </w:tcPr>
          <w:p w14:paraId="02C7B7DB">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4151C456">
        <w:tblPrEx>
          <w:tblBorders>
            <w:top w:val="single" w:color="auto" w:sz="8" w:space="0"/>
            <w:left w:val="single" w:color="auto" w:sz="8" w:space="0"/>
            <w:bottom w:val="single" w:color="auto" w:sz="4"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14:paraId="327CBBB9">
            <w:pPr>
              <w:widowControl/>
              <w:jc w:val="center"/>
              <w:rPr>
                <w:rFonts w:ascii="宋体" w:hAnsi="宋体"/>
                <w:bCs/>
                <w:sz w:val="18"/>
                <w:szCs w:val="18"/>
              </w:rPr>
            </w:pPr>
            <w:r>
              <w:rPr>
                <w:rFonts w:hint="eastAsia" w:ascii="宋体" w:hAnsi="宋体"/>
                <w:sz w:val="18"/>
              </w:rPr>
              <w:t>1.</w:t>
            </w:r>
            <w:r>
              <w:rPr>
                <w:rFonts w:ascii="宋体" w:hAnsi="宋体"/>
                <w:sz w:val="18"/>
              </w:rPr>
              <w:t>12</w:t>
            </w:r>
          </w:p>
        </w:tc>
        <w:tc>
          <w:tcPr>
            <w:tcW w:w="6003" w:type="dxa"/>
            <w:noWrap w:val="0"/>
            <w:vAlign w:val="center"/>
          </w:tcPr>
          <w:p w14:paraId="79A9E9F3">
            <w:pPr>
              <w:widowControl/>
              <w:jc w:val="left"/>
              <w:rPr>
                <w:rFonts w:ascii="宋体" w:hAnsi="宋体"/>
                <w:bCs/>
                <w:sz w:val="18"/>
                <w:szCs w:val="18"/>
              </w:rPr>
            </w:pPr>
            <w:r>
              <w:rPr>
                <w:rFonts w:hint="eastAsia" w:ascii="宋体" w:hAnsi="宋体"/>
                <w:sz w:val="18"/>
              </w:rPr>
              <w:t>“三同时”管理</w:t>
            </w:r>
          </w:p>
        </w:tc>
        <w:tc>
          <w:tcPr>
            <w:tcW w:w="719" w:type="dxa"/>
            <w:noWrap w:val="0"/>
            <w:vAlign w:val="center"/>
          </w:tcPr>
          <w:p w14:paraId="18A89D36">
            <w:pPr>
              <w:widowControl/>
              <w:jc w:val="center"/>
              <w:rPr>
                <w:rFonts w:ascii="宋体" w:hAnsi="宋体"/>
                <w:bCs/>
                <w:sz w:val="18"/>
                <w:szCs w:val="18"/>
              </w:rPr>
            </w:pPr>
            <w:r>
              <w:rPr>
                <w:rFonts w:hint="eastAsia" w:ascii="宋体" w:hAnsi="宋体"/>
                <w:sz w:val="18"/>
                <w:lang w:val="en-US" w:eastAsia="zh-CN"/>
              </w:rPr>
              <w:t>1</w:t>
            </w:r>
            <w:r>
              <w:rPr>
                <w:rFonts w:hint="eastAsia" w:ascii="宋体" w:hAnsi="宋体"/>
                <w:sz w:val="18"/>
              </w:rPr>
              <w:t>0</w:t>
            </w:r>
          </w:p>
        </w:tc>
        <w:tc>
          <w:tcPr>
            <w:tcW w:w="725" w:type="dxa"/>
            <w:noWrap w:val="0"/>
            <w:vAlign w:val="center"/>
          </w:tcPr>
          <w:p w14:paraId="53F2E376">
            <w:pPr>
              <w:widowControl/>
              <w:jc w:val="center"/>
              <w:rPr>
                <w:rFonts w:ascii="宋体" w:hAnsi="宋体"/>
                <w:bCs/>
                <w:sz w:val="18"/>
                <w:szCs w:val="18"/>
              </w:rPr>
            </w:pPr>
          </w:p>
        </w:tc>
        <w:tc>
          <w:tcPr>
            <w:tcW w:w="725" w:type="dxa"/>
            <w:noWrap w:val="0"/>
            <w:vAlign w:val="center"/>
          </w:tcPr>
          <w:p w14:paraId="27C4594C">
            <w:pPr>
              <w:widowControl/>
              <w:jc w:val="center"/>
              <w:rPr>
                <w:rFonts w:ascii="宋体" w:hAnsi="宋体"/>
                <w:bCs/>
                <w:sz w:val="18"/>
                <w:szCs w:val="18"/>
              </w:rPr>
            </w:pPr>
          </w:p>
        </w:tc>
        <w:tc>
          <w:tcPr>
            <w:tcW w:w="3838" w:type="dxa"/>
            <w:noWrap w:val="0"/>
            <w:vAlign w:val="center"/>
          </w:tcPr>
          <w:p w14:paraId="31D3D0FB">
            <w:pPr>
              <w:widowControl/>
              <w:jc w:val="left"/>
              <w:rPr>
                <w:rFonts w:ascii="宋体" w:hAnsi="宋体"/>
                <w:bCs/>
                <w:sz w:val="18"/>
                <w:szCs w:val="18"/>
              </w:rPr>
            </w:pPr>
          </w:p>
        </w:tc>
        <w:tc>
          <w:tcPr>
            <w:tcW w:w="749" w:type="dxa"/>
            <w:noWrap w:val="0"/>
            <w:vAlign w:val="center"/>
          </w:tcPr>
          <w:p w14:paraId="1B83056F">
            <w:pPr>
              <w:widowControl/>
              <w:jc w:val="center"/>
              <w:rPr>
                <w:rFonts w:ascii="宋体" w:hAnsi="宋体"/>
                <w:bCs/>
                <w:sz w:val="18"/>
                <w:szCs w:val="18"/>
              </w:rPr>
            </w:pPr>
          </w:p>
        </w:tc>
        <w:tc>
          <w:tcPr>
            <w:tcW w:w="642" w:type="dxa"/>
            <w:noWrap w:val="0"/>
            <w:vAlign w:val="center"/>
          </w:tcPr>
          <w:p w14:paraId="1F87FAA2">
            <w:pPr>
              <w:widowControl/>
              <w:jc w:val="center"/>
              <w:rPr>
                <w:rFonts w:ascii="宋体" w:hAnsi="宋体"/>
                <w:bCs/>
                <w:sz w:val="18"/>
                <w:szCs w:val="18"/>
              </w:rPr>
            </w:pPr>
          </w:p>
        </w:tc>
        <w:tc>
          <w:tcPr>
            <w:tcW w:w="1004" w:type="dxa"/>
            <w:noWrap w:val="0"/>
            <w:vAlign w:val="center"/>
          </w:tcPr>
          <w:p w14:paraId="55593B01">
            <w:pPr>
              <w:widowControl/>
              <w:jc w:val="center"/>
              <w:rPr>
                <w:rFonts w:ascii="宋体" w:hAnsi="宋体"/>
                <w:bCs/>
                <w:sz w:val="18"/>
                <w:szCs w:val="18"/>
              </w:rPr>
            </w:pPr>
            <w:r>
              <w:rPr>
                <w:rFonts w:hint="eastAsia" w:ascii="宋体" w:hAnsi="宋体"/>
                <w:sz w:val="18"/>
                <w:lang w:eastAsia="zh-CN"/>
              </w:rPr>
              <w:t>4.</w:t>
            </w:r>
            <w:r>
              <w:rPr>
                <w:rFonts w:hint="eastAsia" w:ascii="宋体" w:hAnsi="宋体"/>
                <w:sz w:val="18"/>
              </w:rPr>
              <w:t>1</w:t>
            </w:r>
          </w:p>
        </w:tc>
      </w:tr>
      <w:tr w14:paraId="40C2D21F">
        <w:tblPrEx>
          <w:tblBorders>
            <w:top w:val="single" w:color="auto" w:sz="8" w:space="0"/>
            <w:left w:val="single" w:color="auto" w:sz="8" w:space="0"/>
            <w:bottom w:val="single" w:color="auto" w:sz="4"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14:paraId="491DBA74">
            <w:pPr>
              <w:widowControl/>
              <w:jc w:val="center"/>
              <w:rPr>
                <w:rFonts w:hint="eastAsia" w:ascii="宋体" w:hAnsi="宋体"/>
                <w:sz w:val="18"/>
              </w:rPr>
            </w:pPr>
            <w:r>
              <w:rPr>
                <w:rFonts w:hint="eastAsia" w:ascii="宋体" w:hAnsi="宋体"/>
                <w:sz w:val="18"/>
              </w:rPr>
              <w:t>1.12.1</w:t>
            </w:r>
          </w:p>
        </w:tc>
        <w:tc>
          <w:tcPr>
            <w:tcW w:w="6003" w:type="dxa"/>
            <w:noWrap w:val="0"/>
            <w:vAlign w:val="center"/>
          </w:tcPr>
          <w:p w14:paraId="20AF5CAF">
            <w:pPr>
              <w:adjustRightInd w:val="0"/>
              <w:snapToGrid w:val="0"/>
              <w:jc w:val="left"/>
              <w:rPr>
                <w:rFonts w:hint="eastAsia" w:ascii="宋体" w:hAnsi="宋体"/>
                <w:sz w:val="18"/>
              </w:rPr>
            </w:pPr>
            <w:r>
              <w:rPr>
                <w:rFonts w:hint="eastAsia" w:ascii="宋体" w:hAnsi="宋体"/>
                <w:sz w:val="18"/>
                <w:szCs w:val="18"/>
                <w:lang w:eastAsia="zh-CN"/>
              </w:rPr>
              <w:t>景区</w:t>
            </w:r>
            <w:r>
              <w:rPr>
                <w:rFonts w:hint="eastAsia" w:ascii="宋体" w:hAnsi="宋体"/>
                <w:sz w:val="18"/>
                <w:szCs w:val="18"/>
              </w:rPr>
              <w:t>应对新建、改建、扩建工程项目安全设施实行“三同时”管理，安全设施应与主体工程同时设计、同时施工、同时投入生产和使用，且应符合建设项目安全设施“三同时”的相关规定。</w:t>
            </w:r>
          </w:p>
        </w:tc>
        <w:tc>
          <w:tcPr>
            <w:tcW w:w="719" w:type="dxa"/>
            <w:noWrap w:val="0"/>
            <w:vAlign w:val="center"/>
          </w:tcPr>
          <w:p w14:paraId="3F9C9097">
            <w:pPr>
              <w:widowControl/>
              <w:jc w:val="center"/>
              <w:rPr>
                <w:rFonts w:hint="eastAsia" w:ascii="宋体" w:hAnsi="宋体"/>
                <w:sz w:val="18"/>
              </w:rPr>
            </w:pPr>
          </w:p>
        </w:tc>
        <w:tc>
          <w:tcPr>
            <w:tcW w:w="725" w:type="dxa"/>
            <w:noWrap w:val="0"/>
            <w:vAlign w:val="center"/>
          </w:tcPr>
          <w:p w14:paraId="495B9F95">
            <w:pPr>
              <w:widowControl/>
              <w:jc w:val="center"/>
              <w:rPr>
                <w:rFonts w:ascii="宋体" w:hAnsi="宋体"/>
                <w:bCs/>
                <w:sz w:val="18"/>
                <w:szCs w:val="18"/>
              </w:rPr>
            </w:pPr>
          </w:p>
        </w:tc>
        <w:tc>
          <w:tcPr>
            <w:tcW w:w="725" w:type="dxa"/>
            <w:noWrap w:val="0"/>
            <w:vAlign w:val="center"/>
          </w:tcPr>
          <w:p w14:paraId="56EF933D">
            <w:pPr>
              <w:widowControl/>
              <w:jc w:val="center"/>
              <w:rPr>
                <w:rFonts w:ascii="宋体" w:hAnsi="宋体"/>
                <w:bCs/>
                <w:sz w:val="18"/>
                <w:szCs w:val="18"/>
              </w:rPr>
            </w:pPr>
            <w:r>
              <w:rPr>
                <w:rFonts w:hint="eastAsia" w:ascii="宋体" w:hAnsi="宋体"/>
                <w:sz w:val="18"/>
                <w:lang w:val="en-US" w:eastAsia="zh-CN"/>
              </w:rPr>
              <w:t>1</w:t>
            </w:r>
            <w:r>
              <w:rPr>
                <w:rFonts w:hint="eastAsia" w:ascii="宋体" w:hAnsi="宋体"/>
                <w:sz w:val="18"/>
              </w:rPr>
              <w:t>0</w:t>
            </w:r>
          </w:p>
        </w:tc>
        <w:tc>
          <w:tcPr>
            <w:tcW w:w="3838" w:type="dxa"/>
            <w:noWrap w:val="0"/>
            <w:vAlign w:val="center"/>
          </w:tcPr>
          <w:p w14:paraId="6F6EE61C">
            <w:pPr>
              <w:adjustRightInd w:val="0"/>
              <w:snapToGrid w:val="0"/>
              <w:rPr>
                <w:rFonts w:hint="eastAsia" w:ascii="宋体" w:hAnsi="宋体"/>
                <w:sz w:val="18"/>
                <w:szCs w:val="18"/>
              </w:rPr>
            </w:pPr>
            <w:r>
              <w:rPr>
                <w:rFonts w:hint="eastAsia" w:ascii="宋体" w:hAnsi="宋体"/>
                <w:sz w:val="18"/>
                <w:szCs w:val="18"/>
              </w:rPr>
              <w:t>1）</w:t>
            </w:r>
            <w:r>
              <w:rPr>
                <w:rFonts w:ascii="宋体" w:hAnsi="宋体"/>
                <w:sz w:val="18"/>
                <w:szCs w:val="18"/>
              </w:rPr>
              <w:t>建设项目未按照“三同时”进行管理的，</w:t>
            </w:r>
            <w:r>
              <w:rPr>
                <w:rFonts w:hint="eastAsia" w:ascii="宋体" w:hAnsi="宋体"/>
                <w:sz w:val="18"/>
                <w:szCs w:val="18"/>
              </w:rPr>
              <w:t>不得分；</w:t>
            </w:r>
          </w:p>
          <w:p w14:paraId="1267F410">
            <w:pPr>
              <w:widowControl/>
              <w:jc w:val="left"/>
              <w:rPr>
                <w:rFonts w:ascii="宋体" w:hAnsi="宋体"/>
                <w:bCs/>
                <w:sz w:val="18"/>
                <w:szCs w:val="18"/>
              </w:rPr>
            </w:pPr>
            <w:r>
              <w:rPr>
                <w:rFonts w:hint="eastAsia" w:ascii="宋体" w:hAnsi="宋体"/>
                <w:sz w:val="18"/>
                <w:szCs w:val="18"/>
              </w:rPr>
              <w:t>2）一处未按要求进行管理的，扣5分。</w:t>
            </w:r>
          </w:p>
        </w:tc>
        <w:tc>
          <w:tcPr>
            <w:tcW w:w="749" w:type="dxa"/>
            <w:noWrap w:val="0"/>
            <w:vAlign w:val="center"/>
          </w:tcPr>
          <w:p w14:paraId="21442566">
            <w:pPr>
              <w:widowControl/>
              <w:jc w:val="center"/>
              <w:rPr>
                <w:rFonts w:ascii="宋体" w:hAnsi="宋体"/>
                <w:bCs/>
                <w:sz w:val="18"/>
                <w:szCs w:val="18"/>
              </w:rPr>
            </w:pPr>
          </w:p>
        </w:tc>
        <w:tc>
          <w:tcPr>
            <w:tcW w:w="642" w:type="dxa"/>
            <w:noWrap w:val="0"/>
            <w:vAlign w:val="center"/>
          </w:tcPr>
          <w:p w14:paraId="621917E4">
            <w:pPr>
              <w:widowControl/>
              <w:jc w:val="center"/>
              <w:rPr>
                <w:rFonts w:ascii="宋体" w:hAnsi="宋体"/>
                <w:bCs/>
                <w:sz w:val="18"/>
                <w:szCs w:val="18"/>
              </w:rPr>
            </w:pPr>
          </w:p>
        </w:tc>
        <w:tc>
          <w:tcPr>
            <w:tcW w:w="1004" w:type="dxa"/>
            <w:noWrap w:val="0"/>
            <w:vAlign w:val="center"/>
          </w:tcPr>
          <w:p w14:paraId="2192C161">
            <w:pPr>
              <w:widowControl/>
              <w:jc w:val="center"/>
              <w:rPr>
                <w:rFonts w:hint="eastAsia" w:ascii="宋体" w:hAnsi="宋体"/>
                <w:sz w:val="18"/>
              </w:rPr>
            </w:pPr>
            <w:r>
              <w:rPr>
                <w:rFonts w:hint="eastAsia" w:ascii="宋体" w:hAnsi="宋体"/>
                <w:sz w:val="18"/>
                <w:lang w:eastAsia="zh-CN"/>
              </w:rPr>
              <w:t>4.</w:t>
            </w:r>
            <w:r>
              <w:rPr>
                <w:rFonts w:hint="eastAsia" w:ascii="宋体" w:hAnsi="宋体"/>
                <w:sz w:val="18"/>
              </w:rPr>
              <w:t>1</w:t>
            </w:r>
          </w:p>
        </w:tc>
      </w:tr>
      <w:tr w14:paraId="6463CB3B">
        <w:tblPrEx>
          <w:tblBorders>
            <w:top w:val="single" w:color="auto" w:sz="8" w:space="0"/>
            <w:left w:val="single" w:color="auto" w:sz="8" w:space="0"/>
            <w:bottom w:val="single" w:color="auto" w:sz="4"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15353" w:type="dxa"/>
            <w:gridSpan w:val="9"/>
            <w:noWrap w:val="0"/>
            <w:vAlign w:val="center"/>
          </w:tcPr>
          <w:p w14:paraId="11824CB6">
            <w:pPr>
              <w:pStyle w:val="135"/>
              <w:rPr>
                <w:rFonts w:hint="eastAsia"/>
              </w:rPr>
            </w:pPr>
            <w:r>
              <w:rPr>
                <w:rFonts w:hint="eastAsia"/>
              </w:rPr>
              <w:t>二级否决条款用“★”予以标出。</w:t>
            </w:r>
          </w:p>
        </w:tc>
      </w:tr>
    </w:tbl>
    <w:p w14:paraId="2220606F">
      <w:pPr>
        <w:pStyle w:val="174"/>
      </w:pPr>
      <w:bookmarkStart w:id="446" w:name="_Toc32435"/>
      <w:bookmarkEnd w:id="446"/>
      <w:bookmarkStart w:id="447" w:name="_Toc22787"/>
      <w:bookmarkEnd w:id="447"/>
    </w:p>
    <w:p w14:paraId="7739BD76">
      <w:pPr>
        <w:pStyle w:val="167"/>
        <w:numPr>
          <w:numId w:val="0"/>
        </w:numPr>
        <w:tabs>
          <w:tab w:val="clear" w:pos="0"/>
        </w:tabs>
        <w:ind w:left="0" w:leftChars="0" w:hanging="425" w:firstLineChars="0"/>
      </w:pPr>
      <w:bookmarkStart w:id="448" w:name="_Toc19150"/>
      <w:bookmarkStart w:id="449" w:name="_Toc13618"/>
      <w:r>
        <w:rPr>
          <w:rFonts w:hint="eastAsia" w:ascii="Times New Roman" w:hAnsi="Times New Roman" w:eastAsia="宋体" w:cs="Times New Roman"/>
          <w:color w:val="FFFFFF"/>
          <w:kern w:val="2"/>
          <w:sz w:val="21"/>
          <w:szCs w:val="24"/>
          <w:lang w:val="en-US" w:eastAsia="zh-CN" w:bidi="ar-SA"/>
        </w:rPr>
        <w:t>C</w:t>
      </w:r>
      <w:bookmarkEnd w:id="448"/>
      <w:bookmarkEnd w:id="449"/>
    </w:p>
    <w:p w14:paraId="22A6E4E0">
      <w:pPr>
        <w:pStyle w:val="160"/>
        <w:rPr>
          <w:rFonts w:hint="eastAsia"/>
        </w:rPr>
      </w:pPr>
      <w:bookmarkStart w:id="450" w:name="_Toc29861"/>
      <w:bookmarkStart w:id="451" w:name="_Toc28548"/>
      <w:r>
        <w:br w:type="textWrapping"/>
      </w:r>
      <w:bookmarkStart w:id="452" w:name="_Toc504594724"/>
      <w:bookmarkStart w:id="453" w:name="_Toc498348143"/>
      <w:bookmarkStart w:id="454" w:name="_Toc484984811"/>
      <w:bookmarkStart w:id="455" w:name="_Toc482174150"/>
      <w:bookmarkStart w:id="456" w:name="_Toc498325683"/>
      <w:bookmarkStart w:id="457" w:name="_Toc498337278"/>
      <w:bookmarkStart w:id="458" w:name="_Toc484965502"/>
      <w:bookmarkStart w:id="459" w:name="_Toc482114504"/>
      <w:bookmarkStart w:id="460" w:name="_Toc484958278"/>
      <w:bookmarkStart w:id="461" w:name="_Toc482169116"/>
      <w:bookmarkStart w:id="462" w:name="_Toc482174634"/>
      <w:bookmarkStart w:id="463" w:name="_Toc482189183"/>
      <w:bookmarkStart w:id="464" w:name="_Toc504931849"/>
      <w:bookmarkStart w:id="465" w:name="_Toc482175056"/>
      <w:bookmarkStart w:id="466" w:name="_Toc482172279"/>
      <w:bookmarkStart w:id="467" w:name="_Toc498286354"/>
      <w:bookmarkStart w:id="468" w:name="_Toc482198495"/>
      <w:bookmarkStart w:id="469" w:name="_Toc482172338"/>
      <w:bookmarkStart w:id="470" w:name="_Toc486261039"/>
      <w:bookmarkStart w:id="471" w:name="_Toc484965772"/>
      <w:r>
        <w:rPr>
          <w:rFonts w:hint="eastAsia"/>
        </w:rPr>
        <w:t>（规范性附录）</w:t>
      </w:r>
      <w:r>
        <w:br w:type="textWrapping"/>
      </w:r>
      <w:r>
        <w:rPr>
          <w:rFonts w:hint="eastAsia"/>
        </w:rPr>
        <w:t>场所环境要素的安全生产等级评定细则</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52030908">
      <w:pPr>
        <w:pStyle w:val="36"/>
        <w:rPr>
          <w:rFonts w:hint="eastAsia"/>
        </w:rPr>
      </w:pPr>
      <w:r>
        <w:rPr>
          <w:rFonts w:hint="eastAsia" w:hAnsi="黑体"/>
        </w:rPr>
        <w:t>表C.1给出了场所环境要素的安全生产等级评定细则，总分50分。</w:t>
      </w:r>
    </w:p>
    <w:p w14:paraId="7A1C3DE2">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表C.1　</w:t>
      </w:r>
      <w:r>
        <w:rPr>
          <w:rFonts w:hint="eastAsia"/>
        </w:rPr>
        <w:t>场所环境要素的安全生产等级评定细则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87"/>
        <w:gridCol w:w="6794"/>
        <w:gridCol w:w="636"/>
        <w:gridCol w:w="633"/>
        <w:gridCol w:w="685"/>
        <w:gridCol w:w="3270"/>
        <w:gridCol w:w="633"/>
        <w:gridCol w:w="633"/>
        <w:gridCol w:w="1382"/>
      </w:tblGrid>
      <w:tr w14:paraId="62D187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87" w:type="dxa"/>
            <w:tcBorders>
              <w:top w:val="single" w:color="auto" w:sz="8" w:space="0"/>
              <w:bottom w:val="single" w:color="auto" w:sz="8" w:space="0"/>
            </w:tcBorders>
            <w:noWrap w:val="0"/>
            <w:vAlign w:val="center"/>
          </w:tcPr>
          <w:p w14:paraId="6137B6DA">
            <w:pPr>
              <w:adjustRightInd w:val="0"/>
              <w:snapToGrid w:val="0"/>
              <w:jc w:val="center"/>
              <w:rPr>
                <w:rFonts w:ascii="宋体" w:hAnsi="宋体"/>
                <w:sz w:val="18"/>
                <w:szCs w:val="18"/>
              </w:rPr>
            </w:pPr>
            <w:r>
              <w:rPr>
                <w:rFonts w:ascii="宋体" w:hAnsi="宋体"/>
                <w:bCs/>
                <w:sz w:val="18"/>
                <w:szCs w:val="18"/>
              </w:rPr>
              <w:t>序号</w:t>
            </w:r>
          </w:p>
        </w:tc>
        <w:tc>
          <w:tcPr>
            <w:tcW w:w="6794" w:type="dxa"/>
            <w:tcBorders>
              <w:top w:val="single" w:color="auto" w:sz="8" w:space="0"/>
              <w:bottom w:val="single" w:color="auto" w:sz="8" w:space="0"/>
            </w:tcBorders>
            <w:noWrap w:val="0"/>
            <w:vAlign w:val="center"/>
          </w:tcPr>
          <w:p w14:paraId="1FF3A9FA">
            <w:pPr>
              <w:adjustRightInd w:val="0"/>
              <w:snapToGrid w:val="0"/>
              <w:jc w:val="center"/>
              <w:rPr>
                <w:rFonts w:ascii="宋体" w:hAnsi="宋体"/>
                <w:sz w:val="18"/>
                <w:szCs w:val="18"/>
              </w:rPr>
            </w:pPr>
            <w:r>
              <w:rPr>
                <w:rFonts w:ascii="宋体" w:hAnsi="宋体"/>
                <w:bCs/>
                <w:sz w:val="18"/>
                <w:szCs w:val="18"/>
              </w:rPr>
              <w:t>评定内容</w:t>
            </w:r>
          </w:p>
        </w:tc>
        <w:tc>
          <w:tcPr>
            <w:tcW w:w="636" w:type="dxa"/>
            <w:tcBorders>
              <w:top w:val="single" w:color="auto" w:sz="8" w:space="0"/>
              <w:bottom w:val="single" w:color="auto" w:sz="8" w:space="0"/>
            </w:tcBorders>
            <w:noWrap w:val="0"/>
            <w:vAlign w:val="center"/>
          </w:tcPr>
          <w:p w14:paraId="2902859F">
            <w:pPr>
              <w:adjustRightInd w:val="0"/>
              <w:snapToGrid w:val="0"/>
              <w:jc w:val="center"/>
              <w:rPr>
                <w:rFonts w:ascii="宋体" w:hAnsi="宋体"/>
                <w:sz w:val="18"/>
                <w:szCs w:val="18"/>
              </w:rPr>
            </w:pPr>
            <w:r>
              <w:rPr>
                <w:rFonts w:ascii="宋体" w:hAnsi="宋体"/>
                <w:bCs/>
                <w:sz w:val="18"/>
                <w:szCs w:val="18"/>
              </w:rPr>
              <w:t>评定要素分值</w:t>
            </w:r>
          </w:p>
        </w:tc>
        <w:tc>
          <w:tcPr>
            <w:tcW w:w="633" w:type="dxa"/>
            <w:tcBorders>
              <w:top w:val="single" w:color="auto" w:sz="8" w:space="0"/>
              <w:bottom w:val="single" w:color="auto" w:sz="8" w:space="0"/>
            </w:tcBorders>
            <w:noWrap w:val="0"/>
            <w:vAlign w:val="center"/>
          </w:tcPr>
          <w:p w14:paraId="246B8F26">
            <w:pPr>
              <w:adjustRightInd w:val="0"/>
              <w:snapToGrid w:val="0"/>
              <w:jc w:val="center"/>
              <w:rPr>
                <w:rFonts w:ascii="宋体" w:hAnsi="宋体"/>
                <w:sz w:val="18"/>
                <w:szCs w:val="18"/>
              </w:rPr>
            </w:pPr>
            <w:r>
              <w:rPr>
                <w:rFonts w:ascii="宋体" w:hAnsi="宋体"/>
                <w:bCs/>
                <w:sz w:val="18"/>
                <w:szCs w:val="18"/>
              </w:rPr>
              <w:t>评定细项分值</w:t>
            </w:r>
          </w:p>
        </w:tc>
        <w:tc>
          <w:tcPr>
            <w:tcW w:w="685" w:type="dxa"/>
            <w:tcBorders>
              <w:top w:val="single" w:color="auto" w:sz="8" w:space="0"/>
              <w:bottom w:val="single" w:color="auto" w:sz="8" w:space="0"/>
            </w:tcBorders>
            <w:noWrap w:val="0"/>
            <w:vAlign w:val="center"/>
          </w:tcPr>
          <w:p w14:paraId="7CDD3F08">
            <w:pPr>
              <w:adjustRightInd w:val="0"/>
              <w:snapToGrid w:val="0"/>
              <w:jc w:val="center"/>
              <w:rPr>
                <w:rFonts w:ascii="宋体" w:hAnsi="宋体"/>
                <w:sz w:val="18"/>
                <w:szCs w:val="18"/>
              </w:rPr>
            </w:pPr>
            <w:r>
              <w:rPr>
                <w:rFonts w:ascii="宋体" w:hAnsi="宋体"/>
                <w:bCs/>
                <w:sz w:val="18"/>
                <w:szCs w:val="18"/>
              </w:rPr>
              <w:t>评定条款分值</w:t>
            </w:r>
          </w:p>
        </w:tc>
        <w:tc>
          <w:tcPr>
            <w:tcW w:w="3270" w:type="dxa"/>
            <w:tcBorders>
              <w:top w:val="single" w:color="auto" w:sz="8" w:space="0"/>
              <w:bottom w:val="single" w:color="auto" w:sz="8" w:space="0"/>
            </w:tcBorders>
            <w:noWrap w:val="0"/>
            <w:vAlign w:val="center"/>
          </w:tcPr>
          <w:p w14:paraId="6A490438">
            <w:pPr>
              <w:adjustRightInd w:val="0"/>
              <w:snapToGrid w:val="0"/>
              <w:jc w:val="center"/>
              <w:rPr>
                <w:rFonts w:ascii="宋体" w:hAnsi="宋体"/>
                <w:sz w:val="18"/>
                <w:szCs w:val="18"/>
              </w:rPr>
            </w:pPr>
            <w:r>
              <w:rPr>
                <w:rFonts w:ascii="宋体" w:hAnsi="宋体"/>
                <w:bCs/>
                <w:sz w:val="18"/>
                <w:szCs w:val="18"/>
              </w:rPr>
              <w:t>评分标准</w:t>
            </w:r>
          </w:p>
        </w:tc>
        <w:tc>
          <w:tcPr>
            <w:tcW w:w="633" w:type="dxa"/>
            <w:tcBorders>
              <w:top w:val="single" w:color="auto" w:sz="8" w:space="0"/>
              <w:bottom w:val="single" w:color="auto" w:sz="8" w:space="0"/>
            </w:tcBorders>
            <w:noWrap w:val="0"/>
            <w:vAlign w:val="center"/>
          </w:tcPr>
          <w:p w14:paraId="3F380491">
            <w:pPr>
              <w:adjustRightInd w:val="0"/>
              <w:snapToGrid w:val="0"/>
              <w:jc w:val="center"/>
              <w:rPr>
                <w:rFonts w:ascii="宋体" w:hAnsi="宋体"/>
                <w:sz w:val="18"/>
                <w:szCs w:val="18"/>
              </w:rPr>
            </w:pPr>
            <w:r>
              <w:rPr>
                <w:rFonts w:ascii="宋体" w:hAnsi="宋体"/>
                <w:bCs/>
                <w:sz w:val="18"/>
                <w:szCs w:val="18"/>
              </w:rPr>
              <w:t>评定得分</w:t>
            </w:r>
          </w:p>
        </w:tc>
        <w:tc>
          <w:tcPr>
            <w:tcW w:w="633" w:type="dxa"/>
            <w:tcBorders>
              <w:top w:val="single" w:color="auto" w:sz="8" w:space="0"/>
              <w:bottom w:val="single" w:color="auto" w:sz="8" w:space="0"/>
            </w:tcBorders>
            <w:noWrap w:val="0"/>
            <w:vAlign w:val="center"/>
          </w:tcPr>
          <w:p w14:paraId="2373C33D">
            <w:pPr>
              <w:adjustRightInd w:val="0"/>
              <w:snapToGrid w:val="0"/>
              <w:jc w:val="center"/>
              <w:rPr>
                <w:rFonts w:ascii="宋体" w:hAnsi="宋体"/>
                <w:sz w:val="18"/>
                <w:szCs w:val="18"/>
              </w:rPr>
            </w:pPr>
            <w:r>
              <w:rPr>
                <w:rFonts w:ascii="宋体" w:hAnsi="宋体"/>
                <w:bCs/>
                <w:sz w:val="18"/>
                <w:szCs w:val="18"/>
              </w:rPr>
              <w:t>扣分说明</w:t>
            </w:r>
          </w:p>
        </w:tc>
        <w:tc>
          <w:tcPr>
            <w:tcW w:w="1382" w:type="dxa"/>
            <w:tcBorders>
              <w:top w:val="single" w:color="auto" w:sz="8" w:space="0"/>
              <w:bottom w:val="single" w:color="auto" w:sz="8" w:space="0"/>
            </w:tcBorders>
            <w:noWrap w:val="0"/>
            <w:vAlign w:val="center"/>
          </w:tcPr>
          <w:p w14:paraId="56942A5C">
            <w:pPr>
              <w:adjustRightInd w:val="0"/>
              <w:snapToGrid w:val="0"/>
              <w:jc w:val="center"/>
              <w:rPr>
                <w:rFonts w:ascii="宋体" w:hAnsi="宋体"/>
                <w:sz w:val="18"/>
                <w:szCs w:val="18"/>
              </w:rPr>
            </w:pPr>
            <w:r>
              <w:rPr>
                <w:rFonts w:ascii="宋体" w:hAnsi="宋体"/>
                <w:bCs/>
                <w:sz w:val="18"/>
                <w:szCs w:val="18"/>
              </w:rPr>
              <w:t>对应条款编号</w:t>
            </w:r>
          </w:p>
        </w:tc>
      </w:tr>
      <w:tr w14:paraId="58EFD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87" w:type="dxa"/>
            <w:tcBorders>
              <w:top w:val="single" w:color="auto" w:sz="8" w:space="0"/>
            </w:tcBorders>
            <w:noWrap w:val="0"/>
            <w:vAlign w:val="center"/>
          </w:tcPr>
          <w:p w14:paraId="2AFFE0D6">
            <w:pPr>
              <w:adjustRightInd w:val="0"/>
              <w:snapToGrid w:val="0"/>
              <w:jc w:val="center"/>
              <w:rPr>
                <w:rFonts w:ascii="宋体" w:hAnsi="宋体"/>
                <w:bCs/>
                <w:sz w:val="18"/>
                <w:szCs w:val="18"/>
              </w:rPr>
            </w:pPr>
            <w:r>
              <w:rPr>
                <w:rFonts w:hint="eastAsia" w:ascii="宋体" w:hAnsi="宋体"/>
                <w:bCs/>
                <w:sz w:val="18"/>
                <w:szCs w:val="18"/>
              </w:rPr>
              <w:t>2</w:t>
            </w:r>
          </w:p>
        </w:tc>
        <w:tc>
          <w:tcPr>
            <w:tcW w:w="6794" w:type="dxa"/>
            <w:tcBorders>
              <w:top w:val="single" w:color="auto" w:sz="8" w:space="0"/>
            </w:tcBorders>
            <w:noWrap w:val="0"/>
            <w:vAlign w:val="center"/>
          </w:tcPr>
          <w:p w14:paraId="50BC3D02">
            <w:pPr>
              <w:adjustRightInd w:val="0"/>
              <w:snapToGrid w:val="0"/>
              <w:rPr>
                <w:rFonts w:ascii="宋体" w:hAnsi="宋体"/>
                <w:bCs/>
                <w:sz w:val="18"/>
                <w:szCs w:val="18"/>
              </w:rPr>
            </w:pPr>
            <w:r>
              <w:rPr>
                <w:rFonts w:hint="eastAsia" w:ascii="宋体" w:hAnsi="宋体"/>
                <w:bCs/>
                <w:sz w:val="18"/>
                <w:szCs w:val="18"/>
              </w:rPr>
              <w:t>场所环境</w:t>
            </w:r>
          </w:p>
        </w:tc>
        <w:tc>
          <w:tcPr>
            <w:tcW w:w="636" w:type="dxa"/>
            <w:tcBorders>
              <w:top w:val="single" w:color="auto" w:sz="8" w:space="0"/>
            </w:tcBorders>
            <w:noWrap w:val="0"/>
            <w:vAlign w:val="center"/>
          </w:tcPr>
          <w:p w14:paraId="242E3F5F">
            <w:pPr>
              <w:adjustRightInd w:val="0"/>
              <w:snapToGrid w:val="0"/>
              <w:jc w:val="center"/>
              <w:rPr>
                <w:rFonts w:ascii="宋体" w:hAnsi="宋体"/>
                <w:bCs/>
                <w:sz w:val="18"/>
                <w:szCs w:val="18"/>
              </w:rPr>
            </w:pPr>
            <w:r>
              <w:rPr>
                <w:rFonts w:hint="eastAsia" w:ascii="宋体" w:hAnsi="宋体"/>
                <w:bCs/>
                <w:sz w:val="18"/>
                <w:szCs w:val="18"/>
              </w:rPr>
              <w:t>50</w:t>
            </w:r>
          </w:p>
        </w:tc>
        <w:tc>
          <w:tcPr>
            <w:tcW w:w="633" w:type="dxa"/>
            <w:tcBorders>
              <w:top w:val="single" w:color="auto" w:sz="8" w:space="0"/>
            </w:tcBorders>
            <w:noWrap w:val="0"/>
            <w:vAlign w:val="center"/>
          </w:tcPr>
          <w:p w14:paraId="7A077BFA">
            <w:pPr>
              <w:adjustRightInd w:val="0"/>
              <w:snapToGrid w:val="0"/>
              <w:jc w:val="center"/>
              <w:rPr>
                <w:rFonts w:ascii="宋体" w:hAnsi="宋体"/>
                <w:bCs/>
                <w:sz w:val="18"/>
                <w:szCs w:val="18"/>
              </w:rPr>
            </w:pPr>
          </w:p>
        </w:tc>
        <w:tc>
          <w:tcPr>
            <w:tcW w:w="685" w:type="dxa"/>
            <w:tcBorders>
              <w:top w:val="single" w:color="auto" w:sz="8" w:space="0"/>
            </w:tcBorders>
            <w:noWrap w:val="0"/>
            <w:vAlign w:val="center"/>
          </w:tcPr>
          <w:p w14:paraId="1DF359BC">
            <w:pPr>
              <w:adjustRightInd w:val="0"/>
              <w:snapToGrid w:val="0"/>
              <w:jc w:val="center"/>
              <w:rPr>
                <w:rFonts w:ascii="宋体" w:hAnsi="宋体"/>
                <w:bCs/>
                <w:sz w:val="18"/>
                <w:szCs w:val="18"/>
              </w:rPr>
            </w:pPr>
          </w:p>
        </w:tc>
        <w:tc>
          <w:tcPr>
            <w:tcW w:w="3270" w:type="dxa"/>
            <w:tcBorders>
              <w:top w:val="single" w:color="auto" w:sz="8" w:space="0"/>
            </w:tcBorders>
            <w:noWrap w:val="0"/>
            <w:vAlign w:val="center"/>
          </w:tcPr>
          <w:p w14:paraId="17BE6BB4">
            <w:pPr>
              <w:adjustRightInd w:val="0"/>
              <w:snapToGrid w:val="0"/>
              <w:jc w:val="center"/>
              <w:rPr>
                <w:rFonts w:ascii="宋体" w:hAnsi="宋体"/>
                <w:bCs/>
                <w:sz w:val="18"/>
                <w:szCs w:val="18"/>
              </w:rPr>
            </w:pPr>
          </w:p>
        </w:tc>
        <w:tc>
          <w:tcPr>
            <w:tcW w:w="633" w:type="dxa"/>
            <w:tcBorders>
              <w:top w:val="single" w:color="auto" w:sz="8" w:space="0"/>
            </w:tcBorders>
            <w:noWrap w:val="0"/>
            <w:vAlign w:val="center"/>
          </w:tcPr>
          <w:p w14:paraId="11A87141">
            <w:pPr>
              <w:adjustRightInd w:val="0"/>
              <w:snapToGrid w:val="0"/>
              <w:jc w:val="center"/>
              <w:rPr>
                <w:rFonts w:ascii="宋体" w:hAnsi="宋体"/>
                <w:bCs/>
                <w:sz w:val="18"/>
                <w:szCs w:val="18"/>
              </w:rPr>
            </w:pPr>
          </w:p>
        </w:tc>
        <w:tc>
          <w:tcPr>
            <w:tcW w:w="633" w:type="dxa"/>
            <w:tcBorders>
              <w:top w:val="single" w:color="auto" w:sz="8" w:space="0"/>
            </w:tcBorders>
            <w:noWrap w:val="0"/>
            <w:vAlign w:val="center"/>
          </w:tcPr>
          <w:p w14:paraId="0816FAB7">
            <w:pPr>
              <w:adjustRightInd w:val="0"/>
              <w:snapToGrid w:val="0"/>
              <w:jc w:val="center"/>
              <w:rPr>
                <w:rFonts w:ascii="宋体" w:hAnsi="宋体"/>
                <w:bCs/>
                <w:sz w:val="18"/>
                <w:szCs w:val="18"/>
              </w:rPr>
            </w:pPr>
          </w:p>
        </w:tc>
        <w:tc>
          <w:tcPr>
            <w:tcW w:w="1382" w:type="dxa"/>
            <w:tcBorders>
              <w:top w:val="single" w:color="auto" w:sz="8" w:space="0"/>
            </w:tcBorders>
            <w:noWrap w:val="0"/>
            <w:vAlign w:val="center"/>
          </w:tcPr>
          <w:p w14:paraId="207215FC">
            <w:pPr>
              <w:adjustRightInd w:val="0"/>
              <w:snapToGrid w:val="0"/>
              <w:jc w:val="center"/>
              <w:rPr>
                <w:rFonts w:ascii="宋体" w:hAnsi="宋体"/>
                <w:bCs/>
                <w:sz w:val="18"/>
                <w:szCs w:val="18"/>
              </w:rPr>
            </w:pPr>
            <w:r>
              <w:rPr>
                <w:rFonts w:hint="eastAsia" w:ascii="宋体" w:hAnsi="宋体"/>
                <w:sz w:val="18"/>
                <w:szCs w:val="18"/>
                <w:lang w:eastAsia="zh-CN"/>
              </w:rPr>
              <w:t>4.</w:t>
            </w:r>
            <w:r>
              <w:rPr>
                <w:rFonts w:hint="eastAsia" w:ascii="宋体" w:hAnsi="宋体"/>
                <w:sz w:val="18"/>
                <w:szCs w:val="18"/>
              </w:rPr>
              <w:t>2</w:t>
            </w:r>
          </w:p>
        </w:tc>
      </w:tr>
      <w:tr w14:paraId="621E7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87" w:type="dxa"/>
            <w:noWrap w:val="0"/>
            <w:vAlign w:val="center"/>
          </w:tcPr>
          <w:p w14:paraId="6DCF4AEF">
            <w:pPr>
              <w:adjustRightInd w:val="0"/>
              <w:snapToGrid w:val="0"/>
              <w:jc w:val="center"/>
              <w:rPr>
                <w:rFonts w:ascii="宋体" w:hAnsi="宋体"/>
                <w:bCs/>
                <w:sz w:val="18"/>
                <w:szCs w:val="18"/>
              </w:rPr>
            </w:pPr>
            <w:r>
              <w:rPr>
                <w:rFonts w:hint="eastAsia" w:ascii="宋体" w:hAnsi="宋体"/>
                <w:bCs/>
                <w:sz w:val="18"/>
                <w:szCs w:val="18"/>
              </w:rPr>
              <w:t>2.1</w:t>
            </w:r>
          </w:p>
        </w:tc>
        <w:tc>
          <w:tcPr>
            <w:tcW w:w="6794" w:type="dxa"/>
            <w:noWrap w:val="0"/>
            <w:vAlign w:val="center"/>
          </w:tcPr>
          <w:p w14:paraId="58E61B6F">
            <w:pPr>
              <w:adjustRightInd w:val="0"/>
              <w:snapToGrid w:val="0"/>
              <w:rPr>
                <w:rFonts w:ascii="宋体" w:hAnsi="宋体"/>
                <w:bCs/>
                <w:sz w:val="18"/>
                <w:szCs w:val="18"/>
              </w:rPr>
            </w:pPr>
            <w:r>
              <w:rPr>
                <w:rFonts w:hint="eastAsia" w:ascii="宋体" w:hAnsi="宋体"/>
                <w:bCs/>
                <w:sz w:val="18"/>
                <w:szCs w:val="18"/>
              </w:rPr>
              <w:t>建筑物</w:t>
            </w:r>
          </w:p>
        </w:tc>
        <w:tc>
          <w:tcPr>
            <w:tcW w:w="636" w:type="dxa"/>
            <w:noWrap w:val="0"/>
            <w:vAlign w:val="center"/>
          </w:tcPr>
          <w:p w14:paraId="4A1AECAB">
            <w:pPr>
              <w:adjustRightInd w:val="0"/>
              <w:snapToGrid w:val="0"/>
              <w:jc w:val="center"/>
              <w:rPr>
                <w:rFonts w:ascii="宋体" w:hAnsi="宋体"/>
                <w:bCs/>
                <w:sz w:val="18"/>
                <w:szCs w:val="18"/>
              </w:rPr>
            </w:pPr>
          </w:p>
        </w:tc>
        <w:tc>
          <w:tcPr>
            <w:tcW w:w="633" w:type="dxa"/>
            <w:noWrap w:val="0"/>
            <w:vAlign w:val="center"/>
          </w:tcPr>
          <w:p w14:paraId="005D7C3A">
            <w:pPr>
              <w:adjustRightInd w:val="0"/>
              <w:snapToGrid w:val="0"/>
              <w:jc w:val="center"/>
              <w:rPr>
                <w:rFonts w:hint="default" w:ascii="宋体" w:hAnsi="宋体" w:eastAsia="宋体"/>
                <w:bCs/>
                <w:sz w:val="18"/>
                <w:szCs w:val="18"/>
                <w:lang w:val="en-US" w:eastAsia="zh-CN"/>
              </w:rPr>
            </w:pPr>
            <w:r>
              <w:rPr>
                <w:rFonts w:hint="eastAsia" w:ascii="宋体" w:hAnsi="宋体"/>
                <w:bCs/>
                <w:sz w:val="18"/>
                <w:szCs w:val="18"/>
                <w:lang w:val="en-US" w:eastAsia="zh-CN"/>
              </w:rPr>
              <w:t>10</w:t>
            </w:r>
          </w:p>
        </w:tc>
        <w:tc>
          <w:tcPr>
            <w:tcW w:w="685" w:type="dxa"/>
            <w:noWrap w:val="0"/>
            <w:vAlign w:val="center"/>
          </w:tcPr>
          <w:p w14:paraId="477EC41D">
            <w:pPr>
              <w:adjustRightInd w:val="0"/>
              <w:snapToGrid w:val="0"/>
              <w:jc w:val="center"/>
              <w:rPr>
                <w:rFonts w:ascii="宋体" w:hAnsi="宋体"/>
                <w:bCs/>
                <w:sz w:val="18"/>
                <w:szCs w:val="18"/>
              </w:rPr>
            </w:pPr>
          </w:p>
        </w:tc>
        <w:tc>
          <w:tcPr>
            <w:tcW w:w="3270" w:type="dxa"/>
            <w:noWrap w:val="0"/>
            <w:vAlign w:val="center"/>
          </w:tcPr>
          <w:p w14:paraId="26C02853">
            <w:pPr>
              <w:adjustRightInd w:val="0"/>
              <w:snapToGrid w:val="0"/>
              <w:jc w:val="center"/>
              <w:rPr>
                <w:rFonts w:ascii="宋体" w:hAnsi="宋体"/>
                <w:bCs/>
                <w:sz w:val="18"/>
                <w:szCs w:val="18"/>
              </w:rPr>
            </w:pPr>
          </w:p>
        </w:tc>
        <w:tc>
          <w:tcPr>
            <w:tcW w:w="633" w:type="dxa"/>
            <w:noWrap w:val="0"/>
            <w:vAlign w:val="center"/>
          </w:tcPr>
          <w:p w14:paraId="6100FA1E">
            <w:pPr>
              <w:adjustRightInd w:val="0"/>
              <w:snapToGrid w:val="0"/>
              <w:jc w:val="center"/>
              <w:rPr>
                <w:rFonts w:ascii="宋体" w:hAnsi="宋体"/>
                <w:bCs/>
                <w:sz w:val="18"/>
                <w:szCs w:val="18"/>
              </w:rPr>
            </w:pPr>
          </w:p>
        </w:tc>
        <w:tc>
          <w:tcPr>
            <w:tcW w:w="633" w:type="dxa"/>
            <w:noWrap w:val="0"/>
            <w:vAlign w:val="center"/>
          </w:tcPr>
          <w:p w14:paraId="73893A04">
            <w:pPr>
              <w:adjustRightInd w:val="0"/>
              <w:snapToGrid w:val="0"/>
              <w:jc w:val="center"/>
              <w:rPr>
                <w:rFonts w:ascii="宋体" w:hAnsi="宋体"/>
                <w:bCs/>
                <w:sz w:val="18"/>
                <w:szCs w:val="18"/>
              </w:rPr>
            </w:pPr>
          </w:p>
        </w:tc>
        <w:tc>
          <w:tcPr>
            <w:tcW w:w="1382" w:type="dxa"/>
            <w:noWrap w:val="0"/>
            <w:vAlign w:val="center"/>
          </w:tcPr>
          <w:p w14:paraId="753541F6">
            <w:pPr>
              <w:adjustRightInd w:val="0"/>
              <w:snapToGrid w:val="0"/>
              <w:jc w:val="center"/>
              <w:rPr>
                <w:rFonts w:ascii="宋体" w:hAnsi="宋体"/>
                <w:bCs/>
                <w:sz w:val="18"/>
                <w:szCs w:val="18"/>
              </w:rPr>
            </w:pPr>
            <w:r>
              <w:rPr>
                <w:rFonts w:hint="eastAsia" w:ascii="宋体" w:hAnsi="宋体"/>
                <w:sz w:val="18"/>
                <w:szCs w:val="18"/>
                <w:lang w:eastAsia="zh-CN"/>
              </w:rPr>
              <w:t>4.</w:t>
            </w:r>
            <w:r>
              <w:rPr>
                <w:rFonts w:hint="eastAsia" w:ascii="宋体" w:hAnsi="宋体"/>
                <w:sz w:val="18"/>
                <w:szCs w:val="18"/>
              </w:rPr>
              <w:t>2.1</w:t>
            </w:r>
          </w:p>
        </w:tc>
      </w:tr>
      <w:tr w14:paraId="2D2D3B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87" w:type="dxa"/>
            <w:noWrap w:val="0"/>
            <w:vAlign w:val="center"/>
          </w:tcPr>
          <w:p w14:paraId="1E57676D">
            <w:pPr>
              <w:adjustRightInd w:val="0"/>
              <w:snapToGrid w:val="0"/>
              <w:jc w:val="center"/>
              <w:rPr>
                <w:rFonts w:ascii="宋体" w:hAnsi="宋体"/>
                <w:bCs/>
                <w:sz w:val="18"/>
                <w:szCs w:val="18"/>
              </w:rPr>
            </w:pPr>
            <w:r>
              <w:rPr>
                <w:rFonts w:hint="eastAsia" w:ascii="宋体" w:hAnsi="宋体"/>
                <w:bCs/>
                <w:sz w:val="18"/>
                <w:szCs w:val="18"/>
              </w:rPr>
              <w:t>2.1.1</w:t>
            </w:r>
          </w:p>
        </w:tc>
        <w:tc>
          <w:tcPr>
            <w:tcW w:w="6794" w:type="dxa"/>
            <w:noWrap w:val="0"/>
            <w:vAlign w:val="center"/>
          </w:tcPr>
          <w:p w14:paraId="18F42D03">
            <w:pPr>
              <w:adjustRightInd w:val="0"/>
              <w:snapToGrid w:val="0"/>
              <w:rPr>
                <w:rFonts w:ascii="宋体" w:hAnsi="宋体"/>
                <w:sz w:val="18"/>
                <w:szCs w:val="18"/>
              </w:rPr>
            </w:pPr>
            <w:r>
              <w:rPr>
                <w:rFonts w:hint="eastAsia"/>
              </w:rPr>
              <w:t>★</w:t>
            </w:r>
            <w:r>
              <w:rPr>
                <w:rFonts w:hint="eastAsia" w:ascii="宋体" w:hAnsi="宋体"/>
                <w:bCs/>
                <w:sz w:val="18"/>
                <w:szCs w:val="18"/>
              </w:rPr>
              <w:t>不应有违法建构筑物，如发现建构筑物有安装不牢固、修饰、损坏等现象，应立即采取隔离等措施</w:t>
            </w:r>
            <w:r>
              <w:rPr>
                <w:rFonts w:hint="eastAsia" w:ascii="宋体" w:hAnsi="宋体"/>
                <w:bCs/>
                <w:sz w:val="18"/>
                <w:szCs w:val="18"/>
                <w:lang w:eastAsia="zh-CN"/>
              </w:rPr>
              <w:t>。</w:t>
            </w:r>
          </w:p>
        </w:tc>
        <w:tc>
          <w:tcPr>
            <w:tcW w:w="636" w:type="dxa"/>
            <w:noWrap w:val="0"/>
            <w:vAlign w:val="center"/>
          </w:tcPr>
          <w:p w14:paraId="3D8A1A6B">
            <w:pPr>
              <w:adjustRightInd w:val="0"/>
              <w:snapToGrid w:val="0"/>
              <w:jc w:val="center"/>
              <w:rPr>
                <w:rFonts w:ascii="宋体" w:hAnsi="宋体"/>
                <w:bCs/>
                <w:sz w:val="18"/>
                <w:szCs w:val="18"/>
              </w:rPr>
            </w:pPr>
          </w:p>
        </w:tc>
        <w:tc>
          <w:tcPr>
            <w:tcW w:w="633" w:type="dxa"/>
            <w:noWrap w:val="0"/>
            <w:vAlign w:val="center"/>
          </w:tcPr>
          <w:p w14:paraId="2A025DCA">
            <w:pPr>
              <w:adjustRightInd w:val="0"/>
              <w:snapToGrid w:val="0"/>
              <w:jc w:val="center"/>
              <w:rPr>
                <w:rFonts w:ascii="宋体" w:hAnsi="宋体"/>
                <w:bCs/>
                <w:sz w:val="18"/>
                <w:szCs w:val="18"/>
              </w:rPr>
            </w:pPr>
          </w:p>
        </w:tc>
        <w:tc>
          <w:tcPr>
            <w:tcW w:w="685" w:type="dxa"/>
            <w:noWrap w:val="0"/>
            <w:vAlign w:val="center"/>
          </w:tcPr>
          <w:p w14:paraId="77D640A1">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3270" w:type="dxa"/>
            <w:noWrap w:val="0"/>
            <w:vAlign w:val="center"/>
          </w:tcPr>
          <w:p w14:paraId="6FD55B7E">
            <w:pPr>
              <w:adjustRightInd w:val="0"/>
              <w:snapToGrid w:val="0"/>
              <w:rPr>
                <w:rFonts w:hint="eastAsia" w:ascii="宋体" w:hAnsi="宋体"/>
                <w:sz w:val="18"/>
              </w:rPr>
            </w:pPr>
            <w:r>
              <w:rPr>
                <w:rFonts w:hint="eastAsia" w:ascii="宋体" w:hAnsi="宋体"/>
                <w:bCs/>
                <w:sz w:val="18"/>
                <w:szCs w:val="18"/>
              </w:rPr>
              <w:t>1）</w:t>
            </w:r>
            <w:r>
              <w:rPr>
                <w:rFonts w:hint="eastAsia" w:ascii="宋体" w:hAnsi="宋体"/>
                <w:bCs/>
                <w:sz w:val="18"/>
                <w:szCs w:val="18"/>
                <w:lang w:val="en-US" w:eastAsia="zh-CN"/>
              </w:rPr>
              <w:t>有</w:t>
            </w:r>
            <w:r>
              <w:rPr>
                <w:rFonts w:hint="eastAsia" w:ascii="宋体" w:hAnsi="宋体"/>
                <w:bCs/>
                <w:sz w:val="18"/>
                <w:szCs w:val="18"/>
              </w:rPr>
              <w:t>违法建构筑物的，“场所环境”</w:t>
            </w:r>
            <w:r>
              <w:rPr>
                <w:rFonts w:hint="eastAsia" w:ascii="宋体" w:hAnsi="宋体"/>
                <w:sz w:val="18"/>
              </w:rPr>
              <w:t>评定要素不得分；</w:t>
            </w:r>
          </w:p>
          <w:p w14:paraId="00600394">
            <w:pPr>
              <w:jc w:val="left"/>
              <w:rPr>
                <w:rFonts w:ascii="宋体" w:hAnsi="宋体"/>
                <w:sz w:val="18"/>
                <w:szCs w:val="18"/>
              </w:rPr>
            </w:pPr>
            <w:r>
              <w:rPr>
                <w:rFonts w:hint="eastAsia" w:ascii="宋体" w:hAnsi="宋体"/>
                <w:kern w:val="0"/>
                <w:sz w:val="18"/>
                <w:szCs w:val="18"/>
              </w:rPr>
              <w:t>2）其他一处不符合扣</w:t>
            </w:r>
            <w:r>
              <w:rPr>
                <w:rFonts w:hint="eastAsia" w:ascii="宋体" w:hAnsi="宋体"/>
                <w:kern w:val="0"/>
                <w:sz w:val="18"/>
                <w:szCs w:val="18"/>
                <w:lang w:val="en-US" w:eastAsia="zh-CN"/>
              </w:rPr>
              <w:t>1</w:t>
            </w:r>
            <w:r>
              <w:rPr>
                <w:rFonts w:hint="eastAsia" w:ascii="宋体" w:hAnsi="宋体"/>
                <w:kern w:val="0"/>
                <w:sz w:val="18"/>
                <w:szCs w:val="18"/>
              </w:rPr>
              <w:t>分。</w:t>
            </w:r>
          </w:p>
        </w:tc>
        <w:tc>
          <w:tcPr>
            <w:tcW w:w="633" w:type="dxa"/>
            <w:noWrap w:val="0"/>
            <w:vAlign w:val="center"/>
          </w:tcPr>
          <w:p w14:paraId="3A741BB7">
            <w:pPr>
              <w:adjustRightInd w:val="0"/>
              <w:snapToGrid w:val="0"/>
              <w:jc w:val="center"/>
              <w:rPr>
                <w:rFonts w:ascii="宋体" w:hAnsi="宋体"/>
                <w:bCs/>
                <w:sz w:val="18"/>
                <w:szCs w:val="18"/>
              </w:rPr>
            </w:pPr>
          </w:p>
        </w:tc>
        <w:tc>
          <w:tcPr>
            <w:tcW w:w="633" w:type="dxa"/>
            <w:noWrap w:val="0"/>
            <w:vAlign w:val="center"/>
          </w:tcPr>
          <w:p w14:paraId="70C54DA6">
            <w:pPr>
              <w:adjustRightInd w:val="0"/>
              <w:snapToGrid w:val="0"/>
              <w:jc w:val="center"/>
              <w:rPr>
                <w:rFonts w:ascii="宋体" w:hAnsi="宋体"/>
                <w:bCs/>
                <w:sz w:val="18"/>
                <w:szCs w:val="18"/>
              </w:rPr>
            </w:pPr>
          </w:p>
        </w:tc>
        <w:tc>
          <w:tcPr>
            <w:tcW w:w="1382" w:type="dxa"/>
            <w:noWrap w:val="0"/>
            <w:vAlign w:val="center"/>
          </w:tcPr>
          <w:p w14:paraId="4A247996">
            <w:pPr>
              <w:adjustRightInd w:val="0"/>
              <w:snapToGrid w:val="0"/>
              <w:jc w:val="center"/>
              <w:rPr>
                <w:rFonts w:ascii="宋体" w:hAnsi="宋体"/>
                <w:bCs/>
                <w:sz w:val="18"/>
                <w:szCs w:val="18"/>
              </w:rPr>
            </w:pPr>
            <w:r>
              <w:rPr>
                <w:rFonts w:hint="eastAsia" w:ascii="宋体" w:hAnsi="宋体"/>
                <w:sz w:val="18"/>
                <w:szCs w:val="18"/>
                <w:lang w:eastAsia="zh-CN"/>
              </w:rPr>
              <w:t>4.</w:t>
            </w:r>
            <w:r>
              <w:rPr>
                <w:rFonts w:ascii="宋体" w:hAnsi="宋体"/>
                <w:sz w:val="18"/>
                <w:szCs w:val="18"/>
              </w:rPr>
              <w:t>2.1.1</w:t>
            </w:r>
          </w:p>
        </w:tc>
      </w:tr>
      <w:tr w14:paraId="6EC9DE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87" w:type="dxa"/>
            <w:noWrap w:val="0"/>
            <w:vAlign w:val="center"/>
          </w:tcPr>
          <w:p w14:paraId="74CFC14A">
            <w:pPr>
              <w:adjustRightInd w:val="0"/>
              <w:snapToGrid w:val="0"/>
              <w:jc w:val="center"/>
              <w:rPr>
                <w:rFonts w:hint="default" w:ascii="宋体" w:hAnsi="宋体" w:eastAsia="宋体"/>
                <w:bCs/>
                <w:sz w:val="18"/>
                <w:szCs w:val="18"/>
                <w:lang w:val="en-US" w:eastAsia="zh-CN"/>
              </w:rPr>
            </w:pPr>
            <w:r>
              <w:rPr>
                <w:rFonts w:hint="eastAsia" w:ascii="宋体" w:hAnsi="宋体"/>
                <w:bCs/>
                <w:sz w:val="18"/>
                <w:szCs w:val="18"/>
                <w:lang w:val="en-US" w:eastAsia="zh-CN"/>
              </w:rPr>
              <w:t>2.1.2</w:t>
            </w:r>
          </w:p>
        </w:tc>
        <w:tc>
          <w:tcPr>
            <w:tcW w:w="6794" w:type="dxa"/>
            <w:noWrap w:val="0"/>
            <w:vAlign w:val="center"/>
          </w:tcPr>
          <w:p w14:paraId="18D16F08">
            <w:pPr>
              <w:adjustRightInd w:val="0"/>
              <w:snapToGrid w:val="0"/>
              <w:rPr>
                <w:rFonts w:hint="default" w:ascii="宋体" w:hAnsi="宋体" w:eastAsia="宋体"/>
                <w:bCs/>
                <w:sz w:val="18"/>
                <w:szCs w:val="18"/>
                <w:lang w:val="en-US" w:eastAsia="zh-CN"/>
              </w:rPr>
            </w:pPr>
            <w:r>
              <w:rPr>
                <w:rFonts w:hint="eastAsia" w:ascii="宋体" w:hAnsi="宋体"/>
                <w:bCs/>
                <w:sz w:val="18"/>
                <w:szCs w:val="18"/>
              </w:rPr>
              <w:t>景区内燃香场所设置应符合</w:t>
            </w:r>
            <w:r>
              <w:rPr>
                <w:rFonts w:hint="eastAsia" w:ascii="宋体" w:hAnsi="宋体"/>
                <w:bCs/>
                <w:sz w:val="18"/>
                <w:szCs w:val="18"/>
                <w:lang w:val="en-US" w:eastAsia="zh-CN"/>
              </w:rPr>
              <w:t>下列要求：</w:t>
            </w:r>
          </w:p>
          <w:p w14:paraId="136AFB98">
            <w:pPr>
              <w:adjustRightInd w:val="0"/>
              <w:snapToGrid w:val="0"/>
              <w:rPr>
                <w:rFonts w:hint="eastAsia" w:ascii="宋体" w:hAnsi="宋体"/>
                <w:bCs/>
                <w:sz w:val="18"/>
                <w:szCs w:val="18"/>
              </w:rPr>
            </w:pPr>
            <w:r>
              <w:rPr>
                <w:rFonts w:ascii="宋体" w:hAnsi="宋体"/>
                <w:bCs/>
                <w:sz w:val="18"/>
                <w:szCs w:val="18"/>
              </w:rPr>
              <w:t>a</w:t>
            </w:r>
            <w:r>
              <w:rPr>
                <w:rFonts w:hint="eastAsia" w:ascii="宋体" w:hAnsi="宋体"/>
                <w:bCs/>
                <w:sz w:val="18"/>
                <w:szCs w:val="18"/>
              </w:rPr>
              <w:t>）焚香炉、亭等燃香点应设置在殿堂外较为空旷的地带；</w:t>
            </w:r>
          </w:p>
          <w:p w14:paraId="1707CEEA">
            <w:pPr>
              <w:adjustRightInd w:val="0"/>
              <w:snapToGrid w:val="0"/>
              <w:rPr>
                <w:rFonts w:hint="eastAsia" w:ascii="宋体" w:hAnsi="宋体"/>
                <w:bCs/>
                <w:sz w:val="18"/>
                <w:szCs w:val="18"/>
              </w:rPr>
            </w:pPr>
            <w:r>
              <w:rPr>
                <w:rFonts w:hint="eastAsia" w:ascii="宋体" w:hAnsi="宋体"/>
                <w:bCs/>
                <w:sz w:val="18"/>
                <w:szCs w:val="18"/>
                <w:lang w:val="en-US" w:eastAsia="zh-CN"/>
              </w:rPr>
              <w:t>b</w:t>
            </w:r>
            <w:r>
              <w:rPr>
                <w:rFonts w:hint="eastAsia" w:ascii="宋体" w:hAnsi="宋体"/>
                <w:bCs/>
                <w:sz w:val="18"/>
                <w:szCs w:val="18"/>
              </w:rPr>
              <w:t>）燃香点的设置应与储存点相分离；</w:t>
            </w:r>
          </w:p>
          <w:p w14:paraId="78AB4062">
            <w:pPr>
              <w:adjustRightInd w:val="0"/>
              <w:snapToGrid w:val="0"/>
              <w:rPr>
                <w:rFonts w:hint="eastAsia" w:ascii="宋体" w:hAnsi="宋体"/>
                <w:bCs/>
                <w:sz w:val="18"/>
                <w:szCs w:val="18"/>
              </w:rPr>
            </w:pPr>
            <w:r>
              <w:rPr>
                <w:rFonts w:hint="eastAsia" w:ascii="宋体" w:hAnsi="宋体"/>
                <w:bCs/>
                <w:sz w:val="18"/>
                <w:szCs w:val="18"/>
                <w:lang w:val="en-US" w:eastAsia="zh-CN"/>
              </w:rPr>
              <w:t>c</w:t>
            </w:r>
            <w:r>
              <w:rPr>
                <w:rFonts w:hint="eastAsia" w:ascii="宋体" w:hAnsi="宋体"/>
                <w:bCs/>
                <w:sz w:val="18"/>
                <w:szCs w:val="18"/>
              </w:rPr>
              <w:t>）应设置燃香安全、防火等警示标志，配备相应的消防设施和器材；</w:t>
            </w:r>
          </w:p>
          <w:p w14:paraId="71F2F40D">
            <w:pPr>
              <w:adjustRightInd w:val="0"/>
              <w:snapToGrid w:val="0"/>
              <w:rPr>
                <w:rFonts w:hint="eastAsia" w:ascii="宋体" w:hAnsi="宋体"/>
                <w:bCs/>
                <w:sz w:val="18"/>
                <w:szCs w:val="18"/>
              </w:rPr>
            </w:pPr>
            <w:r>
              <w:rPr>
                <w:rFonts w:hint="eastAsia" w:ascii="宋体" w:hAnsi="宋体"/>
                <w:bCs/>
                <w:sz w:val="18"/>
                <w:szCs w:val="18"/>
                <w:lang w:val="en-US" w:eastAsia="zh-CN"/>
              </w:rPr>
              <w:t>d</w:t>
            </w:r>
            <w:r>
              <w:rPr>
                <w:rFonts w:hint="eastAsia" w:ascii="宋体" w:hAnsi="宋体"/>
                <w:bCs/>
                <w:sz w:val="18"/>
                <w:szCs w:val="18"/>
              </w:rPr>
              <w:t>）当风力达到或超过四级时或天气持续干燥，应停止燃香活动；</w:t>
            </w:r>
          </w:p>
        </w:tc>
        <w:tc>
          <w:tcPr>
            <w:tcW w:w="636" w:type="dxa"/>
            <w:noWrap w:val="0"/>
            <w:vAlign w:val="center"/>
          </w:tcPr>
          <w:p w14:paraId="3B02453E">
            <w:pPr>
              <w:adjustRightInd w:val="0"/>
              <w:snapToGrid w:val="0"/>
              <w:jc w:val="center"/>
              <w:rPr>
                <w:rFonts w:ascii="宋体" w:hAnsi="宋体"/>
                <w:bCs/>
                <w:sz w:val="18"/>
                <w:szCs w:val="18"/>
              </w:rPr>
            </w:pPr>
          </w:p>
        </w:tc>
        <w:tc>
          <w:tcPr>
            <w:tcW w:w="633" w:type="dxa"/>
            <w:noWrap w:val="0"/>
            <w:vAlign w:val="center"/>
          </w:tcPr>
          <w:p w14:paraId="00615915">
            <w:pPr>
              <w:adjustRightInd w:val="0"/>
              <w:snapToGrid w:val="0"/>
              <w:jc w:val="center"/>
              <w:rPr>
                <w:rFonts w:ascii="宋体" w:hAnsi="宋体"/>
                <w:bCs/>
                <w:sz w:val="18"/>
                <w:szCs w:val="18"/>
              </w:rPr>
            </w:pPr>
          </w:p>
        </w:tc>
        <w:tc>
          <w:tcPr>
            <w:tcW w:w="685" w:type="dxa"/>
            <w:noWrap w:val="0"/>
            <w:vAlign w:val="center"/>
          </w:tcPr>
          <w:p w14:paraId="078E9EAF">
            <w:pPr>
              <w:adjustRightInd w:val="0"/>
              <w:snapToGrid w:val="0"/>
              <w:jc w:val="center"/>
              <w:rPr>
                <w:rFonts w:hint="default" w:ascii="宋体" w:hAnsi="宋体"/>
                <w:bCs/>
                <w:sz w:val="18"/>
                <w:szCs w:val="18"/>
                <w:lang w:val="en-US" w:eastAsia="zh-CN"/>
              </w:rPr>
            </w:pPr>
            <w:r>
              <w:rPr>
                <w:rFonts w:hint="eastAsia" w:ascii="宋体" w:hAnsi="宋体"/>
                <w:bCs/>
                <w:sz w:val="18"/>
                <w:szCs w:val="18"/>
                <w:lang w:val="en-US" w:eastAsia="zh-CN"/>
              </w:rPr>
              <w:t>4</w:t>
            </w:r>
          </w:p>
        </w:tc>
        <w:tc>
          <w:tcPr>
            <w:tcW w:w="3270" w:type="dxa"/>
            <w:noWrap w:val="0"/>
            <w:vAlign w:val="center"/>
          </w:tcPr>
          <w:p w14:paraId="695576C0">
            <w:pPr>
              <w:jc w:val="left"/>
              <w:rPr>
                <w:rFonts w:hint="eastAsia" w:ascii="宋体" w:hAnsi="宋体"/>
                <w:kern w:val="0"/>
                <w:sz w:val="18"/>
                <w:szCs w:val="18"/>
              </w:rPr>
            </w:pPr>
            <w:r>
              <w:rPr>
                <w:rFonts w:hint="eastAsia" w:ascii="宋体" w:hAnsi="宋体"/>
                <w:kern w:val="0"/>
                <w:sz w:val="18"/>
                <w:szCs w:val="18"/>
              </w:rPr>
              <w:t>一处不符合扣</w:t>
            </w:r>
            <w:r>
              <w:rPr>
                <w:rFonts w:hint="eastAsia" w:ascii="宋体" w:hAnsi="宋体"/>
                <w:kern w:val="0"/>
                <w:sz w:val="18"/>
                <w:szCs w:val="18"/>
                <w:lang w:val="en-US" w:eastAsia="zh-CN"/>
              </w:rPr>
              <w:t>2</w:t>
            </w:r>
            <w:r>
              <w:rPr>
                <w:rFonts w:hint="eastAsia" w:ascii="宋体" w:hAnsi="宋体"/>
                <w:kern w:val="0"/>
                <w:sz w:val="18"/>
                <w:szCs w:val="18"/>
              </w:rPr>
              <w:t>分。</w:t>
            </w:r>
          </w:p>
        </w:tc>
        <w:tc>
          <w:tcPr>
            <w:tcW w:w="633" w:type="dxa"/>
            <w:noWrap w:val="0"/>
            <w:vAlign w:val="center"/>
          </w:tcPr>
          <w:p w14:paraId="0C4D2E4A">
            <w:pPr>
              <w:adjustRightInd w:val="0"/>
              <w:snapToGrid w:val="0"/>
              <w:jc w:val="center"/>
              <w:rPr>
                <w:rFonts w:ascii="宋体" w:hAnsi="宋体"/>
                <w:bCs/>
                <w:sz w:val="18"/>
                <w:szCs w:val="18"/>
              </w:rPr>
            </w:pPr>
          </w:p>
        </w:tc>
        <w:tc>
          <w:tcPr>
            <w:tcW w:w="633" w:type="dxa"/>
            <w:noWrap w:val="0"/>
            <w:vAlign w:val="center"/>
          </w:tcPr>
          <w:p w14:paraId="3B1562DD">
            <w:pPr>
              <w:adjustRightInd w:val="0"/>
              <w:snapToGrid w:val="0"/>
              <w:jc w:val="center"/>
              <w:rPr>
                <w:rFonts w:ascii="宋体" w:hAnsi="宋体"/>
                <w:bCs/>
                <w:sz w:val="18"/>
                <w:szCs w:val="18"/>
              </w:rPr>
            </w:pPr>
          </w:p>
        </w:tc>
        <w:tc>
          <w:tcPr>
            <w:tcW w:w="1382" w:type="dxa"/>
            <w:noWrap w:val="0"/>
            <w:vAlign w:val="center"/>
          </w:tcPr>
          <w:p w14:paraId="674E7C2C">
            <w:pPr>
              <w:adjustRightInd w:val="0"/>
              <w:snapToGrid w:val="0"/>
              <w:jc w:val="center"/>
              <w:rPr>
                <w:rFonts w:ascii="宋体" w:hAnsi="宋体"/>
                <w:sz w:val="18"/>
                <w:szCs w:val="18"/>
              </w:rPr>
            </w:pPr>
            <w:r>
              <w:rPr>
                <w:rFonts w:hint="eastAsia" w:ascii="宋体" w:hAnsi="宋体"/>
                <w:sz w:val="18"/>
                <w:szCs w:val="18"/>
                <w:lang w:val="en-US" w:eastAsia="zh-CN"/>
              </w:rPr>
              <w:t>4</w:t>
            </w:r>
            <w:r>
              <w:rPr>
                <w:rFonts w:ascii="宋体" w:hAnsi="宋体"/>
                <w:sz w:val="18"/>
                <w:szCs w:val="18"/>
              </w:rPr>
              <w:t>.2.1.1</w:t>
            </w:r>
          </w:p>
        </w:tc>
      </w:tr>
      <w:tr w14:paraId="446AB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687" w:type="dxa"/>
            <w:noWrap w:val="0"/>
            <w:vAlign w:val="center"/>
          </w:tcPr>
          <w:p w14:paraId="5BEB9ADB">
            <w:pPr>
              <w:adjustRightInd w:val="0"/>
              <w:snapToGrid w:val="0"/>
              <w:jc w:val="center"/>
              <w:rPr>
                <w:rFonts w:hint="eastAsia" w:ascii="宋体" w:hAnsi="宋体" w:eastAsia="宋体"/>
                <w:bCs/>
                <w:sz w:val="18"/>
                <w:szCs w:val="18"/>
                <w:lang w:eastAsia="zh-CN"/>
              </w:rPr>
            </w:pPr>
            <w:r>
              <w:rPr>
                <w:rFonts w:hint="eastAsia" w:ascii="宋体" w:hAnsi="宋体"/>
                <w:bCs/>
                <w:sz w:val="18"/>
                <w:szCs w:val="18"/>
              </w:rPr>
              <w:t>2.1.</w:t>
            </w:r>
            <w:r>
              <w:rPr>
                <w:rFonts w:hint="eastAsia" w:ascii="宋体" w:hAnsi="宋体"/>
                <w:bCs/>
                <w:sz w:val="18"/>
                <w:szCs w:val="18"/>
                <w:lang w:val="en-US" w:eastAsia="zh-CN"/>
              </w:rPr>
              <w:t>3</w:t>
            </w:r>
          </w:p>
        </w:tc>
        <w:tc>
          <w:tcPr>
            <w:tcW w:w="6794" w:type="dxa"/>
            <w:noWrap w:val="0"/>
            <w:vAlign w:val="center"/>
          </w:tcPr>
          <w:p w14:paraId="2F5DF4A7">
            <w:pPr>
              <w:adjustRightInd w:val="0"/>
              <w:snapToGrid w:val="0"/>
              <w:rPr>
                <w:rFonts w:hint="eastAsia" w:ascii="宋体" w:hAnsi="宋体"/>
                <w:bCs/>
                <w:sz w:val="18"/>
                <w:szCs w:val="18"/>
              </w:rPr>
            </w:pPr>
            <w:r>
              <w:rPr>
                <w:rFonts w:hint="eastAsia" w:ascii="宋体" w:hAnsi="宋体"/>
                <w:bCs/>
                <w:sz w:val="18"/>
                <w:szCs w:val="18"/>
              </w:rPr>
              <w:t>古、危建（构）筑物应符合下列要求：</w:t>
            </w:r>
          </w:p>
          <w:p w14:paraId="56E934DA">
            <w:pPr>
              <w:adjustRightInd w:val="0"/>
              <w:snapToGrid w:val="0"/>
              <w:rPr>
                <w:rFonts w:hint="eastAsia" w:ascii="宋体" w:hAnsi="宋体"/>
                <w:bCs/>
                <w:sz w:val="18"/>
                <w:szCs w:val="18"/>
              </w:rPr>
            </w:pPr>
            <w:r>
              <w:rPr>
                <w:rFonts w:ascii="宋体" w:hAnsi="宋体"/>
                <w:bCs/>
                <w:sz w:val="18"/>
                <w:szCs w:val="18"/>
              </w:rPr>
              <w:t>a</w:t>
            </w:r>
            <w:r>
              <w:rPr>
                <w:rFonts w:hint="eastAsia" w:ascii="宋体" w:hAnsi="宋体"/>
                <w:bCs/>
                <w:sz w:val="18"/>
                <w:szCs w:val="18"/>
              </w:rPr>
              <w:t>）应对一切火源、电源和各种易燃、易爆物品进行管理；不应在古建筑保护范围内堆存易燃物品；不应将</w:t>
            </w:r>
            <w:r>
              <w:rPr>
                <w:rFonts w:hint="eastAsia" w:ascii="宋体" w:hAnsi="宋体"/>
                <w:bCs/>
                <w:sz w:val="18"/>
                <w:szCs w:val="18"/>
                <w:lang w:val="en-US" w:eastAsia="zh-CN"/>
              </w:rPr>
              <w:t>燃气</w:t>
            </w:r>
            <w:r>
              <w:rPr>
                <w:rFonts w:hint="eastAsia" w:ascii="宋体" w:hAnsi="宋体"/>
                <w:bCs/>
                <w:sz w:val="18"/>
                <w:szCs w:val="18"/>
              </w:rPr>
              <w:t>等引入古建筑物内；</w:t>
            </w:r>
          </w:p>
          <w:p w14:paraId="2355D32D">
            <w:pPr>
              <w:adjustRightInd w:val="0"/>
              <w:snapToGrid w:val="0"/>
              <w:rPr>
                <w:rFonts w:hint="eastAsia" w:ascii="宋体" w:hAnsi="宋体"/>
                <w:bCs/>
                <w:sz w:val="18"/>
                <w:szCs w:val="18"/>
              </w:rPr>
            </w:pPr>
            <w:r>
              <w:rPr>
                <w:rFonts w:hint="eastAsia" w:ascii="宋体" w:hAnsi="宋体"/>
                <w:bCs/>
                <w:sz w:val="18"/>
                <w:szCs w:val="18"/>
              </w:rPr>
              <w:t>b）不应将古建筑作为旅店、食堂、招待所或职工宿舍等；</w:t>
            </w:r>
          </w:p>
          <w:p w14:paraId="3B5D3FF1">
            <w:pPr>
              <w:adjustRightInd w:val="0"/>
              <w:snapToGrid w:val="0"/>
              <w:rPr>
                <w:rFonts w:hint="eastAsia" w:ascii="宋体" w:hAnsi="宋体"/>
                <w:bCs/>
                <w:sz w:val="18"/>
                <w:szCs w:val="18"/>
              </w:rPr>
            </w:pPr>
            <w:r>
              <w:rPr>
                <w:rFonts w:hint="eastAsia" w:ascii="宋体" w:hAnsi="宋体"/>
                <w:bCs/>
                <w:sz w:val="18"/>
                <w:szCs w:val="18"/>
              </w:rPr>
              <w:t>c）不应</w:t>
            </w:r>
            <w:r>
              <w:rPr>
                <w:rFonts w:ascii="宋体" w:hAnsi="宋体"/>
                <w:bCs/>
                <w:sz w:val="18"/>
                <w:szCs w:val="18"/>
              </w:rPr>
              <w:t>在古建筑的主要殿堂内生产、生活用火</w:t>
            </w:r>
            <w:r>
              <w:rPr>
                <w:rFonts w:hint="eastAsia" w:ascii="宋体" w:hAnsi="宋体"/>
                <w:bCs/>
                <w:sz w:val="18"/>
                <w:szCs w:val="18"/>
              </w:rPr>
              <w:t>，</w:t>
            </w:r>
            <w:r>
              <w:rPr>
                <w:rFonts w:ascii="宋体" w:hAnsi="宋体"/>
                <w:bCs/>
                <w:sz w:val="18"/>
                <w:szCs w:val="18"/>
              </w:rPr>
              <w:t>在配殿、厢房、长廊、耳房等建筑物内需要安装固定生活用火设施的，</w:t>
            </w:r>
            <w:r>
              <w:rPr>
                <w:rFonts w:hint="eastAsia" w:ascii="ˎ̥" w:hAnsi="ˎ̥" w:cs="宋体"/>
                <w:color w:val="000000"/>
                <w:szCs w:val="21"/>
              </w:rPr>
              <w:t>应有防火安全措施</w:t>
            </w:r>
            <w:r>
              <w:rPr>
                <w:rFonts w:ascii="宋体" w:hAnsi="宋体"/>
                <w:bCs/>
                <w:sz w:val="18"/>
                <w:szCs w:val="18"/>
              </w:rPr>
              <w:t>；</w:t>
            </w:r>
          </w:p>
          <w:p w14:paraId="31C67119">
            <w:pPr>
              <w:adjustRightInd w:val="0"/>
              <w:snapToGrid w:val="0"/>
              <w:rPr>
                <w:rFonts w:hint="eastAsia" w:ascii="宋体" w:hAnsi="宋体"/>
                <w:bCs/>
                <w:sz w:val="18"/>
                <w:szCs w:val="18"/>
              </w:rPr>
            </w:pPr>
            <w:r>
              <w:rPr>
                <w:rFonts w:hint="eastAsia" w:ascii="宋体" w:hAnsi="宋体"/>
                <w:bCs/>
                <w:sz w:val="18"/>
                <w:szCs w:val="18"/>
              </w:rPr>
              <w:t>d）在古建筑物内安装电灯和其他电器设备，应按规定经过批准，执行电气安全技术规程；</w:t>
            </w:r>
          </w:p>
          <w:p w14:paraId="4358DD48">
            <w:pPr>
              <w:adjustRightInd w:val="0"/>
              <w:snapToGrid w:val="0"/>
              <w:rPr>
                <w:rFonts w:hint="eastAsia" w:ascii="宋体" w:hAnsi="宋体"/>
                <w:bCs/>
                <w:sz w:val="18"/>
                <w:szCs w:val="18"/>
              </w:rPr>
            </w:pPr>
            <w:r>
              <w:rPr>
                <w:rFonts w:hint="eastAsia" w:ascii="宋体" w:hAnsi="宋体"/>
                <w:bCs/>
                <w:sz w:val="18"/>
                <w:szCs w:val="18"/>
              </w:rPr>
              <w:t>e）文物建筑消防设施电气线路的敷设应采取穿金属管等防火保护措施，管线及框架等金属结构应做防雷、接地、等电位连接；</w:t>
            </w:r>
          </w:p>
        </w:tc>
        <w:tc>
          <w:tcPr>
            <w:tcW w:w="636" w:type="dxa"/>
            <w:noWrap w:val="0"/>
            <w:vAlign w:val="center"/>
          </w:tcPr>
          <w:p w14:paraId="79242B77">
            <w:pPr>
              <w:adjustRightInd w:val="0"/>
              <w:snapToGrid w:val="0"/>
              <w:jc w:val="center"/>
              <w:rPr>
                <w:rFonts w:ascii="宋体" w:hAnsi="宋体"/>
                <w:bCs/>
                <w:sz w:val="18"/>
                <w:szCs w:val="18"/>
              </w:rPr>
            </w:pPr>
          </w:p>
        </w:tc>
        <w:tc>
          <w:tcPr>
            <w:tcW w:w="633" w:type="dxa"/>
            <w:noWrap w:val="0"/>
            <w:vAlign w:val="center"/>
          </w:tcPr>
          <w:p w14:paraId="3D46B790">
            <w:pPr>
              <w:adjustRightInd w:val="0"/>
              <w:snapToGrid w:val="0"/>
              <w:jc w:val="center"/>
              <w:rPr>
                <w:rFonts w:ascii="宋体" w:hAnsi="宋体"/>
                <w:bCs/>
                <w:sz w:val="18"/>
                <w:szCs w:val="18"/>
              </w:rPr>
            </w:pPr>
          </w:p>
        </w:tc>
        <w:tc>
          <w:tcPr>
            <w:tcW w:w="685" w:type="dxa"/>
            <w:noWrap w:val="0"/>
            <w:vAlign w:val="center"/>
          </w:tcPr>
          <w:p w14:paraId="7DECFC40">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4</w:t>
            </w:r>
          </w:p>
        </w:tc>
        <w:tc>
          <w:tcPr>
            <w:tcW w:w="3270" w:type="dxa"/>
            <w:noWrap w:val="0"/>
            <w:vAlign w:val="center"/>
          </w:tcPr>
          <w:p w14:paraId="2311E2F0">
            <w:pPr>
              <w:jc w:val="left"/>
              <w:rPr>
                <w:rFonts w:ascii="宋体" w:hAnsi="宋体"/>
                <w:sz w:val="18"/>
                <w:szCs w:val="18"/>
              </w:rPr>
            </w:pPr>
            <w:r>
              <w:rPr>
                <w:rFonts w:hint="eastAsia" w:ascii="宋体" w:hAnsi="宋体"/>
                <w:kern w:val="0"/>
                <w:sz w:val="18"/>
                <w:szCs w:val="18"/>
              </w:rPr>
              <w:t>一处不符合扣</w:t>
            </w:r>
            <w:r>
              <w:rPr>
                <w:rFonts w:hint="eastAsia" w:ascii="宋体" w:hAnsi="宋体"/>
                <w:kern w:val="0"/>
                <w:sz w:val="18"/>
                <w:szCs w:val="18"/>
                <w:lang w:val="en-US" w:eastAsia="zh-CN"/>
              </w:rPr>
              <w:t>2</w:t>
            </w:r>
            <w:r>
              <w:rPr>
                <w:rFonts w:hint="eastAsia" w:ascii="宋体" w:hAnsi="宋体"/>
                <w:kern w:val="0"/>
                <w:sz w:val="18"/>
                <w:szCs w:val="18"/>
              </w:rPr>
              <w:t>分。</w:t>
            </w:r>
          </w:p>
        </w:tc>
        <w:tc>
          <w:tcPr>
            <w:tcW w:w="633" w:type="dxa"/>
            <w:noWrap w:val="0"/>
            <w:vAlign w:val="center"/>
          </w:tcPr>
          <w:p w14:paraId="08FA92EE">
            <w:pPr>
              <w:adjustRightInd w:val="0"/>
              <w:snapToGrid w:val="0"/>
              <w:jc w:val="center"/>
              <w:rPr>
                <w:rFonts w:ascii="宋体" w:hAnsi="宋体"/>
                <w:bCs/>
                <w:sz w:val="18"/>
                <w:szCs w:val="18"/>
              </w:rPr>
            </w:pPr>
          </w:p>
        </w:tc>
        <w:tc>
          <w:tcPr>
            <w:tcW w:w="633" w:type="dxa"/>
            <w:noWrap w:val="0"/>
            <w:vAlign w:val="center"/>
          </w:tcPr>
          <w:p w14:paraId="5A7829F0">
            <w:pPr>
              <w:adjustRightInd w:val="0"/>
              <w:snapToGrid w:val="0"/>
              <w:jc w:val="center"/>
              <w:rPr>
                <w:rFonts w:ascii="宋体" w:hAnsi="宋体"/>
                <w:bCs/>
                <w:sz w:val="18"/>
                <w:szCs w:val="18"/>
              </w:rPr>
            </w:pPr>
          </w:p>
        </w:tc>
        <w:tc>
          <w:tcPr>
            <w:tcW w:w="1382" w:type="dxa"/>
            <w:noWrap w:val="0"/>
            <w:vAlign w:val="center"/>
          </w:tcPr>
          <w:p w14:paraId="417F3470">
            <w:pPr>
              <w:adjustRightInd w:val="0"/>
              <w:snapToGrid w:val="0"/>
              <w:jc w:val="center"/>
              <w:rPr>
                <w:rFonts w:hint="eastAsia" w:ascii="宋体" w:hAnsi="宋体"/>
                <w:sz w:val="18"/>
                <w:szCs w:val="18"/>
              </w:rPr>
            </w:pPr>
            <w:r>
              <w:rPr>
                <w:rFonts w:hint="eastAsia" w:ascii="宋体" w:hAnsi="宋体"/>
                <w:sz w:val="18"/>
                <w:szCs w:val="18"/>
                <w:lang w:val="en-US" w:eastAsia="zh-CN"/>
              </w:rPr>
              <w:t>4</w:t>
            </w:r>
            <w:r>
              <w:rPr>
                <w:rFonts w:ascii="宋体" w:hAnsi="宋体"/>
                <w:sz w:val="18"/>
                <w:szCs w:val="18"/>
              </w:rPr>
              <w:t>.2.1.</w:t>
            </w:r>
            <w:r>
              <w:rPr>
                <w:rFonts w:hint="eastAsia" w:ascii="宋体" w:hAnsi="宋体"/>
                <w:sz w:val="18"/>
                <w:szCs w:val="18"/>
              </w:rPr>
              <w:t>2</w:t>
            </w:r>
          </w:p>
        </w:tc>
      </w:tr>
    </w:tbl>
    <w:p w14:paraId="71609F90">
      <w:pPr>
        <w:pStyle w:val="168"/>
        <w:widowControl/>
        <w:numPr>
          <w:ilvl w:val="0"/>
          <w:numId w:val="0"/>
        </w:numPr>
        <w:spacing w:before="156" w:after="156"/>
        <w:ind w:left="567" w:hanging="567"/>
      </w:pPr>
    </w:p>
    <w:p w14:paraId="1FE86E29">
      <w:pPr>
        <w:pStyle w:val="168"/>
        <w:widowControl/>
        <w:numPr>
          <w:ilvl w:val="0"/>
          <w:numId w:val="0"/>
        </w:numPr>
        <w:spacing w:before="156" w:after="156"/>
        <w:ind w:left="567" w:hanging="567"/>
        <w:rPr>
          <w:rFonts w:ascii="宋体" w:hAnsi="宋体" w:eastAsia="宋体"/>
        </w:rPr>
      </w:pPr>
      <w:r>
        <w:rPr>
          <w:rFonts w:hint="eastAsia"/>
        </w:rPr>
        <w:t>表C.1 场所环境要素的安全生产等级评定细则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2"/>
        <w:gridCol w:w="6596"/>
        <w:gridCol w:w="688"/>
        <w:gridCol w:w="602"/>
        <w:gridCol w:w="715"/>
        <w:gridCol w:w="2868"/>
        <w:gridCol w:w="611"/>
        <w:gridCol w:w="611"/>
        <w:gridCol w:w="1990"/>
      </w:tblGrid>
      <w:tr w14:paraId="3FB9E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bottom w:val="single" w:color="auto" w:sz="8" w:space="0"/>
            </w:tcBorders>
            <w:noWrap w:val="0"/>
            <w:vAlign w:val="center"/>
          </w:tcPr>
          <w:p w14:paraId="43407056">
            <w:pPr>
              <w:adjustRightInd w:val="0"/>
              <w:snapToGrid w:val="0"/>
              <w:jc w:val="center"/>
              <w:rPr>
                <w:rFonts w:ascii="宋体" w:hAnsi="宋体"/>
                <w:sz w:val="18"/>
                <w:szCs w:val="18"/>
              </w:rPr>
            </w:pPr>
            <w:r>
              <w:rPr>
                <w:rFonts w:ascii="宋体" w:hAnsi="宋体"/>
                <w:bCs/>
                <w:sz w:val="18"/>
                <w:szCs w:val="18"/>
              </w:rPr>
              <w:t>序号</w:t>
            </w:r>
          </w:p>
        </w:tc>
        <w:tc>
          <w:tcPr>
            <w:tcW w:w="6596" w:type="dxa"/>
            <w:tcBorders>
              <w:top w:val="single" w:color="auto" w:sz="8" w:space="0"/>
              <w:bottom w:val="single" w:color="auto" w:sz="8" w:space="0"/>
            </w:tcBorders>
            <w:noWrap w:val="0"/>
            <w:vAlign w:val="center"/>
          </w:tcPr>
          <w:p w14:paraId="1D5FFC79">
            <w:pPr>
              <w:adjustRightInd w:val="0"/>
              <w:snapToGrid w:val="0"/>
              <w:jc w:val="center"/>
              <w:rPr>
                <w:rFonts w:ascii="宋体" w:hAnsi="宋体"/>
                <w:sz w:val="18"/>
                <w:szCs w:val="18"/>
              </w:rPr>
            </w:pPr>
            <w:r>
              <w:rPr>
                <w:rFonts w:ascii="宋体" w:hAnsi="宋体"/>
                <w:bCs/>
                <w:sz w:val="18"/>
                <w:szCs w:val="18"/>
              </w:rPr>
              <w:t>评定内容</w:t>
            </w:r>
          </w:p>
        </w:tc>
        <w:tc>
          <w:tcPr>
            <w:tcW w:w="688" w:type="dxa"/>
            <w:tcBorders>
              <w:top w:val="single" w:color="auto" w:sz="8" w:space="0"/>
              <w:bottom w:val="single" w:color="auto" w:sz="8" w:space="0"/>
            </w:tcBorders>
            <w:noWrap w:val="0"/>
            <w:vAlign w:val="center"/>
          </w:tcPr>
          <w:p w14:paraId="578968BB">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5036204D">
            <w:pPr>
              <w:adjustRightInd w:val="0"/>
              <w:snapToGrid w:val="0"/>
              <w:jc w:val="center"/>
              <w:rPr>
                <w:rFonts w:ascii="宋体" w:hAnsi="宋体"/>
                <w:sz w:val="18"/>
                <w:szCs w:val="18"/>
              </w:rPr>
            </w:pPr>
            <w:r>
              <w:rPr>
                <w:rFonts w:ascii="宋体" w:hAnsi="宋体"/>
                <w:bCs/>
                <w:sz w:val="18"/>
                <w:szCs w:val="18"/>
              </w:rPr>
              <w:t>评定细项分值</w:t>
            </w:r>
          </w:p>
        </w:tc>
        <w:tc>
          <w:tcPr>
            <w:tcW w:w="715" w:type="dxa"/>
            <w:tcBorders>
              <w:top w:val="single" w:color="auto" w:sz="8" w:space="0"/>
              <w:bottom w:val="single" w:color="auto" w:sz="8" w:space="0"/>
            </w:tcBorders>
            <w:noWrap w:val="0"/>
            <w:vAlign w:val="center"/>
          </w:tcPr>
          <w:p w14:paraId="5DE6F2EE">
            <w:pPr>
              <w:adjustRightInd w:val="0"/>
              <w:snapToGrid w:val="0"/>
              <w:jc w:val="center"/>
              <w:rPr>
                <w:rFonts w:ascii="宋体" w:hAnsi="宋体"/>
                <w:sz w:val="18"/>
                <w:szCs w:val="18"/>
              </w:rPr>
            </w:pPr>
            <w:r>
              <w:rPr>
                <w:rFonts w:ascii="宋体" w:hAnsi="宋体"/>
                <w:bCs/>
                <w:sz w:val="18"/>
                <w:szCs w:val="18"/>
              </w:rPr>
              <w:t>评定条款分值</w:t>
            </w:r>
          </w:p>
        </w:tc>
        <w:tc>
          <w:tcPr>
            <w:tcW w:w="2868" w:type="dxa"/>
            <w:tcBorders>
              <w:top w:val="single" w:color="auto" w:sz="8" w:space="0"/>
              <w:bottom w:val="single" w:color="auto" w:sz="8" w:space="0"/>
            </w:tcBorders>
            <w:noWrap w:val="0"/>
            <w:vAlign w:val="center"/>
          </w:tcPr>
          <w:p w14:paraId="6798E8D6">
            <w:pPr>
              <w:adjustRightInd w:val="0"/>
              <w:snapToGrid w:val="0"/>
              <w:jc w:val="center"/>
              <w:rPr>
                <w:rFonts w:ascii="宋体" w:hAnsi="宋体"/>
                <w:sz w:val="18"/>
                <w:szCs w:val="18"/>
              </w:rPr>
            </w:pPr>
            <w:r>
              <w:rPr>
                <w:rFonts w:ascii="宋体" w:hAnsi="宋体"/>
                <w:bCs/>
                <w:sz w:val="18"/>
                <w:szCs w:val="18"/>
              </w:rPr>
              <w:t>评分标准</w:t>
            </w:r>
          </w:p>
        </w:tc>
        <w:tc>
          <w:tcPr>
            <w:tcW w:w="611" w:type="dxa"/>
            <w:tcBorders>
              <w:top w:val="single" w:color="auto" w:sz="8" w:space="0"/>
              <w:bottom w:val="single" w:color="auto" w:sz="8" w:space="0"/>
            </w:tcBorders>
            <w:noWrap w:val="0"/>
            <w:vAlign w:val="center"/>
          </w:tcPr>
          <w:p w14:paraId="76017095">
            <w:pPr>
              <w:adjustRightInd w:val="0"/>
              <w:snapToGrid w:val="0"/>
              <w:jc w:val="center"/>
              <w:rPr>
                <w:rFonts w:ascii="宋体" w:hAnsi="宋体"/>
                <w:sz w:val="18"/>
                <w:szCs w:val="18"/>
              </w:rPr>
            </w:pPr>
            <w:r>
              <w:rPr>
                <w:rFonts w:ascii="宋体" w:hAnsi="宋体"/>
                <w:bCs/>
                <w:sz w:val="18"/>
                <w:szCs w:val="18"/>
              </w:rPr>
              <w:t>评定得分</w:t>
            </w:r>
          </w:p>
        </w:tc>
        <w:tc>
          <w:tcPr>
            <w:tcW w:w="611" w:type="dxa"/>
            <w:tcBorders>
              <w:top w:val="single" w:color="auto" w:sz="8" w:space="0"/>
              <w:bottom w:val="single" w:color="auto" w:sz="8" w:space="0"/>
            </w:tcBorders>
            <w:noWrap w:val="0"/>
            <w:vAlign w:val="center"/>
          </w:tcPr>
          <w:p w14:paraId="74F09499">
            <w:pPr>
              <w:adjustRightInd w:val="0"/>
              <w:snapToGrid w:val="0"/>
              <w:jc w:val="center"/>
              <w:rPr>
                <w:rFonts w:ascii="宋体" w:hAnsi="宋体"/>
                <w:sz w:val="18"/>
                <w:szCs w:val="18"/>
              </w:rPr>
            </w:pPr>
            <w:r>
              <w:rPr>
                <w:rFonts w:ascii="宋体" w:hAnsi="宋体"/>
                <w:bCs/>
                <w:sz w:val="18"/>
                <w:szCs w:val="18"/>
              </w:rPr>
              <w:t>扣分说明</w:t>
            </w:r>
          </w:p>
        </w:tc>
        <w:tc>
          <w:tcPr>
            <w:tcW w:w="1990" w:type="dxa"/>
            <w:tcBorders>
              <w:top w:val="single" w:color="auto" w:sz="8" w:space="0"/>
              <w:bottom w:val="single" w:color="auto" w:sz="8" w:space="0"/>
            </w:tcBorders>
            <w:noWrap w:val="0"/>
            <w:vAlign w:val="center"/>
          </w:tcPr>
          <w:p w14:paraId="5D1DB1F8">
            <w:pPr>
              <w:adjustRightInd w:val="0"/>
              <w:snapToGrid w:val="0"/>
              <w:jc w:val="center"/>
              <w:rPr>
                <w:rFonts w:ascii="宋体" w:hAnsi="宋体"/>
                <w:sz w:val="18"/>
                <w:szCs w:val="18"/>
              </w:rPr>
            </w:pPr>
            <w:r>
              <w:rPr>
                <w:rFonts w:ascii="宋体" w:hAnsi="宋体"/>
                <w:bCs/>
                <w:sz w:val="18"/>
                <w:szCs w:val="18"/>
              </w:rPr>
              <w:t>对应条款编号</w:t>
            </w:r>
          </w:p>
        </w:tc>
      </w:tr>
      <w:tr w14:paraId="6102F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bottom w:val="single" w:color="auto" w:sz="8" w:space="0"/>
            </w:tcBorders>
            <w:noWrap w:val="0"/>
            <w:vAlign w:val="center"/>
          </w:tcPr>
          <w:p w14:paraId="5D8F5A2A">
            <w:pPr>
              <w:adjustRightInd w:val="0"/>
              <w:snapToGrid w:val="0"/>
              <w:jc w:val="center"/>
              <w:rPr>
                <w:rFonts w:ascii="宋体" w:hAnsi="宋体"/>
                <w:bCs/>
                <w:sz w:val="18"/>
                <w:szCs w:val="18"/>
              </w:rPr>
            </w:pPr>
          </w:p>
        </w:tc>
        <w:tc>
          <w:tcPr>
            <w:tcW w:w="6596" w:type="dxa"/>
            <w:tcBorders>
              <w:top w:val="single" w:color="auto" w:sz="8" w:space="0"/>
              <w:bottom w:val="single" w:color="auto" w:sz="8" w:space="0"/>
            </w:tcBorders>
            <w:noWrap w:val="0"/>
            <w:vAlign w:val="center"/>
          </w:tcPr>
          <w:p w14:paraId="32364955">
            <w:pPr>
              <w:adjustRightInd w:val="0"/>
              <w:snapToGrid w:val="0"/>
              <w:rPr>
                <w:rFonts w:hint="eastAsia" w:ascii="宋体" w:hAnsi="宋体"/>
                <w:bCs/>
                <w:sz w:val="18"/>
                <w:szCs w:val="18"/>
                <w:lang w:eastAsia="zh-CN"/>
              </w:rPr>
            </w:pPr>
            <w:r>
              <w:rPr>
                <w:rFonts w:hint="eastAsia" w:ascii="宋体" w:hAnsi="宋体"/>
                <w:bCs/>
                <w:sz w:val="18"/>
                <w:szCs w:val="18"/>
                <w:lang w:val="en-US" w:eastAsia="zh-CN"/>
              </w:rPr>
              <w:t>f</w:t>
            </w:r>
            <w:r>
              <w:rPr>
                <w:rFonts w:hint="eastAsia" w:ascii="宋体" w:hAnsi="宋体"/>
                <w:bCs/>
                <w:sz w:val="18"/>
                <w:szCs w:val="18"/>
              </w:rPr>
              <w:t>）文物建筑室内外的配线应采用耐火阻燃型线缆</w:t>
            </w:r>
            <w:r>
              <w:rPr>
                <w:rFonts w:hint="eastAsia" w:ascii="宋体" w:hAnsi="宋体"/>
                <w:bCs/>
                <w:sz w:val="18"/>
                <w:szCs w:val="18"/>
                <w:lang w:eastAsia="zh-CN"/>
              </w:rPr>
              <w:t>；</w:t>
            </w:r>
          </w:p>
          <w:p w14:paraId="45BC7B1D">
            <w:pPr>
              <w:adjustRightInd w:val="0"/>
              <w:snapToGrid w:val="0"/>
              <w:rPr>
                <w:rFonts w:hint="eastAsia" w:ascii="宋体" w:hAnsi="宋体"/>
                <w:bCs/>
                <w:sz w:val="18"/>
                <w:szCs w:val="18"/>
              </w:rPr>
            </w:pPr>
            <w:r>
              <w:rPr>
                <w:rFonts w:hint="eastAsia" w:ascii="宋体" w:hAnsi="宋体"/>
                <w:bCs/>
                <w:sz w:val="18"/>
                <w:szCs w:val="18"/>
                <w:lang w:val="en-US" w:eastAsia="zh-CN"/>
              </w:rPr>
              <w:t>g</w:t>
            </w:r>
            <w:r>
              <w:rPr>
                <w:rFonts w:hint="eastAsia" w:ascii="宋体" w:hAnsi="宋体"/>
                <w:bCs/>
                <w:sz w:val="18"/>
                <w:szCs w:val="18"/>
              </w:rPr>
              <w:t>）景区内拍摄活动应审批后方可进行；</w:t>
            </w:r>
          </w:p>
          <w:p w14:paraId="00E2C952">
            <w:pPr>
              <w:adjustRightInd w:val="0"/>
              <w:snapToGrid w:val="0"/>
              <w:ind w:right="33" w:rightChars="16"/>
              <w:jc w:val="left"/>
              <w:rPr>
                <w:rFonts w:hint="eastAsia" w:ascii="宋体" w:hAnsi="宋体"/>
                <w:bCs/>
                <w:sz w:val="18"/>
                <w:szCs w:val="18"/>
              </w:rPr>
            </w:pPr>
            <w:r>
              <w:rPr>
                <w:rFonts w:hint="eastAsia" w:ascii="宋体" w:hAnsi="宋体"/>
                <w:bCs/>
                <w:sz w:val="18"/>
                <w:szCs w:val="18"/>
                <w:lang w:val="en-US" w:eastAsia="zh-CN"/>
              </w:rPr>
              <w:t>h</w:t>
            </w:r>
            <w:r>
              <w:rPr>
                <w:rFonts w:hint="eastAsia" w:ascii="宋体" w:hAnsi="宋体"/>
                <w:bCs/>
                <w:sz w:val="18"/>
                <w:szCs w:val="18"/>
              </w:rPr>
              <w:t>）国家级和市级重点文物保护单位的古建筑内不应进行电影、电视及大型活动等拍摄，其他古建筑内开展拍摄活动时，应取得相关部门批准并采取措施</w:t>
            </w:r>
            <w:r>
              <w:rPr>
                <w:rFonts w:hint="eastAsia" w:ascii="宋体" w:hAnsi="宋体"/>
                <w:bCs/>
                <w:sz w:val="18"/>
                <w:szCs w:val="18"/>
                <w:lang w:eastAsia="zh-CN"/>
              </w:rPr>
              <w:t>。</w:t>
            </w:r>
          </w:p>
        </w:tc>
        <w:tc>
          <w:tcPr>
            <w:tcW w:w="688" w:type="dxa"/>
            <w:tcBorders>
              <w:top w:val="single" w:color="auto" w:sz="8" w:space="0"/>
              <w:bottom w:val="single" w:color="auto" w:sz="8" w:space="0"/>
            </w:tcBorders>
            <w:noWrap w:val="0"/>
            <w:vAlign w:val="center"/>
          </w:tcPr>
          <w:p w14:paraId="087DD5A0">
            <w:pPr>
              <w:adjustRightInd w:val="0"/>
              <w:snapToGrid w:val="0"/>
              <w:jc w:val="center"/>
              <w:rPr>
                <w:rFonts w:ascii="宋体" w:hAnsi="宋体"/>
                <w:bCs/>
                <w:sz w:val="18"/>
                <w:szCs w:val="18"/>
              </w:rPr>
            </w:pPr>
          </w:p>
        </w:tc>
        <w:tc>
          <w:tcPr>
            <w:tcW w:w="602" w:type="dxa"/>
            <w:tcBorders>
              <w:top w:val="single" w:color="auto" w:sz="8" w:space="0"/>
              <w:bottom w:val="single" w:color="auto" w:sz="8" w:space="0"/>
            </w:tcBorders>
            <w:noWrap w:val="0"/>
            <w:vAlign w:val="center"/>
          </w:tcPr>
          <w:p w14:paraId="696E3C95">
            <w:pPr>
              <w:adjustRightInd w:val="0"/>
              <w:snapToGrid w:val="0"/>
              <w:jc w:val="center"/>
              <w:rPr>
                <w:rFonts w:ascii="宋体" w:hAnsi="宋体"/>
                <w:bCs/>
                <w:sz w:val="18"/>
                <w:szCs w:val="18"/>
              </w:rPr>
            </w:pPr>
          </w:p>
        </w:tc>
        <w:tc>
          <w:tcPr>
            <w:tcW w:w="715" w:type="dxa"/>
            <w:tcBorders>
              <w:top w:val="single" w:color="auto" w:sz="8" w:space="0"/>
              <w:bottom w:val="single" w:color="auto" w:sz="8" w:space="0"/>
            </w:tcBorders>
            <w:noWrap w:val="0"/>
            <w:vAlign w:val="center"/>
          </w:tcPr>
          <w:p w14:paraId="52ED8265">
            <w:pPr>
              <w:adjustRightInd w:val="0"/>
              <w:snapToGrid w:val="0"/>
              <w:jc w:val="center"/>
              <w:rPr>
                <w:rFonts w:ascii="宋体" w:hAnsi="宋体"/>
                <w:bCs/>
                <w:sz w:val="18"/>
                <w:szCs w:val="18"/>
              </w:rPr>
            </w:pPr>
          </w:p>
        </w:tc>
        <w:tc>
          <w:tcPr>
            <w:tcW w:w="2868" w:type="dxa"/>
            <w:tcBorders>
              <w:top w:val="single" w:color="auto" w:sz="8" w:space="0"/>
              <w:bottom w:val="single" w:color="auto" w:sz="8" w:space="0"/>
            </w:tcBorders>
            <w:noWrap w:val="0"/>
            <w:vAlign w:val="center"/>
          </w:tcPr>
          <w:p w14:paraId="4E7CA26D">
            <w:pPr>
              <w:adjustRightInd w:val="0"/>
              <w:snapToGrid w:val="0"/>
              <w:jc w:val="left"/>
              <w:rPr>
                <w:rFonts w:ascii="宋体" w:hAnsi="宋体"/>
                <w:sz w:val="18"/>
                <w:szCs w:val="18"/>
              </w:rPr>
            </w:pPr>
          </w:p>
        </w:tc>
        <w:tc>
          <w:tcPr>
            <w:tcW w:w="611" w:type="dxa"/>
            <w:tcBorders>
              <w:top w:val="single" w:color="auto" w:sz="8" w:space="0"/>
              <w:bottom w:val="single" w:color="auto" w:sz="8" w:space="0"/>
            </w:tcBorders>
            <w:noWrap w:val="0"/>
            <w:vAlign w:val="center"/>
          </w:tcPr>
          <w:p w14:paraId="19FBB935">
            <w:pPr>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0DF445C0">
            <w:pPr>
              <w:adjustRightInd w:val="0"/>
              <w:snapToGrid w:val="0"/>
              <w:jc w:val="center"/>
              <w:rPr>
                <w:rFonts w:ascii="宋体" w:hAnsi="宋体"/>
                <w:bCs/>
                <w:sz w:val="18"/>
                <w:szCs w:val="18"/>
              </w:rPr>
            </w:pPr>
          </w:p>
        </w:tc>
        <w:tc>
          <w:tcPr>
            <w:tcW w:w="1990" w:type="dxa"/>
            <w:tcBorders>
              <w:top w:val="single" w:color="auto" w:sz="8" w:space="0"/>
              <w:bottom w:val="single" w:color="auto" w:sz="8" w:space="0"/>
            </w:tcBorders>
            <w:noWrap w:val="0"/>
            <w:vAlign w:val="center"/>
          </w:tcPr>
          <w:p w14:paraId="4152B8E0">
            <w:pPr>
              <w:adjustRightInd w:val="0"/>
              <w:snapToGrid w:val="0"/>
              <w:jc w:val="center"/>
              <w:rPr>
                <w:rFonts w:ascii="宋体" w:hAnsi="宋体"/>
                <w:bCs/>
                <w:sz w:val="18"/>
                <w:szCs w:val="18"/>
              </w:rPr>
            </w:pPr>
          </w:p>
        </w:tc>
      </w:tr>
      <w:tr w14:paraId="687BBD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bottom w:val="single" w:color="auto" w:sz="8" w:space="0"/>
            </w:tcBorders>
            <w:shd w:val="clear"/>
            <w:noWrap w:val="0"/>
            <w:vAlign w:val="center"/>
          </w:tcPr>
          <w:p w14:paraId="57C6A40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2.2</w:t>
            </w:r>
          </w:p>
        </w:tc>
        <w:tc>
          <w:tcPr>
            <w:tcW w:w="6596" w:type="dxa"/>
            <w:tcBorders>
              <w:top w:val="single" w:color="auto" w:sz="8" w:space="0"/>
              <w:bottom w:val="single" w:color="auto" w:sz="8" w:space="0"/>
            </w:tcBorders>
            <w:shd w:val="clear"/>
            <w:noWrap w:val="0"/>
            <w:vAlign w:val="center"/>
          </w:tcPr>
          <w:p w14:paraId="2156ABFB">
            <w:pPr>
              <w:adjustRightInd w:val="0"/>
              <w:snapToGrid w:val="0"/>
              <w:ind w:right="33" w:rightChars="16"/>
              <w:jc w:val="left"/>
              <w:rPr>
                <w:rFonts w:hint="eastAsia" w:ascii="宋体" w:hAnsi="宋体" w:eastAsia="宋体" w:cs="Times New Roman"/>
                <w:bCs/>
                <w:kern w:val="2"/>
                <w:sz w:val="18"/>
                <w:szCs w:val="18"/>
                <w:lang w:val="en-US" w:eastAsia="zh-CN" w:bidi="ar-SA"/>
              </w:rPr>
            </w:pPr>
            <w:r>
              <w:rPr>
                <w:rFonts w:hint="eastAsia" w:ascii="宋体" w:hAnsi="宋体"/>
                <w:kern w:val="0"/>
                <w:sz w:val="18"/>
                <w:szCs w:val="18"/>
              </w:rPr>
              <w:t>景区环境</w:t>
            </w:r>
          </w:p>
        </w:tc>
        <w:tc>
          <w:tcPr>
            <w:tcW w:w="688" w:type="dxa"/>
            <w:tcBorders>
              <w:top w:val="single" w:color="auto" w:sz="8" w:space="0"/>
              <w:bottom w:val="single" w:color="auto" w:sz="8" w:space="0"/>
            </w:tcBorders>
            <w:shd w:val="clear"/>
            <w:noWrap w:val="0"/>
            <w:vAlign w:val="center"/>
          </w:tcPr>
          <w:p w14:paraId="16D6009F">
            <w:pPr>
              <w:adjustRightInd w:val="0"/>
              <w:snapToGrid w:val="0"/>
              <w:jc w:val="center"/>
              <w:rPr>
                <w:rFonts w:ascii="宋体" w:hAnsi="宋体" w:eastAsia="宋体" w:cs="Times New Roman"/>
                <w:bCs/>
                <w:kern w:val="2"/>
                <w:sz w:val="18"/>
                <w:szCs w:val="18"/>
                <w:lang w:val="en-US" w:eastAsia="zh-CN" w:bidi="ar-SA"/>
              </w:rPr>
            </w:pPr>
          </w:p>
        </w:tc>
        <w:tc>
          <w:tcPr>
            <w:tcW w:w="602" w:type="dxa"/>
            <w:tcBorders>
              <w:top w:val="single" w:color="auto" w:sz="8" w:space="0"/>
              <w:bottom w:val="single" w:color="auto" w:sz="8" w:space="0"/>
            </w:tcBorders>
            <w:shd w:val="clear"/>
            <w:noWrap w:val="0"/>
            <w:vAlign w:val="center"/>
          </w:tcPr>
          <w:p w14:paraId="04F9EEBA">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20</w:t>
            </w:r>
          </w:p>
        </w:tc>
        <w:tc>
          <w:tcPr>
            <w:tcW w:w="715" w:type="dxa"/>
            <w:tcBorders>
              <w:top w:val="single" w:color="auto" w:sz="8" w:space="0"/>
              <w:bottom w:val="single" w:color="auto" w:sz="8" w:space="0"/>
            </w:tcBorders>
            <w:shd w:val="clear"/>
            <w:noWrap w:val="0"/>
            <w:vAlign w:val="center"/>
          </w:tcPr>
          <w:p w14:paraId="72424517">
            <w:pPr>
              <w:adjustRightInd w:val="0"/>
              <w:snapToGrid w:val="0"/>
              <w:jc w:val="center"/>
              <w:rPr>
                <w:rFonts w:ascii="宋体" w:hAnsi="宋体" w:eastAsia="宋体" w:cs="Times New Roman"/>
                <w:bCs/>
                <w:kern w:val="2"/>
                <w:sz w:val="18"/>
                <w:szCs w:val="18"/>
                <w:lang w:val="en-US" w:eastAsia="zh-CN" w:bidi="ar-SA"/>
              </w:rPr>
            </w:pPr>
          </w:p>
        </w:tc>
        <w:tc>
          <w:tcPr>
            <w:tcW w:w="2868" w:type="dxa"/>
            <w:tcBorders>
              <w:top w:val="single" w:color="auto" w:sz="8" w:space="0"/>
              <w:bottom w:val="single" w:color="auto" w:sz="8" w:space="0"/>
            </w:tcBorders>
            <w:shd w:val="clear"/>
            <w:noWrap w:val="0"/>
            <w:vAlign w:val="center"/>
          </w:tcPr>
          <w:p w14:paraId="1D1BB83C">
            <w:pPr>
              <w:adjustRightInd w:val="0"/>
              <w:snapToGrid w:val="0"/>
              <w:jc w:val="left"/>
              <w:rPr>
                <w:rFonts w:ascii="宋体" w:hAnsi="宋体" w:eastAsia="宋体" w:cs="Times New Roman"/>
                <w:kern w:val="2"/>
                <w:sz w:val="18"/>
                <w:szCs w:val="18"/>
                <w:lang w:val="en-US" w:eastAsia="zh-CN" w:bidi="ar-SA"/>
              </w:rPr>
            </w:pPr>
          </w:p>
        </w:tc>
        <w:tc>
          <w:tcPr>
            <w:tcW w:w="611" w:type="dxa"/>
            <w:tcBorders>
              <w:top w:val="single" w:color="auto" w:sz="8" w:space="0"/>
              <w:bottom w:val="single" w:color="auto" w:sz="8" w:space="0"/>
            </w:tcBorders>
            <w:shd w:val="clear"/>
            <w:noWrap w:val="0"/>
            <w:vAlign w:val="center"/>
          </w:tcPr>
          <w:p w14:paraId="52A45468">
            <w:pPr>
              <w:adjustRightInd w:val="0"/>
              <w:snapToGrid w:val="0"/>
              <w:jc w:val="center"/>
              <w:rPr>
                <w:rFonts w:ascii="宋体" w:hAnsi="宋体" w:eastAsia="宋体" w:cs="Times New Roman"/>
                <w:bCs/>
                <w:kern w:val="2"/>
                <w:sz w:val="18"/>
                <w:szCs w:val="18"/>
                <w:lang w:val="en-US" w:eastAsia="zh-CN" w:bidi="ar-SA"/>
              </w:rPr>
            </w:pPr>
          </w:p>
        </w:tc>
        <w:tc>
          <w:tcPr>
            <w:tcW w:w="611" w:type="dxa"/>
            <w:tcBorders>
              <w:top w:val="single" w:color="auto" w:sz="8" w:space="0"/>
              <w:bottom w:val="single" w:color="auto" w:sz="8" w:space="0"/>
            </w:tcBorders>
            <w:shd w:val="clear"/>
            <w:noWrap w:val="0"/>
            <w:vAlign w:val="center"/>
          </w:tcPr>
          <w:p w14:paraId="438586C8">
            <w:pPr>
              <w:adjustRightInd w:val="0"/>
              <w:snapToGrid w:val="0"/>
              <w:jc w:val="center"/>
              <w:rPr>
                <w:rFonts w:ascii="宋体" w:hAnsi="宋体" w:eastAsia="宋体" w:cs="Times New Roman"/>
                <w:bCs/>
                <w:kern w:val="2"/>
                <w:sz w:val="18"/>
                <w:szCs w:val="18"/>
                <w:lang w:val="en-US" w:eastAsia="zh-CN" w:bidi="ar-SA"/>
              </w:rPr>
            </w:pPr>
          </w:p>
        </w:tc>
        <w:tc>
          <w:tcPr>
            <w:tcW w:w="1990" w:type="dxa"/>
            <w:tcBorders>
              <w:top w:val="single" w:color="auto" w:sz="8" w:space="0"/>
              <w:bottom w:val="single" w:color="auto" w:sz="8" w:space="0"/>
            </w:tcBorders>
            <w:shd w:val="clear"/>
            <w:noWrap w:val="0"/>
            <w:vAlign w:val="center"/>
          </w:tcPr>
          <w:p w14:paraId="5C7B355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lang w:eastAsia="zh-CN"/>
              </w:rPr>
              <w:t>4.</w:t>
            </w:r>
            <w:r>
              <w:rPr>
                <w:rFonts w:hint="eastAsia" w:ascii="宋体" w:hAnsi="宋体"/>
                <w:sz w:val="18"/>
                <w:szCs w:val="18"/>
              </w:rPr>
              <w:t>2.2</w:t>
            </w:r>
          </w:p>
        </w:tc>
      </w:tr>
      <w:tr w14:paraId="40F828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tcBorders>
            <w:noWrap w:val="0"/>
            <w:vAlign w:val="center"/>
          </w:tcPr>
          <w:p w14:paraId="42C8BEB6">
            <w:pPr>
              <w:adjustRightInd w:val="0"/>
              <w:snapToGrid w:val="0"/>
              <w:jc w:val="center"/>
              <w:rPr>
                <w:rFonts w:ascii="宋体" w:hAnsi="宋体"/>
                <w:bCs/>
                <w:sz w:val="18"/>
                <w:szCs w:val="18"/>
              </w:rPr>
            </w:pPr>
            <w:r>
              <w:rPr>
                <w:rFonts w:hint="eastAsia" w:ascii="宋体" w:hAnsi="宋体"/>
                <w:bCs/>
                <w:sz w:val="18"/>
                <w:szCs w:val="18"/>
              </w:rPr>
              <w:t>2.2.1</w:t>
            </w:r>
          </w:p>
        </w:tc>
        <w:tc>
          <w:tcPr>
            <w:tcW w:w="6596" w:type="dxa"/>
            <w:tcBorders>
              <w:top w:val="single" w:color="auto" w:sz="8" w:space="0"/>
            </w:tcBorders>
            <w:noWrap w:val="0"/>
            <w:vAlign w:val="center"/>
          </w:tcPr>
          <w:p w14:paraId="6E3A7C32">
            <w:pPr>
              <w:adjustRightInd w:val="0"/>
              <w:snapToGrid w:val="0"/>
              <w:rPr>
                <w:rFonts w:hint="eastAsia" w:ascii="宋体" w:hAnsi="宋体"/>
                <w:bCs/>
                <w:sz w:val="18"/>
                <w:szCs w:val="18"/>
              </w:rPr>
            </w:pPr>
            <w:r>
              <w:rPr>
                <w:rFonts w:hint="eastAsia" w:ascii="宋体" w:hAnsi="宋体"/>
                <w:bCs/>
                <w:sz w:val="18"/>
                <w:szCs w:val="18"/>
              </w:rPr>
              <w:t>游客容量管理应符合下列要求：</w:t>
            </w:r>
          </w:p>
          <w:p w14:paraId="1C065D42">
            <w:pPr>
              <w:adjustRightInd w:val="0"/>
              <w:snapToGrid w:val="0"/>
              <w:rPr>
                <w:rFonts w:hint="eastAsia" w:ascii="宋体" w:hAnsi="宋体"/>
                <w:bCs/>
                <w:sz w:val="18"/>
                <w:szCs w:val="18"/>
              </w:rPr>
            </w:pPr>
            <w:r>
              <w:rPr>
                <w:rFonts w:ascii="宋体" w:hAnsi="宋体"/>
                <w:bCs/>
                <w:sz w:val="18"/>
                <w:szCs w:val="18"/>
              </w:rPr>
              <w:t>a</w:t>
            </w:r>
            <w:r>
              <w:rPr>
                <w:rFonts w:hint="eastAsia" w:ascii="宋体" w:hAnsi="宋体"/>
                <w:bCs/>
                <w:sz w:val="18"/>
                <w:szCs w:val="18"/>
              </w:rPr>
              <w:t>）应确定景区的游客容量；</w:t>
            </w:r>
          </w:p>
          <w:p w14:paraId="0863BFA8">
            <w:pPr>
              <w:adjustRightInd w:val="0"/>
              <w:snapToGrid w:val="0"/>
              <w:rPr>
                <w:rFonts w:hint="eastAsia" w:ascii="宋体" w:hAnsi="宋体"/>
                <w:bCs/>
                <w:sz w:val="18"/>
                <w:szCs w:val="18"/>
                <w:highlight w:val="yellow"/>
              </w:rPr>
            </w:pPr>
            <w:r>
              <w:rPr>
                <w:rFonts w:hint="eastAsia"/>
              </w:rPr>
              <w:t>★</w:t>
            </w:r>
            <w:r>
              <w:rPr>
                <w:rFonts w:hint="eastAsia" w:ascii="宋体" w:hAnsi="宋体"/>
                <w:bCs/>
                <w:sz w:val="18"/>
                <w:szCs w:val="18"/>
              </w:rPr>
              <w:t>b）景区应公布景区主管部门确定的最大承载量、瞬间</w:t>
            </w:r>
            <w:r>
              <w:rPr>
                <w:rFonts w:hint="eastAsia" w:ascii="宋体" w:hAnsi="宋体"/>
                <w:bCs/>
                <w:sz w:val="18"/>
                <w:szCs w:val="18"/>
                <w:lang w:val="en-US" w:eastAsia="zh-CN"/>
              </w:rPr>
              <w:t>承</w:t>
            </w:r>
            <w:r>
              <w:rPr>
                <w:rFonts w:hint="eastAsia" w:ascii="宋体" w:hAnsi="宋体"/>
                <w:bCs/>
                <w:sz w:val="18"/>
                <w:szCs w:val="18"/>
              </w:rPr>
              <w:t>载量，制定和实施旅游者流量控制方案；</w:t>
            </w:r>
          </w:p>
          <w:p w14:paraId="2ED9F3D5">
            <w:pPr>
              <w:adjustRightInd w:val="0"/>
              <w:snapToGrid w:val="0"/>
              <w:rPr>
                <w:rFonts w:hint="eastAsia" w:ascii="宋体" w:hAnsi="宋体"/>
                <w:bCs/>
                <w:sz w:val="18"/>
                <w:szCs w:val="18"/>
              </w:rPr>
            </w:pPr>
            <w:r>
              <w:rPr>
                <w:rFonts w:hint="eastAsia" w:ascii="宋体" w:hAnsi="宋体"/>
                <w:bCs/>
                <w:sz w:val="18"/>
                <w:szCs w:val="18"/>
              </w:rPr>
              <w:t>c）节假日、黄金周等重点时期应</w:t>
            </w:r>
            <w:r>
              <w:rPr>
                <w:rFonts w:hint="eastAsia" w:ascii="宋体" w:hAnsi="宋体"/>
                <w:bCs/>
                <w:sz w:val="18"/>
                <w:szCs w:val="18"/>
                <w:lang w:val="en-US" w:eastAsia="zh-CN"/>
              </w:rPr>
              <w:t>采取移动护栏、疏导线等</w:t>
            </w:r>
            <w:r>
              <w:rPr>
                <w:rFonts w:hint="eastAsia" w:ascii="宋体" w:hAnsi="宋体"/>
                <w:bCs/>
                <w:sz w:val="18"/>
                <w:szCs w:val="18"/>
              </w:rPr>
              <w:t>分流限流</w:t>
            </w:r>
            <w:r>
              <w:rPr>
                <w:rFonts w:hint="eastAsia" w:ascii="宋体" w:hAnsi="宋体"/>
                <w:bCs/>
                <w:sz w:val="18"/>
                <w:szCs w:val="18"/>
                <w:lang w:val="en-US" w:eastAsia="zh-CN"/>
              </w:rPr>
              <w:t>措施</w:t>
            </w:r>
            <w:r>
              <w:rPr>
                <w:rFonts w:hint="eastAsia" w:ascii="宋体" w:hAnsi="宋体"/>
                <w:bCs/>
                <w:sz w:val="18"/>
                <w:szCs w:val="18"/>
              </w:rPr>
              <w:t>；</w:t>
            </w:r>
          </w:p>
          <w:p w14:paraId="3BF180DC">
            <w:pPr>
              <w:adjustRightInd w:val="0"/>
              <w:snapToGrid w:val="0"/>
              <w:rPr>
                <w:rFonts w:hint="eastAsia" w:ascii="宋体" w:hAnsi="宋体"/>
                <w:bCs/>
                <w:sz w:val="18"/>
                <w:szCs w:val="18"/>
              </w:rPr>
            </w:pPr>
            <w:r>
              <w:rPr>
                <w:rFonts w:hint="eastAsia" w:ascii="宋体" w:hAnsi="宋体"/>
                <w:bCs/>
                <w:sz w:val="18"/>
                <w:szCs w:val="18"/>
              </w:rPr>
              <w:t>d）景区主要出入口外应设置游人集散广场、停车场、自行车存放处。</w:t>
            </w:r>
          </w:p>
        </w:tc>
        <w:tc>
          <w:tcPr>
            <w:tcW w:w="688" w:type="dxa"/>
            <w:tcBorders>
              <w:top w:val="single" w:color="auto" w:sz="8" w:space="0"/>
            </w:tcBorders>
            <w:noWrap w:val="0"/>
            <w:vAlign w:val="center"/>
          </w:tcPr>
          <w:p w14:paraId="14459B83">
            <w:pPr>
              <w:adjustRightInd w:val="0"/>
              <w:snapToGrid w:val="0"/>
              <w:jc w:val="center"/>
              <w:rPr>
                <w:rFonts w:ascii="宋体" w:hAnsi="宋体"/>
                <w:bCs/>
                <w:sz w:val="18"/>
                <w:szCs w:val="18"/>
              </w:rPr>
            </w:pPr>
          </w:p>
        </w:tc>
        <w:tc>
          <w:tcPr>
            <w:tcW w:w="602" w:type="dxa"/>
            <w:tcBorders>
              <w:top w:val="single" w:color="auto" w:sz="8" w:space="0"/>
            </w:tcBorders>
            <w:noWrap w:val="0"/>
            <w:vAlign w:val="center"/>
          </w:tcPr>
          <w:p w14:paraId="5F707211">
            <w:pPr>
              <w:adjustRightInd w:val="0"/>
              <w:snapToGrid w:val="0"/>
              <w:jc w:val="center"/>
              <w:rPr>
                <w:rFonts w:ascii="宋体" w:hAnsi="宋体"/>
                <w:bCs/>
                <w:sz w:val="18"/>
                <w:szCs w:val="18"/>
              </w:rPr>
            </w:pPr>
          </w:p>
        </w:tc>
        <w:tc>
          <w:tcPr>
            <w:tcW w:w="715" w:type="dxa"/>
            <w:tcBorders>
              <w:top w:val="single" w:color="auto" w:sz="8" w:space="0"/>
            </w:tcBorders>
            <w:noWrap w:val="0"/>
            <w:vAlign w:val="center"/>
          </w:tcPr>
          <w:p w14:paraId="74936981">
            <w:pPr>
              <w:adjustRightInd w:val="0"/>
              <w:snapToGrid w:val="0"/>
              <w:jc w:val="center"/>
              <w:rPr>
                <w:rFonts w:ascii="宋体" w:hAnsi="宋体"/>
                <w:bCs/>
                <w:sz w:val="18"/>
                <w:szCs w:val="18"/>
              </w:rPr>
            </w:pPr>
            <w:r>
              <w:rPr>
                <w:rFonts w:hint="eastAsia" w:ascii="宋体" w:hAnsi="宋体"/>
                <w:bCs/>
                <w:sz w:val="18"/>
                <w:szCs w:val="18"/>
              </w:rPr>
              <w:t>4</w:t>
            </w:r>
          </w:p>
        </w:tc>
        <w:tc>
          <w:tcPr>
            <w:tcW w:w="2868" w:type="dxa"/>
            <w:tcBorders>
              <w:top w:val="single" w:color="auto" w:sz="8" w:space="0"/>
            </w:tcBorders>
            <w:noWrap w:val="0"/>
            <w:vAlign w:val="center"/>
          </w:tcPr>
          <w:p w14:paraId="1F2A0961">
            <w:pPr>
              <w:adjustRightInd w:val="0"/>
              <w:snapToGrid w:val="0"/>
              <w:rPr>
                <w:rFonts w:hint="eastAsia" w:ascii="宋体" w:hAnsi="宋体"/>
                <w:sz w:val="18"/>
              </w:rPr>
            </w:pPr>
            <w:r>
              <w:rPr>
                <w:rFonts w:hint="eastAsia" w:ascii="宋体" w:hAnsi="宋体"/>
                <w:bCs/>
                <w:sz w:val="18"/>
                <w:szCs w:val="18"/>
              </w:rPr>
              <w:t>1）未公布景区主管部门确定的最大承载量、瞬间容载量，或未制定和实施旅游者流量控制方案的，“场所环境”</w:t>
            </w:r>
            <w:r>
              <w:rPr>
                <w:rFonts w:hint="eastAsia" w:ascii="宋体" w:hAnsi="宋体"/>
                <w:sz w:val="18"/>
              </w:rPr>
              <w:t>评定要素不得分；</w:t>
            </w:r>
          </w:p>
          <w:p w14:paraId="6AD3F0AB">
            <w:pPr>
              <w:adjustRightInd w:val="0"/>
              <w:snapToGrid w:val="0"/>
              <w:rPr>
                <w:rFonts w:ascii="宋体" w:hAnsi="宋体"/>
                <w:sz w:val="18"/>
                <w:szCs w:val="18"/>
              </w:rPr>
            </w:pPr>
            <w:r>
              <w:rPr>
                <w:rFonts w:hint="eastAsia" w:ascii="宋体" w:hAnsi="宋体"/>
                <w:kern w:val="0"/>
                <w:sz w:val="18"/>
                <w:szCs w:val="18"/>
              </w:rPr>
              <w:t>2）其他一处不符合扣</w:t>
            </w:r>
            <w:r>
              <w:rPr>
                <w:rFonts w:ascii="宋体" w:hAnsi="宋体"/>
                <w:kern w:val="0"/>
                <w:sz w:val="18"/>
                <w:szCs w:val="18"/>
              </w:rPr>
              <w:t>2</w:t>
            </w:r>
            <w:r>
              <w:rPr>
                <w:rFonts w:hint="eastAsia" w:ascii="宋体" w:hAnsi="宋体"/>
                <w:kern w:val="0"/>
                <w:sz w:val="18"/>
                <w:szCs w:val="18"/>
              </w:rPr>
              <w:t>分。</w:t>
            </w:r>
          </w:p>
        </w:tc>
        <w:tc>
          <w:tcPr>
            <w:tcW w:w="611" w:type="dxa"/>
            <w:tcBorders>
              <w:top w:val="single" w:color="auto" w:sz="8" w:space="0"/>
            </w:tcBorders>
            <w:noWrap w:val="0"/>
            <w:vAlign w:val="center"/>
          </w:tcPr>
          <w:p w14:paraId="23309BCA">
            <w:pPr>
              <w:adjustRightInd w:val="0"/>
              <w:snapToGrid w:val="0"/>
              <w:jc w:val="center"/>
              <w:rPr>
                <w:rFonts w:ascii="宋体" w:hAnsi="宋体"/>
                <w:bCs/>
                <w:sz w:val="18"/>
                <w:szCs w:val="18"/>
              </w:rPr>
            </w:pPr>
          </w:p>
        </w:tc>
        <w:tc>
          <w:tcPr>
            <w:tcW w:w="611" w:type="dxa"/>
            <w:tcBorders>
              <w:top w:val="single" w:color="auto" w:sz="8" w:space="0"/>
            </w:tcBorders>
            <w:noWrap w:val="0"/>
            <w:vAlign w:val="center"/>
          </w:tcPr>
          <w:p w14:paraId="4BDE9623">
            <w:pPr>
              <w:adjustRightInd w:val="0"/>
              <w:snapToGrid w:val="0"/>
              <w:jc w:val="center"/>
              <w:rPr>
                <w:rFonts w:ascii="宋体" w:hAnsi="宋体"/>
                <w:bCs/>
                <w:sz w:val="18"/>
                <w:szCs w:val="18"/>
              </w:rPr>
            </w:pPr>
          </w:p>
        </w:tc>
        <w:tc>
          <w:tcPr>
            <w:tcW w:w="1990" w:type="dxa"/>
            <w:tcBorders>
              <w:top w:val="single" w:color="auto" w:sz="8" w:space="0"/>
            </w:tcBorders>
            <w:noWrap w:val="0"/>
            <w:vAlign w:val="center"/>
          </w:tcPr>
          <w:p w14:paraId="1E259F02">
            <w:pPr>
              <w:tabs>
                <w:tab w:val="center" w:pos="4201"/>
                <w:tab w:val="right" w:leader="dot" w:pos="9298"/>
              </w:tabs>
              <w:autoSpaceDE w:val="0"/>
              <w:autoSpaceDN w:val="0"/>
              <w:adjustRightInd w:val="0"/>
              <w:snapToGrid w:val="0"/>
              <w:ind w:right="34"/>
              <w:jc w:val="center"/>
              <w:rPr>
                <w:rFonts w:ascii="宋体" w:hAnsi="宋体"/>
                <w:kern w:val="0"/>
                <w:sz w:val="18"/>
                <w:szCs w:val="18"/>
              </w:rPr>
            </w:pPr>
            <w:r>
              <w:rPr>
                <w:rFonts w:hint="eastAsia" w:ascii="宋体" w:hAnsi="宋体"/>
                <w:sz w:val="18"/>
                <w:szCs w:val="18"/>
                <w:lang w:eastAsia="zh-CN"/>
              </w:rPr>
              <w:t>4.</w:t>
            </w:r>
            <w:r>
              <w:rPr>
                <w:rFonts w:hint="eastAsia" w:ascii="宋体" w:hAnsi="宋体"/>
                <w:sz w:val="18"/>
                <w:szCs w:val="18"/>
              </w:rPr>
              <w:t>2.2.1</w:t>
            </w:r>
          </w:p>
        </w:tc>
      </w:tr>
      <w:tr w14:paraId="5265D8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tcBorders>
            <w:noWrap w:val="0"/>
            <w:vAlign w:val="center"/>
          </w:tcPr>
          <w:p w14:paraId="2A77F434">
            <w:pPr>
              <w:adjustRightInd w:val="0"/>
              <w:snapToGrid w:val="0"/>
              <w:jc w:val="center"/>
              <w:rPr>
                <w:rFonts w:hint="eastAsia" w:ascii="宋体" w:hAnsi="宋体"/>
                <w:bCs/>
                <w:sz w:val="18"/>
                <w:szCs w:val="18"/>
              </w:rPr>
            </w:pPr>
            <w:r>
              <w:rPr>
                <w:rFonts w:hint="eastAsia" w:ascii="宋体" w:hAnsi="宋体"/>
                <w:bCs/>
                <w:sz w:val="18"/>
                <w:szCs w:val="18"/>
              </w:rPr>
              <w:t>2.2.2</w:t>
            </w:r>
          </w:p>
        </w:tc>
        <w:tc>
          <w:tcPr>
            <w:tcW w:w="6596" w:type="dxa"/>
            <w:tcBorders>
              <w:top w:val="single" w:color="auto" w:sz="8" w:space="0"/>
            </w:tcBorders>
            <w:noWrap w:val="0"/>
            <w:vAlign w:val="center"/>
          </w:tcPr>
          <w:p w14:paraId="6790715C">
            <w:pPr>
              <w:adjustRightInd w:val="0"/>
              <w:snapToGrid w:val="0"/>
              <w:rPr>
                <w:rFonts w:hint="eastAsia" w:ascii="宋体" w:hAnsi="宋体"/>
                <w:bCs/>
                <w:sz w:val="18"/>
                <w:szCs w:val="18"/>
              </w:rPr>
            </w:pPr>
            <w:r>
              <w:rPr>
                <w:rFonts w:hint="eastAsia" w:ascii="宋体" w:hAnsi="宋体"/>
                <w:bCs/>
                <w:sz w:val="18"/>
                <w:szCs w:val="18"/>
              </w:rPr>
              <w:t>道路应符合下列要求：</w:t>
            </w:r>
          </w:p>
          <w:p w14:paraId="3B76F438">
            <w:pPr>
              <w:adjustRightInd w:val="0"/>
              <w:snapToGrid w:val="0"/>
              <w:rPr>
                <w:rFonts w:hint="eastAsia" w:ascii="宋体" w:hAnsi="宋体"/>
                <w:bCs/>
                <w:sz w:val="18"/>
                <w:szCs w:val="18"/>
              </w:rPr>
            </w:pPr>
            <w:r>
              <w:rPr>
                <w:rFonts w:ascii="宋体" w:hAnsi="宋体"/>
                <w:bCs/>
                <w:sz w:val="18"/>
                <w:szCs w:val="18"/>
              </w:rPr>
              <w:t>a</w:t>
            </w:r>
            <w:r>
              <w:rPr>
                <w:rFonts w:hint="eastAsia" w:ascii="宋体" w:hAnsi="宋体"/>
                <w:bCs/>
                <w:sz w:val="18"/>
                <w:szCs w:val="18"/>
              </w:rPr>
              <w:t>）道路路基应牢固，平坦，无坑沟；盖板齐全，坡度适当；排水管网畅通，路面无积水、积油；</w:t>
            </w:r>
          </w:p>
          <w:p w14:paraId="3DE97E04">
            <w:pPr>
              <w:adjustRightInd w:val="0"/>
              <w:snapToGrid w:val="0"/>
              <w:rPr>
                <w:rFonts w:hint="eastAsia" w:ascii="宋体" w:hAnsi="宋体"/>
                <w:bCs/>
                <w:sz w:val="18"/>
                <w:szCs w:val="18"/>
              </w:rPr>
            </w:pPr>
            <w:r>
              <w:rPr>
                <w:rFonts w:hint="eastAsia" w:ascii="宋体" w:hAnsi="宋体"/>
                <w:bCs/>
                <w:sz w:val="18"/>
                <w:szCs w:val="18"/>
              </w:rPr>
              <w:t xml:space="preserve">b）道路上不应堆放物品，允许停置车辆或其他设施的位置应有标志；不应在转弯处或通道两侧停置车辆或其他设施； </w:t>
            </w:r>
          </w:p>
          <w:p w14:paraId="0DED8AEF">
            <w:pPr>
              <w:adjustRightInd w:val="0"/>
              <w:snapToGrid w:val="0"/>
              <w:rPr>
                <w:rFonts w:hint="eastAsia" w:ascii="宋体" w:hAnsi="宋体"/>
                <w:bCs/>
                <w:sz w:val="18"/>
                <w:szCs w:val="18"/>
              </w:rPr>
            </w:pPr>
            <w:r>
              <w:rPr>
                <w:rFonts w:hint="eastAsia" w:ascii="宋体" w:hAnsi="宋体"/>
                <w:bCs/>
                <w:sz w:val="18"/>
                <w:szCs w:val="18"/>
              </w:rPr>
              <w:t>c）游览线路应有明显的区域标志，开放时间，</w:t>
            </w:r>
            <w:r>
              <w:rPr>
                <w:rFonts w:hint="eastAsia" w:ascii="宋体" w:hAnsi="宋体"/>
                <w:bCs/>
                <w:sz w:val="18"/>
                <w:szCs w:val="18"/>
                <w:lang w:val="en-US" w:eastAsia="zh-CN"/>
              </w:rPr>
              <w:t>外部</w:t>
            </w:r>
            <w:r>
              <w:rPr>
                <w:rFonts w:hint="eastAsia" w:ascii="宋体" w:hAnsi="宋体"/>
                <w:bCs/>
                <w:sz w:val="18"/>
                <w:szCs w:val="18"/>
              </w:rPr>
              <w:t>机动车辆不应进入游览区域；</w:t>
            </w:r>
          </w:p>
          <w:p w14:paraId="3A92EF51">
            <w:pPr>
              <w:adjustRightInd w:val="0"/>
              <w:snapToGrid w:val="0"/>
              <w:rPr>
                <w:rFonts w:hint="eastAsia" w:ascii="宋体" w:hAnsi="宋体"/>
                <w:bCs/>
                <w:sz w:val="18"/>
                <w:szCs w:val="18"/>
              </w:rPr>
            </w:pPr>
            <w:r>
              <w:rPr>
                <w:rFonts w:hint="eastAsia" w:ascii="宋体" w:hAnsi="宋体"/>
                <w:bCs/>
                <w:sz w:val="18"/>
                <w:szCs w:val="18"/>
              </w:rPr>
              <w:t>d）</w:t>
            </w:r>
            <w:r>
              <w:rPr>
                <w:rFonts w:ascii="宋体" w:hAnsi="宋体"/>
                <w:bCs/>
                <w:sz w:val="18"/>
                <w:szCs w:val="18"/>
              </w:rPr>
              <w:t>危险路段应有保障游客安全的护栏及警示牌</w:t>
            </w:r>
            <w:r>
              <w:rPr>
                <w:rFonts w:hint="eastAsia" w:ascii="宋体" w:hAnsi="宋体"/>
                <w:bCs/>
                <w:sz w:val="18"/>
                <w:szCs w:val="18"/>
              </w:rPr>
              <w:t>；</w:t>
            </w:r>
          </w:p>
          <w:p w14:paraId="72CE6AB1">
            <w:pPr>
              <w:adjustRightInd w:val="0"/>
              <w:snapToGrid w:val="0"/>
              <w:rPr>
                <w:rFonts w:hint="eastAsia" w:ascii="宋体" w:hAnsi="宋体"/>
                <w:bCs/>
                <w:sz w:val="18"/>
                <w:szCs w:val="18"/>
              </w:rPr>
            </w:pPr>
            <w:r>
              <w:rPr>
                <w:rFonts w:hint="eastAsia" w:ascii="宋体" w:hAnsi="宋体"/>
                <w:bCs/>
                <w:sz w:val="18"/>
                <w:szCs w:val="18"/>
              </w:rPr>
              <w:t>e）非游览区域的主干道应有明显的人、车分隔线或设置人行道；跨越道路上空的构建筑物距离路面的最小净高,应按行驶车辆的最大高度或车辆装载物料后的最大高度另加0.5m～1m的安全间距采用,并不宜小于5 m；</w:t>
            </w:r>
          </w:p>
          <w:p w14:paraId="1C360E0B">
            <w:pPr>
              <w:adjustRightInd w:val="0"/>
              <w:snapToGrid w:val="0"/>
              <w:jc w:val="left"/>
              <w:rPr>
                <w:rFonts w:hint="eastAsia" w:ascii="宋体" w:hAnsi="宋体"/>
                <w:bCs/>
                <w:sz w:val="18"/>
                <w:szCs w:val="18"/>
                <w:lang w:eastAsia="zh-CN"/>
              </w:rPr>
            </w:pPr>
            <w:r>
              <w:rPr>
                <w:rFonts w:hint="eastAsia" w:ascii="宋体" w:hAnsi="宋体"/>
                <w:bCs/>
                <w:sz w:val="18"/>
                <w:szCs w:val="18"/>
              </w:rPr>
              <w:t>f）道路在地形险要的地段应设置安全防护设施</w:t>
            </w:r>
            <w:r>
              <w:rPr>
                <w:rFonts w:hint="eastAsia" w:ascii="宋体" w:hAnsi="宋体"/>
                <w:bCs/>
                <w:sz w:val="18"/>
                <w:szCs w:val="18"/>
                <w:lang w:eastAsia="zh-CN"/>
              </w:rPr>
              <w:t>；</w:t>
            </w:r>
          </w:p>
          <w:p w14:paraId="4E3ED80A">
            <w:pPr>
              <w:adjustRightInd w:val="0"/>
              <w:snapToGrid w:val="0"/>
              <w:jc w:val="left"/>
              <w:rPr>
                <w:rFonts w:hint="eastAsia" w:ascii="宋体" w:hAnsi="宋体"/>
                <w:bCs/>
                <w:sz w:val="18"/>
                <w:szCs w:val="18"/>
              </w:rPr>
            </w:pPr>
            <w:r>
              <w:rPr>
                <w:rFonts w:hint="eastAsia" w:ascii="宋体" w:hAnsi="宋体"/>
                <w:bCs/>
                <w:sz w:val="18"/>
                <w:szCs w:val="18"/>
                <w:lang w:val="en-US" w:eastAsia="zh-CN"/>
              </w:rPr>
              <w:t>g</w:t>
            </w:r>
            <w:r>
              <w:rPr>
                <w:rFonts w:hint="eastAsia" w:ascii="宋体" w:hAnsi="宋体"/>
                <w:bCs/>
                <w:sz w:val="18"/>
                <w:szCs w:val="18"/>
              </w:rPr>
              <w:t>）</w:t>
            </w:r>
            <w:r>
              <w:rPr>
                <w:rFonts w:hint="eastAsia" w:ascii="宋体" w:hAnsi="宋体"/>
                <w:bCs/>
                <w:sz w:val="18"/>
                <w:szCs w:val="18"/>
                <w:lang w:val="en-US" w:eastAsia="zh-CN"/>
              </w:rPr>
              <w:t>道路宽度不得小于0.9米。</w:t>
            </w:r>
          </w:p>
        </w:tc>
        <w:tc>
          <w:tcPr>
            <w:tcW w:w="688" w:type="dxa"/>
            <w:tcBorders>
              <w:top w:val="single" w:color="auto" w:sz="8" w:space="0"/>
            </w:tcBorders>
            <w:noWrap w:val="0"/>
            <w:vAlign w:val="center"/>
          </w:tcPr>
          <w:p w14:paraId="06860498">
            <w:pPr>
              <w:adjustRightInd w:val="0"/>
              <w:snapToGrid w:val="0"/>
              <w:jc w:val="center"/>
              <w:rPr>
                <w:rFonts w:ascii="宋体" w:hAnsi="宋体"/>
                <w:bCs/>
                <w:sz w:val="18"/>
                <w:szCs w:val="18"/>
              </w:rPr>
            </w:pPr>
          </w:p>
        </w:tc>
        <w:tc>
          <w:tcPr>
            <w:tcW w:w="602" w:type="dxa"/>
            <w:tcBorders>
              <w:top w:val="single" w:color="auto" w:sz="8" w:space="0"/>
            </w:tcBorders>
            <w:noWrap w:val="0"/>
            <w:vAlign w:val="center"/>
          </w:tcPr>
          <w:p w14:paraId="4D997AC4">
            <w:pPr>
              <w:adjustRightInd w:val="0"/>
              <w:snapToGrid w:val="0"/>
              <w:jc w:val="center"/>
              <w:rPr>
                <w:rFonts w:ascii="宋体" w:hAnsi="宋体"/>
                <w:bCs/>
                <w:sz w:val="18"/>
                <w:szCs w:val="18"/>
              </w:rPr>
            </w:pPr>
          </w:p>
        </w:tc>
        <w:tc>
          <w:tcPr>
            <w:tcW w:w="715" w:type="dxa"/>
            <w:tcBorders>
              <w:top w:val="single" w:color="auto" w:sz="8" w:space="0"/>
            </w:tcBorders>
            <w:noWrap w:val="0"/>
            <w:vAlign w:val="center"/>
          </w:tcPr>
          <w:p w14:paraId="7101953A">
            <w:pPr>
              <w:adjustRightInd w:val="0"/>
              <w:snapToGrid w:val="0"/>
              <w:jc w:val="center"/>
              <w:rPr>
                <w:rFonts w:hint="eastAsia" w:ascii="宋体" w:hAnsi="宋体"/>
                <w:bCs/>
                <w:sz w:val="18"/>
                <w:szCs w:val="18"/>
              </w:rPr>
            </w:pPr>
            <w:r>
              <w:rPr>
                <w:rFonts w:hint="eastAsia" w:ascii="宋体" w:hAnsi="宋体"/>
                <w:bCs/>
                <w:sz w:val="18"/>
                <w:szCs w:val="18"/>
              </w:rPr>
              <w:t>3</w:t>
            </w:r>
          </w:p>
        </w:tc>
        <w:tc>
          <w:tcPr>
            <w:tcW w:w="2868" w:type="dxa"/>
            <w:tcBorders>
              <w:top w:val="single" w:color="auto" w:sz="8" w:space="0"/>
            </w:tcBorders>
            <w:noWrap w:val="0"/>
            <w:vAlign w:val="center"/>
          </w:tcPr>
          <w:p w14:paraId="68D22498">
            <w:pPr>
              <w:adjustRightInd w:val="0"/>
              <w:snapToGrid w:val="0"/>
              <w:rPr>
                <w:rFonts w:hint="eastAsia" w:ascii="宋体" w:hAnsi="宋体"/>
                <w:kern w:val="0"/>
                <w:sz w:val="18"/>
                <w:szCs w:val="18"/>
              </w:rPr>
            </w:pPr>
            <w:r>
              <w:rPr>
                <w:rFonts w:hint="eastAsia" w:ascii="宋体" w:hAnsi="宋体"/>
                <w:kern w:val="0"/>
                <w:sz w:val="18"/>
                <w:szCs w:val="18"/>
              </w:rPr>
              <w:t>一处不符合扣2分。</w:t>
            </w:r>
          </w:p>
        </w:tc>
        <w:tc>
          <w:tcPr>
            <w:tcW w:w="611" w:type="dxa"/>
            <w:tcBorders>
              <w:top w:val="single" w:color="auto" w:sz="8" w:space="0"/>
            </w:tcBorders>
            <w:noWrap w:val="0"/>
            <w:vAlign w:val="center"/>
          </w:tcPr>
          <w:p w14:paraId="33748241">
            <w:pPr>
              <w:adjustRightInd w:val="0"/>
              <w:snapToGrid w:val="0"/>
              <w:jc w:val="center"/>
              <w:rPr>
                <w:rFonts w:ascii="宋体" w:hAnsi="宋体"/>
                <w:bCs/>
                <w:sz w:val="18"/>
                <w:szCs w:val="18"/>
              </w:rPr>
            </w:pPr>
          </w:p>
        </w:tc>
        <w:tc>
          <w:tcPr>
            <w:tcW w:w="611" w:type="dxa"/>
            <w:tcBorders>
              <w:top w:val="single" w:color="auto" w:sz="8" w:space="0"/>
            </w:tcBorders>
            <w:noWrap w:val="0"/>
            <w:vAlign w:val="center"/>
          </w:tcPr>
          <w:p w14:paraId="0BBD0A60">
            <w:pPr>
              <w:adjustRightInd w:val="0"/>
              <w:snapToGrid w:val="0"/>
              <w:jc w:val="center"/>
              <w:rPr>
                <w:rFonts w:ascii="宋体" w:hAnsi="宋体"/>
                <w:bCs/>
                <w:sz w:val="18"/>
                <w:szCs w:val="18"/>
              </w:rPr>
            </w:pPr>
          </w:p>
        </w:tc>
        <w:tc>
          <w:tcPr>
            <w:tcW w:w="1990" w:type="dxa"/>
            <w:tcBorders>
              <w:top w:val="single" w:color="auto" w:sz="8" w:space="0"/>
            </w:tcBorders>
            <w:noWrap w:val="0"/>
            <w:vAlign w:val="center"/>
          </w:tcPr>
          <w:p w14:paraId="648CB30D">
            <w:pPr>
              <w:tabs>
                <w:tab w:val="center" w:pos="4201"/>
                <w:tab w:val="right" w:leader="dot" w:pos="9298"/>
              </w:tabs>
              <w:autoSpaceDE w:val="0"/>
              <w:autoSpaceDN w:val="0"/>
              <w:adjustRightInd w:val="0"/>
              <w:snapToGrid w:val="0"/>
              <w:ind w:right="34"/>
              <w:jc w:val="center"/>
              <w:rPr>
                <w:rFonts w:hint="eastAsia" w:ascii="宋体" w:hAnsi="宋体"/>
                <w:sz w:val="18"/>
                <w:szCs w:val="18"/>
              </w:rPr>
            </w:pPr>
            <w:r>
              <w:rPr>
                <w:rFonts w:hint="eastAsia" w:ascii="宋体" w:hAnsi="宋体"/>
                <w:sz w:val="18"/>
                <w:szCs w:val="18"/>
                <w:lang w:eastAsia="zh-CN"/>
              </w:rPr>
              <w:t>4.</w:t>
            </w:r>
            <w:r>
              <w:rPr>
                <w:rFonts w:hint="eastAsia" w:ascii="宋体" w:hAnsi="宋体"/>
                <w:sz w:val="18"/>
                <w:szCs w:val="18"/>
              </w:rPr>
              <w:t>2.2.2</w:t>
            </w:r>
          </w:p>
        </w:tc>
      </w:tr>
      <w:tr w14:paraId="08F2C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tcBorders>
            <w:noWrap w:val="0"/>
            <w:vAlign w:val="center"/>
          </w:tcPr>
          <w:p w14:paraId="75604CA2">
            <w:pPr>
              <w:adjustRightInd w:val="0"/>
              <w:snapToGrid w:val="0"/>
              <w:jc w:val="center"/>
              <w:rPr>
                <w:rFonts w:hint="eastAsia" w:ascii="宋体" w:hAnsi="宋体"/>
                <w:bCs/>
                <w:sz w:val="18"/>
                <w:szCs w:val="18"/>
              </w:rPr>
            </w:pPr>
            <w:r>
              <w:rPr>
                <w:rFonts w:hint="eastAsia" w:ascii="宋体" w:hAnsi="宋体"/>
                <w:bCs/>
                <w:sz w:val="18"/>
                <w:szCs w:val="18"/>
              </w:rPr>
              <w:t>2.2.3</w:t>
            </w:r>
          </w:p>
        </w:tc>
        <w:tc>
          <w:tcPr>
            <w:tcW w:w="6596" w:type="dxa"/>
            <w:tcBorders>
              <w:top w:val="single" w:color="auto" w:sz="8" w:space="0"/>
            </w:tcBorders>
            <w:noWrap w:val="0"/>
            <w:vAlign w:val="center"/>
          </w:tcPr>
          <w:p w14:paraId="41211573">
            <w:pPr>
              <w:adjustRightInd w:val="0"/>
              <w:snapToGrid w:val="0"/>
              <w:jc w:val="left"/>
              <w:rPr>
                <w:rFonts w:hint="eastAsia" w:ascii="宋体" w:hAnsi="宋体"/>
                <w:bCs/>
                <w:sz w:val="18"/>
                <w:szCs w:val="18"/>
              </w:rPr>
            </w:pPr>
            <w:r>
              <w:rPr>
                <w:rFonts w:hint="eastAsia" w:ascii="宋体" w:hAnsi="宋体"/>
                <w:bCs/>
                <w:sz w:val="18"/>
                <w:szCs w:val="18"/>
              </w:rPr>
              <w:t>建立安全信息发布系统，通过有线广播、安全须知、宣传手册等形式，及时向游客提供准确、规范的安全信息。</w:t>
            </w:r>
          </w:p>
        </w:tc>
        <w:tc>
          <w:tcPr>
            <w:tcW w:w="688" w:type="dxa"/>
            <w:tcBorders>
              <w:top w:val="single" w:color="auto" w:sz="8" w:space="0"/>
            </w:tcBorders>
            <w:noWrap w:val="0"/>
            <w:vAlign w:val="center"/>
          </w:tcPr>
          <w:p w14:paraId="7B85B6AA">
            <w:pPr>
              <w:adjustRightInd w:val="0"/>
              <w:snapToGrid w:val="0"/>
              <w:jc w:val="center"/>
              <w:rPr>
                <w:rFonts w:ascii="宋体" w:hAnsi="宋体"/>
                <w:bCs/>
                <w:sz w:val="18"/>
                <w:szCs w:val="18"/>
              </w:rPr>
            </w:pPr>
          </w:p>
        </w:tc>
        <w:tc>
          <w:tcPr>
            <w:tcW w:w="602" w:type="dxa"/>
            <w:tcBorders>
              <w:top w:val="single" w:color="auto" w:sz="8" w:space="0"/>
            </w:tcBorders>
            <w:noWrap w:val="0"/>
            <w:vAlign w:val="center"/>
          </w:tcPr>
          <w:p w14:paraId="0EE96BAF">
            <w:pPr>
              <w:adjustRightInd w:val="0"/>
              <w:snapToGrid w:val="0"/>
              <w:jc w:val="center"/>
              <w:rPr>
                <w:rFonts w:ascii="宋体" w:hAnsi="宋体"/>
                <w:bCs/>
                <w:sz w:val="18"/>
                <w:szCs w:val="18"/>
              </w:rPr>
            </w:pPr>
          </w:p>
        </w:tc>
        <w:tc>
          <w:tcPr>
            <w:tcW w:w="715" w:type="dxa"/>
            <w:tcBorders>
              <w:top w:val="single" w:color="auto" w:sz="8" w:space="0"/>
            </w:tcBorders>
            <w:noWrap w:val="0"/>
            <w:vAlign w:val="center"/>
          </w:tcPr>
          <w:p w14:paraId="6109FFD5">
            <w:pPr>
              <w:adjustRightInd w:val="0"/>
              <w:snapToGrid w:val="0"/>
              <w:jc w:val="center"/>
              <w:rPr>
                <w:rFonts w:hint="eastAsia" w:ascii="宋体" w:hAnsi="宋体"/>
                <w:bCs/>
                <w:sz w:val="18"/>
                <w:szCs w:val="18"/>
              </w:rPr>
            </w:pPr>
            <w:r>
              <w:rPr>
                <w:rFonts w:hint="eastAsia" w:ascii="宋体" w:hAnsi="宋体"/>
                <w:bCs/>
                <w:sz w:val="18"/>
                <w:szCs w:val="18"/>
              </w:rPr>
              <w:t>1</w:t>
            </w:r>
          </w:p>
        </w:tc>
        <w:tc>
          <w:tcPr>
            <w:tcW w:w="2868" w:type="dxa"/>
            <w:tcBorders>
              <w:top w:val="single" w:color="auto" w:sz="8" w:space="0"/>
            </w:tcBorders>
            <w:noWrap w:val="0"/>
            <w:vAlign w:val="center"/>
          </w:tcPr>
          <w:p w14:paraId="280B0B81">
            <w:pPr>
              <w:adjustRightInd w:val="0"/>
              <w:snapToGrid w:val="0"/>
              <w:rPr>
                <w:rFonts w:hint="eastAsia" w:ascii="宋体" w:hAnsi="宋体"/>
                <w:kern w:val="0"/>
                <w:sz w:val="18"/>
                <w:szCs w:val="18"/>
              </w:rPr>
            </w:pPr>
            <w:r>
              <w:rPr>
                <w:rFonts w:hint="eastAsia" w:ascii="宋体" w:hAnsi="宋体"/>
                <w:kern w:val="0"/>
                <w:sz w:val="18"/>
                <w:szCs w:val="18"/>
              </w:rPr>
              <w:t>一处不符合扣1分。</w:t>
            </w:r>
          </w:p>
        </w:tc>
        <w:tc>
          <w:tcPr>
            <w:tcW w:w="611" w:type="dxa"/>
            <w:tcBorders>
              <w:top w:val="single" w:color="auto" w:sz="8" w:space="0"/>
            </w:tcBorders>
            <w:noWrap w:val="0"/>
            <w:vAlign w:val="center"/>
          </w:tcPr>
          <w:p w14:paraId="6A0EFFFB">
            <w:pPr>
              <w:adjustRightInd w:val="0"/>
              <w:snapToGrid w:val="0"/>
              <w:jc w:val="center"/>
              <w:rPr>
                <w:rFonts w:ascii="宋体" w:hAnsi="宋体"/>
                <w:bCs/>
                <w:sz w:val="18"/>
                <w:szCs w:val="18"/>
              </w:rPr>
            </w:pPr>
          </w:p>
        </w:tc>
        <w:tc>
          <w:tcPr>
            <w:tcW w:w="611" w:type="dxa"/>
            <w:tcBorders>
              <w:top w:val="single" w:color="auto" w:sz="8" w:space="0"/>
            </w:tcBorders>
            <w:noWrap w:val="0"/>
            <w:vAlign w:val="center"/>
          </w:tcPr>
          <w:p w14:paraId="3EE760BB">
            <w:pPr>
              <w:adjustRightInd w:val="0"/>
              <w:snapToGrid w:val="0"/>
              <w:jc w:val="center"/>
              <w:rPr>
                <w:rFonts w:ascii="宋体" w:hAnsi="宋体"/>
                <w:bCs/>
                <w:sz w:val="18"/>
                <w:szCs w:val="18"/>
              </w:rPr>
            </w:pPr>
          </w:p>
        </w:tc>
        <w:tc>
          <w:tcPr>
            <w:tcW w:w="1990" w:type="dxa"/>
            <w:tcBorders>
              <w:top w:val="single" w:color="auto" w:sz="8" w:space="0"/>
            </w:tcBorders>
            <w:noWrap w:val="0"/>
            <w:vAlign w:val="center"/>
          </w:tcPr>
          <w:p w14:paraId="096CFA4B">
            <w:pPr>
              <w:tabs>
                <w:tab w:val="center" w:pos="4201"/>
                <w:tab w:val="right" w:leader="dot" w:pos="9298"/>
              </w:tabs>
              <w:autoSpaceDE w:val="0"/>
              <w:autoSpaceDN w:val="0"/>
              <w:adjustRightInd w:val="0"/>
              <w:snapToGrid w:val="0"/>
              <w:ind w:right="34"/>
              <w:jc w:val="center"/>
              <w:rPr>
                <w:rFonts w:hint="eastAsia" w:ascii="宋体" w:hAnsi="宋体"/>
                <w:sz w:val="18"/>
                <w:szCs w:val="18"/>
              </w:rPr>
            </w:pPr>
            <w:r>
              <w:rPr>
                <w:rFonts w:hint="eastAsia" w:ascii="宋体" w:hAnsi="宋体"/>
                <w:sz w:val="18"/>
                <w:szCs w:val="18"/>
                <w:lang w:eastAsia="zh-CN"/>
              </w:rPr>
              <w:t>4.</w:t>
            </w:r>
            <w:r>
              <w:rPr>
                <w:rFonts w:hint="eastAsia" w:ascii="宋体" w:hAnsi="宋体"/>
                <w:sz w:val="18"/>
                <w:szCs w:val="18"/>
              </w:rPr>
              <w:t>2.2.3</w:t>
            </w:r>
          </w:p>
        </w:tc>
      </w:tr>
      <w:tr w14:paraId="458EEA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bottom w:val="single" w:color="auto" w:sz="8" w:space="0"/>
            </w:tcBorders>
            <w:noWrap w:val="0"/>
            <w:vAlign w:val="center"/>
          </w:tcPr>
          <w:p w14:paraId="7338F048">
            <w:pPr>
              <w:adjustRightInd w:val="0"/>
              <w:snapToGrid w:val="0"/>
              <w:jc w:val="center"/>
              <w:rPr>
                <w:rFonts w:hint="eastAsia" w:ascii="宋体" w:hAnsi="宋体"/>
                <w:bCs/>
                <w:sz w:val="18"/>
                <w:szCs w:val="18"/>
              </w:rPr>
            </w:pPr>
            <w:r>
              <w:rPr>
                <w:rFonts w:hint="eastAsia" w:ascii="宋体" w:hAnsi="宋体"/>
                <w:bCs/>
                <w:sz w:val="18"/>
                <w:szCs w:val="18"/>
              </w:rPr>
              <w:t>2.2.4</w:t>
            </w:r>
          </w:p>
        </w:tc>
        <w:tc>
          <w:tcPr>
            <w:tcW w:w="6596" w:type="dxa"/>
            <w:tcBorders>
              <w:top w:val="single" w:color="auto" w:sz="8" w:space="0"/>
              <w:bottom w:val="single" w:color="auto" w:sz="8" w:space="0"/>
            </w:tcBorders>
            <w:noWrap w:val="0"/>
            <w:vAlign w:val="center"/>
          </w:tcPr>
          <w:p w14:paraId="168B6B68">
            <w:pPr>
              <w:adjustRightInd w:val="0"/>
              <w:snapToGrid w:val="0"/>
              <w:jc w:val="left"/>
              <w:rPr>
                <w:rFonts w:hint="eastAsia" w:ascii="宋体" w:hAnsi="宋体"/>
                <w:bCs/>
                <w:sz w:val="18"/>
                <w:szCs w:val="18"/>
              </w:rPr>
            </w:pPr>
            <w:r>
              <w:rPr>
                <w:rFonts w:hint="eastAsia" w:ascii="宋体" w:hAnsi="宋体"/>
                <w:bCs/>
                <w:sz w:val="18"/>
                <w:szCs w:val="18"/>
              </w:rPr>
              <w:t>景区内夜间游览区域应配备足量、有效的照明设施；无人值守的危险地段，其安全警示标志应有夜间照明</w:t>
            </w:r>
            <w:r>
              <w:rPr>
                <w:rFonts w:hint="eastAsia" w:ascii="宋体" w:hAnsi="宋体"/>
                <w:bCs/>
                <w:sz w:val="18"/>
                <w:szCs w:val="18"/>
                <w:lang w:val="en-US" w:eastAsia="zh-CN"/>
              </w:rPr>
              <w:t>功能</w:t>
            </w:r>
            <w:r>
              <w:rPr>
                <w:rFonts w:hint="eastAsia" w:ascii="宋体" w:hAnsi="宋体"/>
                <w:bCs/>
                <w:sz w:val="18"/>
                <w:szCs w:val="18"/>
              </w:rPr>
              <w:t>。</w:t>
            </w:r>
          </w:p>
        </w:tc>
        <w:tc>
          <w:tcPr>
            <w:tcW w:w="688" w:type="dxa"/>
            <w:tcBorders>
              <w:top w:val="single" w:color="auto" w:sz="8" w:space="0"/>
              <w:bottom w:val="single" w:color="auto" w:sz="8" w:space="0"/>
            </w:tcBorders>
            <w:noWrap w:val="0"/>
            <w:vAlign w:val="center"/>
          </w:tcPr>
          <w:p w14:paraId="7DB30D67">
            <w:pPr>
              <w:adjustRightInd w:val="0"/>
              <w:snapToGrid w:val="0"/>
              <w:jc w:val="center"/>
              <w:rPr>
                <w:rFonts w:ascii="宋体" w:hAnsi="宋体"/>
                <w:bCs/>
                <w:sz w:val="18"/>
                <w:szCs w:val="18"/>
              </w:rPr>
            </w:pPr>
          </w:p>
        </w:tc>
        <w:tc>
          <w:tcPr>
            <w:tcW w:w="602" w:type="dxa"/>
            <w:tcBorders>
              <w:top w:val="single" w:color="auto" w:sz="8" w:space="0"/>
              <w:bottom w:val="single" w:color="auto" w:sz="8" w:space="0"/>
            </w:tcBorders>
            <w:noWrap w:val="0"/>
            <w:vAlign w:val="center"/>
          </w:tcPr>
          <w:p w14:paraId="2455C905">
            <w:pPr>
              <w:adjustRightInd w:val="0"/>
              <w:snapToGrid w:val="0"/>
              <w:jc w:val="center"/>
              <w:rPr>
                <w:rFonts w:ascii="宋体" w:hAnsi="宋体"/>
                <w:bCs/>
                <w:sz w:val="18"/>
                <w:szCs w:val="18"/>
              </w:rPr>
            </w:pPr>
          </w:p>
        </w:tc>
        <w:tc>
          <w:tcPr>
            <w:tcW w:w="715" w:type="dxa"/>
            <w:tcBorders>
              <w:top w:val="single" w:color="auto" w:sz="8" w:space="0"/>
              <w:bottom w:val="single" w:color="auto" w:sz="8" w:space="0"/>
            </w:tcBorders>
            <w:noWrap w:val="0"/>
            <w:vAlign w:val="center"/>
          </w:tcPr>
          <w:p w14:paraId="455DDF95">
            <w:pPr>
              <w:adjustRightInd w:val="0"/>
              <w:snapToGrid w:val="0"/>
              <w:jc w:val="center"/>
              <w:rPr>
                <w:rFonts w:hint="eastAsia" w:ascii="宋体" w:hAnsi="宋体"/>
                <w:bCs/>
                <w:sz w:val="18"/>
                <w:szCs w:val="18"/>
              </w:rPr>
            </w:pPr>
            <w:r>
              <w:rPr>
                <w:rFonts w:hint="eastAsia" w:ascii="宋体" w:hAnsi="宋体"/>
                <w:bCs/>
                <w:sz w:val="18"/>
                <w:szCs w:val="18"/>
              </w:rPr>
              <w:t>1</w:t>
            </w:r>
          </w:p>
        </w:tc>
        <w:tc>
          <w:tcPr>
            <w:tcW w:w="2868" w:type="dxa"/>
            <w:tcBorders>
              <w:top w:val="single" w:color="auto" w:sz="8" w:space="0"/>
              <w:bottom w:val="single" w:color="auto" w:sz="8" w:space="0"/>
            </w:tcBorders>
            <w:noWrap w:val="0"/>
            <w:vAlign w:val="center"/>
          </w:tcPr>
          <w:p w14:paraId="5D1B831C">
            <w:pPr>
              <w:adjustRightInd w:val="0"/>
              <w:snapToGrid w:val="0"/>
              <w:rPr>
                <w:rFonts w:hint="eastAsia" w:ascii="宋体" w:hAnsi="宋体"/>
                <w:kern w:val="0"/>
                <w:sz w:val="18"/>
                <w:szCs w:val="18"/>
              </w:rPr>
            </w:pPr>
            <w:r>
              <w:rPr>
                <w:rFonts w:hint="eastAsia" w:ascii="宋体" w:hAnsi="宋体"/>
                <w:kern w:val="0"/>
                <w:sz w:val="18"/>
                <w:szCs w:val="18"/>
              </w:rPr>
              <w:t>一处不符合扣1分。</w:t>
            </w:r>
          </w:p>
        </w:tc>
        <w:tc>
          <w:tcPr>
            <w:tcW w:w="611" w:type="dxa"/>
            <w:tcBorders>
              <w:top w:val="single" w:color="auto" w:sz="8" w:space="0"/>
              <w:bottom w:val="single" w:color="auto" w:sz="8" w:space="0"/>
            </w:tcBorders>
            <w:noWrap w:val="0"/>
            <w:vAlign w:val="center"/>
          </w:tcPr>
          <w:p w14:paraId="720290E4">
            <w:pPr>
              <w:adjustRightInd w:val="0"/>
              <w:snapToGrid w:val="0"/>
              <w:jc w:val="center"/>
              <w:rPr>
                <w:rFonts w:ascii="宋体" w:hAnsi="宋体"/>
                <w:bCs/>
                <w:sz w:val="18"/>
                <w:szCs w:val="18"/>
              </w:rPr>
            </w:pPr>
          </w:p>
        </w:tc>
        <w:tc>
          <w:tcPr>
            <w:tcW w:w="611" w:type="dxa"/>
            <w:tcBorders>
              <w:top w:val="single" w:color="auto" w:sz="8" w:space="0"/>
              <w:bottom w:val="single" w:color="auto" w:sz="8" w:space="0"/>
            </w:tcBorders>
            <w:noWrap w:val="0"/>
            <w:vAlign w:val="center"/>
          </w:tcPr>
          <w:p w14:paraId="7580D421">
            <w:pPr>
              <w:adjustRightInd w:val="0"/>
              <w:snapToGrid w:val="0"/>
              <w:jc w:val="center"/>
              <w:rPr>
                <w:rFonts w:ascii="宋体" w:hAnsi="宋体"/>
                <w:bCs/>
                <w:sz w:val="18"/>
                <w:szCs w:val="18"/>
              </w:rPr>
            </w:pPr>
          </w:p>
        </w:tc>
        <w:tc>
          <w:tcPr>
            <w:tcW w:w="1990" w:type="dxa"/>
            <w:tcBorders>
              <w:top w:val="single" w:color="auto" w:sz="8" w:space="0"/>
              <w:bottom w:val="single" w:color="auto" w:sz="8" w:space="0"/>
            </w:tcBorders>
            <w:noWrap w:val="0"/>
            <w:vAlign w:val="center"/>
          </w:tcPr>
          <w:p w14:paraId="28AFE73D">
            <w:pPr>
              <w:tabs>
                <w:tab w:val="center" w:pos="4201"/>
                <w:tab w:val="right" w:leader="dot" w:pos="9298"/>
              </w:tabs>
              <w:autoSpaceDE w:val="0"/>
              <w:autoSpaceDN w:val="0"/>
              <w:adjustRightInd w:val="0"/>
              <w:snapToGrid w:val="0"/>
              <w:ind w:right="34"/>
              <w:jc w:val="center"/>
              <w:rPr>
                <w:rFonts w:hint="eastAsia" w:ascii="宋体" w:hAnsi="宋体"/>
                <w:sz w:val="18"/>
                <w:szCs w:val="18"/>
              </w:rPr>
            </w:pPr>
            <w:r>
              <w:rPr>
                <w:rFonts w:hint="eastAsia" w:ascii="宋体" w:hAnsi="宋体"/>
                <w:sz w:val="18"/>
                <w:szCs w:val="18"/>
                <w:lang w:eastAsia="zh-CN"/>
              </w:rPr>
              <w:t>4.</w:t>
            </w:r>
            <w:r>
              <w:rPr>
                <w:rFonts w:hint="eastAsia" w:ascii="宋体" w:hAnsi="宋体"/>
                <w:sz w:val="18"/>
                <w:szCs w:val="18"/>
              </w:rPr>
              <w:t>2.2.4</w:t>
            </w:r>
          </w:p>
        </w:tc>
      </w:tr>
      <w:tr w14:paraId="079BF8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2" w:type="dxa"/>
            <w:tcBorders>
              <w:top w:val="single" w:color="auto" w:sz="8" w:space="0"/>
              <w:bottom w:val="single" w:color="auto" w:sz="8" w:space="0"/>
            </w:tcBorders>
            <w:noWrap w:val="0"/>
            <w:vAlign w:val="center"/>
          </w:tcPr>
          <w:p w14:paraId="5D8253D5">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2.2.5</w:t>
            </w:r>
          </w:p>
        </w:tc>
        <w:tc>
          <w:tcPr>
            <w:tcW w:w="6596" w:type="dxa"/>
            <w:tcBorders>
              <w:top w:val="single" w:color="auto" w:sz="8" w:space="0"/>
              <w:bottom w:val="single" w:color="auto" w:sz="8" w:space="0"/>
            </w:tcBorders>
            <w:noWrap w:val="0"/>
            <w:vAlign w:val="center"/>
          </w:tcPr>
          <w:p w14:paraId="0A1ED9DC">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sz w:val="18"/>
                <w:szCs w:val="18"/>
              </w:rPr>
              <w:t>水域和湿地等危险区域应配置专人负责管理和巡查，易发生淹溺</w:t>
            </w:r>
            <w:r>
              <w:rPr>
                <w:rFonts w:hint="eastAsia" w:ascii="宋体" w:hAnsi="宋体"/>
                <w:sz w:val="18"/>
                <w:szCs w:val="18"/>
                <w:lang w:eastAsia="zh-CN"/>
              </w:rPr>
              <w:t>、</w:t>
            </w:r>
            <w:r>
              <w:rPr>
                <w:rFonts w:hint="eastAsia" w:ascii="宋体" w:hAnsi="宋体"/>
                <w:sz w:val="18"/>
                <w:szCs w:val="18"/>
                <w:lang w:val="en-US" w:eastAsia="zh-CN"/>
              </w:rPr>
              <w:t>高处坠落</w:t>
            </w:r>
            <w:r>
              <w:rPr>
                <w:rFonts w:hint="eastAsia" w:ascii="宋体" w:hAnsi="宋体"/>
                <w:sz w:val="18"/>
                <w:szCs w:val="18"/>
              </w:rPr>
              <w:t>等人</w:t>
            </w:r>
          </w:p>
        </w:tc>
        <w:tc>
          <w:tcPr>
            <w:tcW w:w="688" w:type="dxa"/>
            <w:tcBorders>
              <w:top w:val="single" w:color="auto" w:sz="8" w:space="0"/>
              <w:bottom w:val="single" w:color="auto" w:sz="8" w:space="0"/>
            </w:tcBorders>
            <w:noWrap w:val="0"/>
            <w:vAlign w:val="center"/>
          </w:tcPr>
          <w:p w14:paraId="2FD2161E">
            <w:pPr>
              <w:adjustRightInd w:val="0"/>
              <w:snapToGrid w:val="0"/>
              <w:jc w:val="center"/>
              <w:rPr>
                <w:rFonts w:ascii="宋体" w:hAnsi="宋体" w:eastAsia="宋体" w:cs="Times New Roman"/>
                <w:bCs/>
                <w:kern w:val="2"/>
                <w:sz w:val="18"/>
                <w:szCs w:val="18"/>
                <w:lang w:val="en-US" w:eastAsia="zh-CN" w:bidi="ar-SA"/>
              </w:rPr>
            </w:pPr>
          </w:p>
        </w:tc>
        <w:tc>
          <w:tcPr>
            <w:tcW w:w="602" w:type="dxa"/>
            <w:tcBorders>
              <w:top w:val="single" w:color="auto" w:sz="8" w:space="0"/>
              <w:bottom w:val="single" w:color="auto" w:sz="8" w:space="0"/>
            </w:tcBorders>
            <w:noWrap w:val="0"/>
            <w:vAlign w:val="center"/>
          </w:tcPr>
          <w:p w14:paraId="13188DF8">
            <w:pPr>
              <w:adjustRightInd w:val="0"/>
              <w:snapToGrid w:val="0"/>
              <w:jc w:val="center"/>
              <w:rPr>
                <w:rFonts w:ascii="宋体" w:hAnsi="宋体" w:eastAsia="宋体" w:cs="Times New Roman"/>
                <w:bCs/>
                <w:kern w:val="2"/>
                <w:sz w:val="18"/>
                <w:szCs w:val="18"/>
                <w:lang w:val="en-US" w:eastAsia="zh-CN" w:bidi="ar-SA"/>
              </w:rPr>
            </w:pPr>
          </w:p>
        </w:tc>
        <w:tc>
          <w:tcPr>
            <w:tcW w:w="715" w:type="dxa"/>
            <w:tcBorders>
              <w:top w:val="single" w:color="auto" w:sz="8" w:space="0"/>
              <w:bottom w:val="single" w:color="auto" w:sz="8" w:space="0"/>
            </w:tcBorders>
            <w:noWrap w:val="0"/>
            <w:vAlign w:val="center"/>
          </w:tcPr>
          <w:p w14:paraId="12D1D18A">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w:t>
            </w:r>
          </w:p>
        </w:tc>
        <w:tc>
          <w:tcPr>
            <w:tcW w:w="2868" w:type="dxa"/>
            <w:tcBorders>
              <w:top w:val="single" w:color="auto" w:sz="8" w:space="0"/>
              <w:bottom w:val="single" w:color="auto" w:sz="8" w:space="0"/>
            </w:tcBorders>
            <w:noWrap w:val="0"/>
            <w:vAlign w:val="center"/>
          </w:tcPr>
          <w:p w14:paraId="487F65B6">
            <w:pPr>
              <w:jc w:val="left"/>
              <w:rPr>
                <w:rFonts w:hint="eastAsia" w:ascii="宋体" w:hAnsi="宋体" w:eastAsia="宋体" w:cs="Times New Roman"/>
                <w:kern w:val="2"/>
                <w:sz w:val="18"/>
                <w:szCs w:val="18"/>
                <w:lang w:val="en-US" w:eastAsia="zh-CN" w:bidi="ar-SA"/>
              </w:rPr>
            </w:pPr>
            <w:r>
              <w:rPr>
                <w:rFonts w:hint="eastAsia" w:ascii="宋体" w:hAnsi="宋体"/>
                <w:kern w:val="0"/>
                <w:sz w:val="18"/>
                <w:szCs w:val="18"/>
              </w:rPr>
              <w:t>一处不符合扣1分。</w:t>
            </w:r>
          </w:p>
        </w:tc>
        <w:tc>
          <w:tcPr>
            <w:tcW w:w="611" w:type="dxa"/>
            <w:tcBorders>
              <w:top w:val="single" w:color="auto" w:sz="8" w:space="0"/>
              <w:bottom w:val="single" w:color="auto" w:sz="8" w:space="0"/>
            </w:tcBorders>
            <w:noWrap w:val="0"/>
            <w:vAlign w:val="center"/>
          </w:tcPr>
          <w:p w14:paraId="77D06DC3">
            <w:pPr>
              <w:adjustRightInd w:val="0"/>
              <w:snapToGrid w:val="0"/>
              <w:jc w:val="center"/>
              <w:rPr>
                <w:rFonts w:ascii="宋体" w:hAnsi="宋体" w:eastAsia="宋体" w:cs="Times New Roman"/>
                <w:bCs/>
                <w:kern w:val="2"/>
                <w:sz w:val="18"/>
                <w:szCs w:val="18"/>
                <w:lang w:val="en-US" w:eastAsia="zh-CN" w:bidi="ar-SA"/>
              </w:rPr>
            </w:pPr>
          </w:p>
        </w:tc>
        <w:tc>
          <w:tcPr>
            <w:tcW w:w="611" w:type="dxa"/>
            <w:tcBorders>
              <w:top w:val="single" w:color="auto" w:sz="8" w:space="0"/>
              <w:bottom w:val="single" w:color="auto" w:sz="8" w:space="0"/>
            </w:tcBorders>
            <w:noWrap w:val="0"/>
            <w:vAlign w:val="center"/>
          </w:tcPr>
          <w:p w14:paraId="47EA6312">
            <w:pPr>
              <w:adjustRightInd w:val="0"/>
              <w:snapToGrid w:val="0"/>
              <w:jc w:val="center"/>
              <w:rPr>
                <w:rFonts w:ascii="宋体" w:hAnsi="宋体" w:eastAsia="宋体" w:cs="Times New Roman"/>
                <w:bCs/>
                <w:kern w:val="2"/>
                <w:sz w:val="18"/>
                <w:szCs w:val="18"/>
                <w:lang w:val="en-US" w:eastAsia="zh-CN" w:bidi="ar-SA"/>
              </w:rPr>
            </w:pPr>
          </w:p>
        </w:tc>
        <w:tc>
          <w:tcPr>
            <w:tcW w:w="1990" w:type="dxa"/>
            <w:tcBorders>
              <w:top w:val="single" w:color="auto" w:sz="8" w:space="0"/>
              <w:bottom w:val="single" w:color="auto" w:sz="8" w:space="0"/>
            </w:tcBorders>
            <w:noWrap w:val="0"/>
            <w:vAlign w:val="center"/>
          </w:tcPr>
          <w:p w14:paraId="4F20FFA1">
            <w:pPr>
              <w:tabs>
                <w:tab w:val="center" w:pos="4201"/>
                <w:tab w:val="right" w:leader="dot" w:pos="9298"/>
              </w:tabs>
              <w:autoSpaceDE w:val="0"/>
              <w:autoSpaceDN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w:t>
            </w:r>
            <w:r>
              <w:rPr>
                <w:rFonts w:hint="eastAsia" w:ascii="宋体" w:hAnsi="宋体"/>
                <w:sz w:val="18"/>
                <w:szCs w:val="18"/>
              </w:rPr>
              <w:t>2.2.5</w:t>
            </w:r>
          </w:p>
        </w:tc>
      </w:tr>
    </w:tbl>
    <w:p w14:paraId="6A7BB498">
      <w:pPr>
        <w:pStyle w:val="168"/>
        <w:widowControl/>
        <w:numPr>
          <w:ilvl w:val="0"/>
          <w:numId w:val="0"/>
        </w:numPr>
        <w:spacing w:before="156" w:after="156"/>
        <w:ind w:left="567" w:hanging="567"/>
        <w:rPr>
          <w:rFonts w:hint="eastAsia"/>
        </w:rPr>
      </w:pPr>
      <w:r>
        <w:br w:type="page"/>
      </w:r>
      <w:r>
        <w:rPr>
          <w:rFonts w:hint="eastAsia"/>
        </w:rPr>
        <w:t>表C.1 场所环境要素的安全生产等级评定细则</w:t>
      </w:r>
      <w:r>
        <w:rPr>
          <w:rFonts w:hint="eastAsia" w:ascii="宋体" w:hAnsi="宋体" w:eastAsia="宋体"/>
        </w:rPr>
        <w:t>（续）</w:t>
      </w:r>
    </w:p>
    <w:tbl>
      <w:tblPr>
        <w:tblStyle w:val="47"/>
        <w:tblpPr w:leftFromText="180" w:rightFromText="180" w:vertAnchor="text"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664"/>
        <w:gridCol w:w="624"/>
        <w:gridCol w:w="624"/>
        <w:gridCol w:w="676"/>
        <w:gridCol w:w="3175"/>
        <w:gridCol w:w="623"/>
        <w:gridCol w:w="623"/>
        <w:gridCol w:w="1560"/>
      </w:tblGrid>
      <w:tr w14:paraId="540EF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noWrap w:val="0"/>
            <w:vAlign w:val="center"/>
          </w:tcPr>
          <w:p w14:paraId="4250E813">
            <w:pPr>
              <w:adjustRightInd w:val="0"/>
              <w:snapToGrid w:val="0"/>
              <w:jc w:val="center"/>
              <w:rPr>
                <w:rFonts w:ascii="宋体" w:hAnsi="宋体"/>
                <w:sz w:val="18"/>
                <w:szCs w:val="18"/>
              </w:rPr>
            </w:pPr>
            <w:r>
              <w:rPr>
                <w:rFonts w:ascii="宋体" w:hAnsi="宋体"/>
                <w:bCs/>
                <w:sz w:val="18"/>
                <w:szCs w:val="18"/>
              </w:rPr>
              <w:t>序号</w:t>
            </w:r>
          </w:p>
        </w:tc>
        <w:tc>
          <w:tcPr>
            <w:tcW w:w="6664" w:type="dxa"/>
            <w:tcBorders>
              <w:top w:val="single" w:color="auto" w:sz="8" w:space="0"/>
              <w:bottom w:val="single" w:color="auto" w:sz="8" w:space="0"/>
            </w:tcBorders>
            <w:noWrap w:val="0"/>
            <w:vAlign w:val="center"/>
          </w:tcPr>
          <w:p w14:paraId="05DFDF72">
            <w:pPr>
              <w:adjustRightInd w:val="0"/>
              <w:snapToGrid w:val="0"/>
              <w:jc w:val="center"/>
              <w:rPr>
                <w:rFonts w:ascii="宋体" w:hAnsi="宋体"/>
                <w:sz w:val="18"/>
                <w:szCs w:val="18"/>
              </w:rPr>
            </w:pPr>
            <w:r>
              <w:rPr>
                <w:rFonts w:ascii="宋体" w:hAnsi="宋体"/>
                <w:bCs/>
                <w:sz w:val="18"/>
                <w:szCs w:val="18"/>
              </w:rPr>
              <w:t>评定内容</w:t>
            </w:r>
          </w:p>
        </w:tc>
        <w:tc>
          <w:tcPr>
            <w:tcW w:w="624" w:type="dxa"/>
            <w:tcBorders>
              <w:top w:val="single" w:color="auto" w:sz="8" w:space="0"/>
              <w:bottom w:val="single" w:color="auto" w:sz="8" w:space="0"/>
            </w:tcBorders>
            <w:noWrap w:val="0"/>
            <w:vAlign w:val="center"/>
          </w:tcPr>
          <w:p w14:paraId="66840263">
            <w:pPr>
              <w:adjustRightInd w:val="0"/>
              <w:snapToGrid w:val="0"/>
              <w:jc w:val="center"/>
              <w:rPr>
                <w:rFonts w:ascii="宋体" w:hAnsi="宋体"/>
                <w:sz w:val="18"/>
                <w:szCs w:val="18"/>
              </w:rPr>
            </w:pPr>
            <w:r>
              <w:rPr>
                <w:rFonts w:ascii="宋体" w:hAnsi="宋体"/>
                <w:bCs/>
                <w:sz w:val="18"/>
                <w:szCs w:val="18"/>
              </w:rPr>
              <w:t>评定要素分值</w:t>
            </w:r>
          </w:p>
        </w:tc>
        <w:tc>
          <w:tcPr>
            <w:tcW w:w="624" w:type="dxa"/>
            <w:tcBorders>
              <w:top w:val="single" w:color="auto" w:sz="8" w:space="0"/>
              <w:bottom w:val="single" w:color="auto" w:sz="8" w:space="0"/>
            </w:tcBorders>
            <w:noWrap w:val="0"/>
            <w:vAlign w:val="center"/>
          </w:tcPr>
          <w:p w14:paraId="4B79107A">
            <w:pPr>
              <w:adjustRightInd w:val="0"/>
              <w:snapToGrid w:val="0"/>
              <w:jc w:val="center"/>
              <w:rPr>
                <w:rFonts w:ascii="宋体" w:hAnsi="宋体"/>
                <w:sz w:val="18"/>
                <w:szCs w:val="18"/>
              </w:rPr>
            </w:pPr>
            <w:r>
              <w:rPr>
                <w:rFonts w:ascii="宋体" w:hAnsi="宋体"/>
                <w:bCs/>
                <w:sz w:val="18"/>
                <w:szCs w:val="18"/>
              </w:rPr>
              <w:t>评定细项分值</w:t>
            </w:r>
          </w:p>
        </w:tc>
        <w:tc>
          <w:tcPr>
            <w:tcW w:w="676" w:type="dxa"/>
            <w:tcBorders>
              <w:top w:val="single" w:color="auto" w:sz="8" w:space="0"/>
              <w:bottom w:val="single" w:color="auto" w:sz="8" w:space="0"/>
            </w:tcBorders>
            <w:noWrap w:val="0"/>
            <w:vAlign w:val="center"/>
          </w:tcPr>
          <w:p w14:paraId="45BC0479">
            <w:pPr>
              <w:adjustRightInd w:val="0"/>
              <w:snapToGrid w:val="0"/>
              <w:jc w:val="center"/>
              <w:rPr>
                <w:rFonts w:ascii="宋体" w:hAnsi="宋体"/>
                <w:sz w:val="18"/>
                <w:szCs w:val="18"/>
              </w:rPr>
            </w:pPr>
            <w:r>
              <w:rPr>
                <w:rFonts w:ascii="宋体" w:hAnsi="宋体"/>
                <w:bCs/>
                <w:sz w:val="18"/>
                <w:szCs w:val="18"/>
              </w:rPr>
              <w:t>评定条款分值</w:t>
            </w:r>
          </w:p>
        </w:tc>
        <w:tc>
          <w:tcPr>
            <w:tcW w:w="3175" w:type="dxa"/>
            <w:tcBorders>
              <w:top w:val="single" w:color="auto" w:sz="8" w:space="0"/>
              <w:bottom w:val="single" w:color="auto" w:sz="8" w:space="0"/>
            </w:tcBorders>
            <w:noWrap w:val="0"/>
            <w:vAlign w:val="center"/>
          </w:tcPr>
          <w:p w14:paraId="61961AD3">
            <w:pPr>
              <w:adjustRightInd w:val="0"/>
              <w:snapToGrid w:val="0"/>
              <w:jc w:val="center"/>
              <w:rPr>
                <w:rFonts w:ascii="宋体" w:hAnsi="宋体"/>
                <w:sz w:val="18"/>
                <w:szCs w:val="18"/>
              </w:rPr>
            </w:pPr>
            <w:r>
              <w:rPr>
                <w:rFonts w:ascii="宋体" w:hAnsi="宋体"/>
                <w:bCs/>
                <w:sz w:val="18"/>
                <w:szCs w:val="18"/>
              </w:rPr>
              <w:t>评分标准</w:t>
            </w:r>
          </w:p>
        </w:tc>
        <w:tc>
          <w:tcPr>
            <w:tcW w:w="623" w:type="dxa"/>
            <w:tcBorders>
              <w:top w:val="single" w:color="auto" w:sz="8" w:space="0"/>
              <w:bottom w:val="single" w:color="auto" w:sz="8" w:space="0"/>
            </w:tcBorders>
            <w:noWrap w:val="0"/>
            <w:vAlign w:val="center"/>
          </w:tcPr>
          <w:p w14:paraId="3764512B">
            <w:pPr>
              <w:adjustRightInd w:val="0"/>
              <w:snapToGrid w:val="0"/>
              <w:jc w:val="center"/>
              <w:rPr>
                <w:rFonts w:ascii="宋体" w:hAnsi="宋体"/>
                <w:sz w:val="18"/>
                <w:szCs w:val="18"/>
              </w:rPr>
            </w:pPr>
            <w:r>
              <w:rPr>
                <w:rFonts w:ascii="宋体" w:hAnsi="宋体"/>
                <w:bCs/>
                <w:sz w:val="18"/>
                <w:szCs w:val="18"/>
              </w:rPr>
              <w:t>评定得分</w:t>
            </w:r>
          </w:p>
        </w:tc>
        <w:tc>
          <w:tcPr>
            <w:tcW w:w="623" w:type="dxa"/>
            <w:tcBorders>
              <w:top w:val="single" w:color="auto" w:sz="8" w:space="0"/>
              <w:bottom w:val="single" w:color="auto" w:sz="8" w:space="0"/>
            </w:tcBorders>
            <w:noWrap w:val="0"/>
            <w:vAlign w:val="center"/>
          </w:tcPr>
          <w:p w14:paraId="737F6A8C">
            <w:pPr>
              <w:adjustRightInd w:val="0"/>
              <w:snapToGrid w:val="0"/>
              <w:jc w:val="center"/>
              <w:rPr>
                <w:rFonts w:ascii="宋体" w:hAnsi="宋体"/>
                <w:sz w:val="18"/>
                <w:szCs w:val="18"/>
              </w:rPr>
            </w:pPr>
            <w:r>
              <w:rPr>
                <w:rFonts w:ascii="宋体" w:hAnsi="宋体"/>
                <w:bCs/>
                <w:sz w:val="18"/>
                <w:szCs w:val="18"/>
              </w:rPr>
              <w:t>扣分说明</w:t>
            </w:r>
          </w:p>
        </w:tc>
        <w:tc>
          <w:tcPr>
            <w:tcW w:w="1560" w:type="dxa"/>
            <w:tcBorders>
              <w:top w:val="single" w:color="auto" w:sz="8" w:space="0"/>
              <w:bottom w:val="single" w:color="auto" w:sz="8" w:space="0"/>
            </w:tcBorders>
            <w:noWrap w:val="0"/>
            <w:vAlign w:val="center"/>
          </w:tcPr>
          <w:p w14:paraId="674CD7FB">
            <w:pPr>
              <w:adjustRightInd w:val="0"/>
              <w:snapToGrid w:val="0"/>
              <w:jc w:val="center"/>
              <w:rPr>
                <w:rFonts w:ascii="宋体" w:hAnsi="宋体"/>
                <w:sz w:val="18"/>
                <w:szCs w:val="18"/>
              </w:rPr>
            </w:pPr>
            <w:r>
              <w:rPr>
                <w:rFonts w:ascii="宋体" w:hAnsi="宋体"/>
                <w:bCs/>
                <w:sz w:val="18"/>
                <w:szCs w:val="18"/>
              </w:rPr>
              <w:t>对应条款编号</w:t>
            </w:r>
          </w:p>
        </w:tc>
      </w:tr>
      <w:tr w14:paraId="049CA9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noWrap w:val="0"/>
            <w:vAlign w:val="center"/>
          </w:tcPr>
          <w:p w14:paraId="290C0E28">
            <w:pPr>
              <w:adjustRightInd w:val="0"/>
              <w:snapToGrid w:val="0"/>
              <w:jc w:val="center"/>
              <w:rPr>
                <w:rFonts w:hint="eastAsia" w:ascii="宋体" w:hAnsi="宋体" w:eastAsia="宋体" w:cs="Times New Roman"/>
                <w:bCs/>
                <w:kern w:val="2"/>
                <w:sz w:val="18"/>
                <w:szCs w:val="18"/>
                <w:lang w:val="en-US" w:eastAsia="zh-CN" w:bidi="ar-SA"/>
              </w:rPr>
            </w:pPr>
          </w:p>
        </w:tc>
        <w:tc>
          <w:tcPr>
            <w:tcW w:w="6664" w:type="dxa"/>
            <w:tcBorders>
              <w:top w:val="single" w:color="auto" w:sz="8" w:space="0"/>
            </w:tcBorders>
            <w:noWrap w:val="0"/>
            <w:vAlign w:val="center"/>
          </w:tcPr>
          <w:p w14:paraId="30A3CB50">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sz w:val="18"/>
                <w:szCs w:val="18"/>
              </w:rPr>
              <w:t>身事故的地段</w:t>
            </w:r>
            <w:r>
              <w:rPr>
                <w:rFonts w:hint="eastAsia" w:ascii="宋体" w:hAnsi="宋体"/>
                <w:sz w:val="18"/>
                <w:szCs w:val="18"/>
                <w:lang w:eastAsia="zh-CN"/>
              </w:rPr>
              <w:t>，</w:t>
            </w:r>
            <w:r>
              <w:rPr>
                <w:rFonts w:hint="eastAsia" w:ascii="宋体" w:hAnsi="宋体"/>
                <w:sz w:val="18"/>
                <w:szCs w:val="18"/>
              </w:rPr>
              <w:t>应设置护栏和安全警示标志</w:t>
            </w:r>
            <w:r>
              <w:rPr>
                <w:rFonts w:hint="eastAsia" w:ascii="宋体" w:hAnsi="宋体"/>
                <w:sz w:val="18"/>
                <w:szCs w:val="18"/>
                <w:lang w:eastAsia="zh-CN"/>
              </w:rPr>
              <w:t>，</w:t>
            </w:r>
            <w:r>
              <w:rPr>
                <w:rFonts w:hint="eastAsia" w:ascii="宋体" w:hAnsi="宋体"/>
                <w:sz w:val="18"/>
                <w:szCs w:val="18"/>
              </w:rPr>
              <w:t>护栏高度不应低于</w:t>
            </w:r>
            <w:r>
              <w:rPr>
                <w:rFonts w:hint="eastAsia" w:ascii="宋体" w:hAnsi="宋体"/>
                <w:sz w:val="18"/>
                <w:szCs w:val="18"/>
                <w:lang w:val="en-US" w:eastAsia="zh-CN"/>
              </w:rPr>
              <w:t>1.</w:t>
            </w:r>
            <w:r>
              <w:rPr>
                <w:rFonts w:hint="eastAsia" w:ascii="宋体" w:hAnsi="宋体"/>
                <w:sz w:val="18"/>
                <w:szCs w:val="18"/>
              </w:rPr>
              <w:t>05</w:t>
            </w:r>
            <w:r>
              <w:rPr>
                <w:rFonts w:hint="eastAsia" w:ascii="宋体" w:hAnsi="宋体"/>
                <w:sz w:val="18"/>
                <w:szCs w:val="18"/>
                <w:lang w:val="en-US" w:eastAsia="zh-CN"/>
              </w:rPr>
              <w:t xml:space="preserve"> </w:t>
            </w:r>
            <w:r>
              <w:rPr>
                <w:rFonts w:hint="eastAsia" w:ascii="宋体" w:hAnsi="宋体"/>
                <w:sz w:val="18"/>
                <w:szCs w:val="18"/>
              </w:rPr>
              <w:t xml:space="preserve">m </w:t>
            </w:r>
            <w:r>
              <w:rPr>
                <w:rFonts w:hint="eastAsia" w:ascii="宋体" w:hAnsi="宋体"/>
                <w:sz w:val="18"/>
                <w:szCs w:val="18"/>
                <w:lang w:eastAsia="zh-CN"/>
              </w:rPr>
              <w:t>，</w:t>
            </w:r>
            <w:r>
              <w:rPr>
                <w:rFonts w:hint="eastAsia" w:ascii="宋体" w:hAnsi="宋体"/>
                <w:sz w:val="18"/>
                <w:szCs w:val="18"/>
                <w:lang w:val="en-US" w:eastAsia="zh-CN"/>
              </w:rPr>
              <w:t>当</w:t>
            </w:r>
            <w:r>
              <w:rPr>
                <w:rFonts w:hint="eastAsia" w:ascii="宋体" w:hAnsi="宋体"/>
                <w:sz w:val="18"/>
                <w:szCs w:val="18"/>
              </w:rPr>
              <w:t>设置在临空高度24</w:t>
            </w:r>
            <w:r>
              <w:rPr>
                <w:rFonts w:hint="eastAsia" w:ascii="宋体" w:hAnsi="宋体"/>
                <w:sz w:val="18"/>
                <w:szCs w:val="18"/>
                <w:lang w:val="en-US" w:eastAsia="zh-CN"/>
              </w:rPr>
              <w:t>m</w:t>
            </w:r>
            <w:r>
              <w:rPr>
                <w:rFonts w:hint="eastAsia" w:ascii="宋体" w:hAnsi="宋体"/>
                <w:sz w:val="18"/>
                <w:szCs w:val="18"/>
              </w:rPr>
              <w:t>及以上时</w:t>
            </w:r>
            <w:r>
              <w:rPr>
                <w:rFonts w:hint="eastAsia" w:ascii="宋体" w:hAnsi="宋体"/>
                <w:sz w:val="18"/>
                <w:szCs w:val="18"/>
                <w:lang w:eastAsia="zh-CN"/>
              </w:rPr>
              <w:t>，</w:t>
            </w:r>
            <w:r>
              <w:rPr>
                <w:rFonts w:hint="eastAsia" w:ascii="宋体" w:hAnsi="宋体"/>
                <w:sz w:val="18"/>
                <w:szCs w:val="18"/>
              </w:rPr>
              <w:t>护栏高度不应低于</w:t>
            </w:r>
            <w:r>
              <w:rPr>
                <w:rFonts w:hint="eastAsia" w:ascii="宋体" w:hAnsi="宋体"/>
                <w:sz w:val="18"/>
                <w:szCs w:val="18"/>
                <w:lang w:val="en-US" w:eastAsia="zh-CN"/>
              </w:rPr>
              <w:t xml:space="preserve">1.10 </w:t>
            </w:r>
            <w:r>
              <w:rPr>
                <w:rFonts w:hint="eastAsia" w:ascii="宋体" w:hAnsi="宋体"/>
                <w:sz w:val="18"/>
                <w:szCs w:val="18"/>
              </w:rPr>
              <w:t>m</w:t>
            </w:r>
            <w:r>
              <w:rPr>
                <w:rFonts w:hint="eastAsia" w:ascii="宋体" w:hAnsi="宋体"/>
                <w:sz w:val="18"/>
                <w:szCs w:val="18"/>
                <w:lang w:eastAsia="zh-CN"/>
              </w:rPr>
              <w:t>。</w:t>
            </w:r>
          </w:p>
        </w:tc>
        <w:tc>
          <w:tcPr>
            <w:tcW w:w="624" w:type="dxa"/>
            <w:tcBorders>
              <w:top w:val="single" w:color="auto" w:sz="8" w:space="0"/>
            </w:tcBorders>
            <w:noWrap w:val="0"/>
            <w:vAlign w:val="center"/>
          </w:tcPr>
          <w:p w14:paraId="113899F6">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tcBorders>
            <w:noWrap w:val="0"/>
            <w:vAlign w:val="center"/>
          </w:tcPr>
          <w:p w14:paraId="4B429C59">
            <w:pPr>
              <w:adjustRightInd w:val="0"/>
              <w:snapToGrid w:val="0"/>
              <w:jc w:val="center"/>
              <w:rPr>
                <w:rFonts w:ascii="宋体" w:hAnsi="宋体" w:eastAsia="宋体" w:cs="Times New Roman"/>
                <w:bCs/>
                <w:kern w:val="2"/>
                <w:sz w:val="18"/>
                <w:szCs w:val="18"/>
                <w:lang w:val="en-US" w:eastAsia="zh-CN" w:bidi="ar-SA"/>
              </w:rPr>
            </w:pPr>
          </w:p>
        </w:tc>
        <w:tc>
          <w:tcPr>
            <w:tcW w:w="676" w:type="dxa"/>
            <w:tcBorders>
              <w:top w:val="single" w:color="auto" w:sz="8" w:space="0"/>
            </w:tcBorders>
            <w:noWrap w:val="0"/>
            <w:vAlign w:val="center"/>
          </w:tcPr>
          <w:p w14:paraId="6D72B233">
            <w:pPr>
              <w:adjustRightInd w:val="0"/>
              <w:snapToGrid w:val="0"/>
              <w:jc w:val="center"/>
              <w:rPr>
                <w:rFonts w:ascii="宋体" w:hAnsi="宋体" w:eastAsia="宋体" w:cs="Times New Roman"/>
                <w:bCs/>
                <w:kern w:val="2"/>
                <w:sz w:val="18"/>
                <w:szCs w:val="18"/>
                <w:lang w:val="en-US" w:eastAsia="zh-CN" w:bidi="ar-SA"/>
              </w:rPr>
            </w:pPr>
          </w:p>
        </w:tc>
        <w:tc>
          <w:tcPr>
            <w:tcW w:w="3175" w:type="dxa"/>
            <w:tcBorders>
              <w:top w:val="single" w:color="auto" w:sz="8" w:space="0"/>
            </w:tcBorders>
            <w:noWrap w:val="0"/>
            <w:vAlign w:val="center"/>
          </w:tcPr>
          <w:p w14:paraId="5E0978A1">
            <w:pPr>
              <w:jc w:val="left"/>
              <w:rPr>
                <w:rFonts w:ascii="宋体" w:hAnsi="宋体" w:eastAsia="宋体" w:cs="Times New Roman"/>
                <w:kern w:val="2"/>
                <w:sz w:val="18"/>
                <w:szCs w:val="18"/>
                <w:lang w:val="en-US" w:eastAsia="zh-CN" w:bidi="ar-SA"/>
              </w:rPr>
            </w:pPr>
          </w:p>
        </w:tc>
        <w:tc>
          <w:tcPr>
            <w:tcW w:w="623" w:type="dxa"/>
            <w:tcBorders>
              <w:top w:val="single" w:color="auto" w:sz="8" w:space="0"/>
            </w:tcBorders>
            <w:noWrap w:val="0"/>
            <w:vAlign w:val="center"/>
          </w:tcPr>
          <w:p w14:paraId="0AB2DC8A">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tcBorders>
            <w:noWrap w:val="0"/>
            <w:vAlign w:val="center"/>
          </w:tcPr>
          <w:p w14:paraId="2E7A826A">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tcBorders>
            <w:noWrap w:val="0"/>
            <w:vAlign w:val="center"/>
          </w:tcPr>
          <w:p w14:paraId="347597C4">
            <w:pPr>
              <w:tabs>
                <w:tab w:val="center" w:pos="4201"/>
                <w:tab w:val="right" w:leader="dot" w:pos="9298"/>
              </w:tabs>
              <w:autoSpaceDE w:val="0"/>
              <w:autoSpaceDN w:val="0"/>
              <w:ind w:right="34" w:rightChars="0"/>
              <w:jc w:val="center"/>
              <w:rPr>
                <w:rFonts w:hint="eastAsia" w:ascii="宋体" w:hAnsi="宋体" w:eastAsia="宋体" w:cs="Times New Roman"/>
                <w:kern w:val="2"/>
                <w:sz w:val="18"/>
                <w:szCs w:val="18"/>
                <w:lang w:val="en-US" w:eastAsia="zh-CN" w:bidi="ar-SA"/>
              </w:rPr>
            </w:pPr>
          </w:p>
        </w:tc>
      </w:tr>
      <w:tr w14:paraId="35E826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shd w:val="clear"/>
            <w:noWrap w:val="0"/>
            <w:vAlign w:val="center"/>
          </w:tcPr>
          <w:p w14:paraId="7286BF2B">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2.2.6</w:t>
            </w:r>
          </w:p>
        </w:tc>
        <w:tc>
          <w:tcPr>
            <w:tcW w:w="6664" w:type="dxa"/>
            <w:tcBorders>
              <w:top w:val="single" w:color="auto" w:sz="8" w:space="0"/>
            </w:tcBorders>
            <w:shd w:val="clear"/>
            <w:noWrap w:val="0"/>
            <w:vAlign w:val="center"/>
          </w:tcPr>
          <w:p w14:paraId="4B62D3E6">
            <w:pPr>
              <w:adjustRightInd w:val="0"/>
              <w:snapToGrid w:val="0"/>
              <w:rPr>
                <w:rFonts w:hint="eastAsia" w:ascii="宋体" w:hAnsi="宋体"/>
                <w:bCs/>
                <w:sz w:val="18"/>
                <w:szCs w:val="18"/>
              </w:rPr>
            </w:pPr>
            <w:r>
              <w:rPr>
                <w:rFonts w:hint="eastAsia" w:ascii="宋体" w:hAnsi="宋体"/>
                <w:bCs/>
                <w:sz w:val="18"/>
                <w:szCs w:val="18"/>
              </w:rPr>
              <w:t>山地和林区应符合下列要求：</w:t>
            </w:r>
          </w:p>
          <w:p w14:paraId="08116B31">
            <w:pPr>
              <w:adjustRightInd w:val="0"/>
              <w:snapToGrid w:val="0"/>
              <w:rPr>
                <w:rFonts w:hint="eastAsia" w:ascii="宋体" w:hAnsi="宋体"/>
                <w:bCs/>
                <w:sz w:val="18"/>
                <w:szCs w:val="18"/>
              </w:rPr>
            </w:pPr>
            <w:r>
              <w:rPr>
                <w:rFonts w:hint="eastAsia" w:ascii="宋体" w:hAnsi="宋体"/>
                <w:bCs/>
                <w:sz w:val="18"/>
                <w:szCs w:val="18"/>
              </w:rPr>
              <w:t>a)山地攀登道路坡度较陡峭的步行路段应设置台阶或安装扶手；</w:t>
            </w:r>
          </w:p>
          <w:p w14:paraId="5BA4FA69">
            <w:pPr>
              <w:adjustRightInd w:val="0"/>
              <w:snapToGrid w:val="0"/>
              <w:rPr>
                <w:rFonts w:hint="eastAsia" w:ascii="宋体" w:hAnsi="宋体"/>
                <w:bCs/>
                <w:sz w:val="18"/>
                <w:szCs w:val="18"/>
              </w:rPr>
            </w:pPr>
            <w:r>
              <w:rPr>
                <w:rFonts w:hint="eastAsia" w:ascii="宋体" w:hAnsi="宋体"/>
                <w:bCs/>
                <w:sz w:val="18"/>
                <w:szCs w:val="18"/>
              </w:rPr>
              <w:t>b)应规定山地攀登道路的最大人员容量，并设置专人负责对山地攀登道路进行监控和疏散、救援；</w:t>
            </w:r>
          </w:p>
          <w:p w14:paraId="21A72876">
            <w:pPr>
              <w:adjustRightInd w:val="0"/>
              <w:snapToGrid w:val="0"/>
              <w:rPr>
                <w:rFonts w:hint="eastAsia" w:ascii="宋体" w:hAnsi="宋体"/>
                <w:bCs/>
                <w:sz w:val="18"/>
                <w:szCs w:val="18"/>
              </w:rPr>
            </w:pPr>
            <w:r>
              <w:rPr>
                <w:rFonts w:hint="eastAsia" w:ascii="宋体" w:hAnsi="宋体"/>
                <w:bCs/>
                <w:sz w:val="18"/>
                <w:szCs w:val="18"/>
              </w:rPr>
              <w:t>c)景区入口处应设置“严禁游客携带火种”的提醒，并设置随身携带火源收纳处；</w:t>
            </w:r>
          </w:p>
          <w:p w14:paraId="61B8865E">
            <w:pPr>
              <w:adjustRightInd w:val="0"/>
              <w:snapToGrid w:val="0"/>
              <w:rPr>
                <w:rFonts w:hint="eastAsia" w:ascii="宋体" w:hAnsi="宋体"/>
                <w:bCs/>
                <w:sz w:val="18"/>
                <w:szCs w:val="18"/>
              </w:rPr>
            </w:pPr>
            <w:r>
              <w:rPr>
                <w:rFonts w:hint="eastAsia" w:ascii="宋体" w:hAnsi="宋体"/>
                <w:bCs/>
                <w:sz w:val="18"/>
                <w:szCs w:val="18"/>
              </w:rPr>
              <w:t>d)森林防火期内，在林区作业和通过林区的各种机动车辆，应安装防火装置；</w:t>
            </w:r>
          </w:p>
          <w:p w14:paraId="7BB6FC25">
            <w:pPr>
              <w:adjustRightInd w:val="0"/>
              <w:snapToGrid w:val="0"/>
              <w:rPr>
                <w:rFonts w:hint="eastAsia" w:ascii="宋体" w:hAnsi="宋体"/>
                <w:bCs/>
                <w:sz w:val="18"/>
                <w:szCs w:val="18"/>
              </w:rPr>
            </w:pPr>
            <w:r>
              <w:rPr>
                <w:rFonts w:hint="eastAsia" w:ascii="宋体" w:hAnsi="宋体"/>
                <w:bCs/>
                <w:sz w:val="18"/>
                <w:szCs w:val="18"/>
              </w:rPr>
              <w:t>e)森林防火期内，未经批准不应在森林防火区野外用火；</w:t>
            </w:r>
          </w:p>
          <w:p w14:paraId="13C05CDF">
            <w:pPr>
              <w:adjustRightInd w:val="0"/>
              <w:snapToGrid w:val="0"/>
              <w:rPr>
                <w:rFonts w:hint="eastAsia" w:ascii="宋体" w:hAnsi="宋体"/>
                <w:bCs/>
                <w:sz w:val="18"/>
                <w:szCs w:val="18"/>
              </w:rPr>
            </w:pPr>
            <w:r>
              <w:rPr>
                <w:rFonts w:hint="eastAsia" w:ascii="宋体" w:hAnsi="宋体"/>
                <w:bCs/>
                <w:sz w:val="18"/>
                <w:szCs w:val="18"/>
              </w:rPr>
              <w:t>f)森林高火险期内，在森林高火险区不应进行野外用火；</w:t>
            </w:r>
          </w:p>
          <w:p w14:paraId="78BCD313">
            <w:pPr>
              <w:adjustRightInd w:val="0"/>
              <w:snapToGrid w:val="0"/>
              <w:rPr>
                <w:rFonts w:hint="eastAsia" w:ascii="宋体" w:hAnsi="宋体"/>
                <w:bCs/>
                <w:sz w:val="18"/>
                <w:szCs w:val="18"/>
              </w:rPr>
            </w:pPr>
            <w:r>
              <w:rPr>
                <w:rFonts w:hint="eastAsia" w:ascii="宋体" w:hAnsi="宋体"/>
                <w:bCs/>
                <w:sz w:val="18"/>
                <w:szCs w:val="18"/>
              </w:rPr>
              <w:t>g)非防火期内，</w:t>
            </w:r>
            <w:r>
              <w:rPr>
                <w:rFonts w:hint="eastAsia" w:ascii="宋体" w:hAnsi="宋体"/>
                <w:bCs/>
                <w:sz w:val="18"/>
                <w:szCs w:val="18"/>
                <w:lang w:val="en-US" w:eastAsia="zh-CN"/>
              </w:rPr>
              <w:t>遇五级及以上风力时</w:t>
            </w:r>
            <w:r>
              <w:rPr>
                <w:rFonts w:hint="eastAsia" w:ascii="宋体" w:hAnsi="宋体"/>
                <w:bCs/>
                <w:sz w:val="18"/>
                <w:szCs w:val="18"/>
              </w:rPr>
              <w:t>，不应进行明火作业；</w:t>
            </w:r>
          </w:p>
          <w:p w14:paraId="2E243D00">
            <w:pPr>
              <w:adjustRightInd w:val="0"/>
              <w:snapToGrid w:val="0"/>
              <w:rPr>
                <w:rFonts w:hint="eastAsia" w:ascii="宋体" w:hAnsi="宋体"/>
                <w:bCs/>
                <w:sz w:val="18"/>
                <w:szCs w:val="18"/>
              </w:rPr>
            </w:pPr>
            <w:r>
              <w:rPr>
                <w:rFonts w:hint="eastAsia" w:ascii="宋体" w:hAnsi="宋体"/>
                <w:bCs/>
                <w:sz w:val="18"/>
                <w:szCs w:val="18"/>
              </w:rPr>
              <w:t>h)在林区应配备灭火弹、二号工具</w:t>
            </w:r>
            <w:r>
              <w:rPr>
                <w:rFonts w:hint="eastAsia" w:ascii="宋体" w:hAnsi="宋体"/>
                <w:bCs/>
                <w:sz w:val="18"/>
                <w:szCs w:val="18"/>
                <w:lang w:eastAsia="zh-CN"/>
              </w:rPr>
              <w:t>、</w:t>
            </w:r>
            <w:r>
              <w:rPr>
                <w:rFonts w:hint="eastAsia" w:ascii="宋体" w:hAnsi="宋体"/>
                <w:bCs/>
                <w:sz w:val="18"/>
                <w:szCs w:val="18"/>
                <w:lang w:val="en-US" w:eastAsia="zh-CN"/>
              </w:rPr>
              <w:t>风力灭火机</w:t>
            </w:r>
            <w:r>
              <w:rPr>
                <w:rFonts w:hint="eastAsia" w:ascii="宋体" w:hAnsi="宋体"/>
                <w:bCs/>
                <w:sz w:val="18"/>
                <w:szCs w:val="18"/>
              </w:rPr>
              <w:t>等防火设施，</w:t>
            </w:r>
            <w:r>
              <w:rPr>
                <w:rFonts w:hint="eastAsia" w:ascii="宋体" w:hAnsi="宋体"/>
                <w:bCs/>
                <w:sz w:val="18"/>
                <w:szCs w:val="18"/>
                <w:lang w:val="en-US" w:eastAsia="zh-CN"/>
              </w:rPr>
              <w:t>设置</w:t>
            </w:r>
            <w:r>
              <w:rPr>
                <w:rFonts w:hint="eastAsia" w:ascii="宋体" w:hAnsi="宋体"/>
                <w:bCs/>
                <w:sz w:val="18"/>
                <w:szCs w:val="18"/>
              </w:rPr>
              <w:t>防火隔离带；</w:t>
            </w:r>
          </w:p>
          <w:p w14:paraId="3622C72F">
            <w:pPr>
              <w:adjustRightInd w:val="0"/>
              <w:snapToGrid w:val="0"/>
              <w:rPr>
                <w:rFonts w:hint="eastAsia" w:ascii="宋体" w:hAnsi="宋体"/>
                <w:bCs/>
                <w:sz w:val="18"/>
                <w:szCs w:val="18"/>
              </w:rPr>
            </w:pPr>
            <w:r>
              <w:rPr>
                <w:rFonts w:hint="eastAsia" w:ascii="宋体" w:hAnsi="宋体"/>
                <w:bCs/>
                <w:sz w:val="18"/>
                <w:szCs w:val="18"/>
              </w:rPr>
              <w:t>i)应配套建设火情瞭望监控设施设备；</w:t>
            </w:r>
          </w:p>
          <w:p w14:paraId="06B5DFB4">
            <w:pPr>
              <w:adjustRightInd w:val="0"/>
              <w:snapToGrid w:val="0"/>
              <w:rPr>
                <w:rFonts w:hint="eastAsia" w:ascii="宋体" w:hAnsi="宋体"/>
                <w:bCs/>
                <w:sz w:val="18"/>
                <w:szCs w:val="18"/>
              </w:rPr>
            </w:pPr>
            <w:r>
              <w:rPr>
                <w:rFonts w:hint="eastAsia" w:ascii="宋体" w:hAnsi="宋体"/>
                <w:bCs/>
                <w:sz w:val="18"/>
                <w:szCs w:val="18"/>
              </w:rPr>
              <w:t>j)冬季停业时，景区应留有足够数量的护林员进行防火巡查；</w:t>
            </w:r>
          </w:p>
          <w:p w14:paraId="41901B67">
            <w:pPr>
              <w:adjustRightInd w:val="0"/>
              <w:snapToGrid w:val="0"/>
              <w:rPr>
                <w:rFonts w:hint="eastAsia" w:ascii="宋体" w:hAnsi="宋体"/>
                <w:bCs/>
                <w:sz w:val="18"/>
                <w:szCs w:val="18"/>
                <w:lang w:val="en-US" w:eastAsia="zh-CN"/>
              </w:rPr>
            </w:pPr>
            <w:r>
              <w:rPr>
                <w:rFonts w:hint="eastAsia" w:ascii="宋体" w:hAnsi="宋体"/>
                <w:bCs/>
                <w:sz w:val="18"/>
                <w:szCs w:val="18"/>
                <w:lang w:val="en-US" w:eastAsia="zh-CN"/>
              </w:rPr>
              <w:t>k</w:t>
            </w:r>
            <w:r>
              <w:rPr>
                <w:rFonts w:hint="eastAsia" w:ascii="宋体" w:hAnsi="宋体"/>
                <w:bCs/>
                <w:sz w:val="18"/>
                <w:szCs w:val="18"/>
              </w:rPr>
              <w:t>)春季杨柳飞絮时期、极端天气（高温、大风等），应采取湿化等措施。</w:t>
            </w:r>
          </w:p>
        </w:tc>
        <w:tc>
          <w:tcPr>
            <w:tcW w:w="624" w:type="dxa"/>
            <w:tcBorders>
              <w:top w:val="single" w:color="auto" w:sz="8" w:space="0"/>
            </w:tcBorders>
            <w:shd w:val="clear"/>
            <w:noWrap w:val="0"/>
            <w:vAlign w:val="center"/>
          </w:tcPr>
          <w:p w14:paraId="3B843019">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tcBorders>
            <w:shd w:val="clear"/>
            <w:noWrap w:val="0"/>
            <w:vAlign w:val="center"/>
          </w:tcPr>
          <w:p w14:paraId="5E3F9734">
            <w:pPr>
              <w:adjustRightInd w:val="0"/>
              <w:snapToGrid w:val="0"/>
              <w:jc w:val="center"/>
              <w:rPr>
                <w:rFonts w:ascii="宋体" w:hAnsi="宋体" w:eastAsia="宋体" w:cs="Times New Roman"/>
                <w:bCs/>
                <w:kern w:val="2"/>
                <w:sz w:val="18"/>
                <w:szCs w:val="18"/>
                <w:lang w:val="en-US" w:eastAsia="zh-CN" w:bidi="ar-SA"/>
              </w:rPr>
            </w:pPr>
          </w:p>
        </w:tc>
        <w:tc>
          <w:tcPr>
            <w:tcW w:w="676" w:type="dxa"/>
            <w:tcBorders>
              <w:top w:val="single" w:color="auto" w:sz="8" w:space="0"/>
            </w:tcBorders>
            <w:shd w:val="clear"/>
            <w:noWrap w:val="0"/>
            <w:vAlign w:val="center"/>
          </w:tcPr>
          <w:p w14:paraId="7F35950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3175" w:type="dxa"/>
            <w:tcBorders>
              <w:top w:val="single" w:color="auto" w:sz="8" w:space="0"/>
            </w:tcBorders>
            <w:shd w:val="clear"/>
            <w:noWrap w:val="0"/>
            <w:vAlign w:val="center"/>
          </w:tcPr>
          <w:p w14:paraId="7EBFFE51">
            <w:pPr>
              <w:jc w:val="left"/>
              <w:rPr>
                <w:rFonts w:hint="eastAsia" w:ascii="宋体" w:hAnsi="宋体" w:eastAsia="宋体" w:cs="Times New Roman"/>
                <w:kern w:val="0"/>
                <w:sz w:val="18"/>
                <w:szCs w:val="18"/>
                <w:lang w:val="en-US" w:eastAsia="zh-CN" w:bidi="ar-SA"/>
              </w:rPr>
            </w:pPr>
            <w:r>
              <w:rPr>
                <w:rFonts w:hint="eastAsia" w:ascii="宋体" w:hAnsi="宋体"/>
                <w:kern w:val="0"/>
                <w:sz w:val="18"/>
                <w:szCs w:val="18"/>
              </w:rPr>
              <w:t>一处不符合扣2分。</w:t>
            </w:r>
          </w:p>
        </w:tc>
        <w:tc>
          <w:tcPr>
            <w:tcW w:w="623" w:type="dxa"/>
            <w:tcBorders>
              <w:top w:val="single" w:color="auto" w:sz="8" w:space="0"/>
            </w:tcBorders>
            <w:shd w:val="clear"/>
            <w:noWrap w:val="0"/>
            <w:vAlign w:val="center"/>
          </w:tcPr>
          <w:p w14:paraId="6465F4D1">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tcBorders>
            <w:shd w:val="clear"/>
            <w:noWrap w:val="0"/>
            <w:vAlign w:val="center"/>
          </w:tcPr>
          <w:p w14:paraId="16564F34">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tcBorders>
            <w:shd w:val="clear"/>
            <w:noWrap w:val="0"/>
            <w:vAlign w:val="center"/>
          </w:tcPr>
          <w:p w14:paraId="097A4F32">
            <w:pPr>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bCs/>
                <w:sz w:val="18"/>
                <w:szCs w:val="18"/>
                <w:lang w:eastAsia="zh-CN"/>
              </w:rPr>
              <w:t>4.</w:t>
            </w:r>
            <w:r>
              <w:rPr>
                <w:rFonts w:ascii="宋体" w:hAnsi="宋体"/>
                <w:bCs/>
                <w:sz w:val="18"/>
                <w:szCs w:val="18"/>
              </w:rPr>
              <w:t>2.</w:t>
            </w:r>
            <w:r>
              <w:rPr>
                <w:rFonts w:hint="eastAsia" w:ascii="宋体" w:hAnsi="宋体"/>
                <w:bCs/>
                <w:sz w:val="18"/>
                <w:szCs w:val="18"/>
              </w:rPr>
              <w:t>2</w:t>
            </w:r>
            <w:r>
              <w:rPr>
                <w:rFonts w:ascii="宋体" w:hAnsi="宋体"/>
                <w:bCs/>
                <w:sz w:val="18"/>
                <w:szCs w:val="18"/>
              </w:rPr>
              <w:t>.</w:t>
            </w:r>
            <w:r>
              <w:rPr>
                <w:rFonts w:hint="eastAsia" w:ascii="宋体" w:hAnsi="宋体"/>
                <w:bCs/>
                <w:sz w:val="18"/>
                <w:szCs w:val="18"/>
              </w:rPr>
              <w:t>6</w:t>
            </w:r>
          </w:p>
        </w:tc>
      </w:tr>
      <w:tr w14:paraId="74DA8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noWrap w:val="0"/>
            <w:vAlign w:val="center"/>
          </w:tcPr>
          <w:p w14:paraId="27CAE42C">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2.2.7</w:t>
            </w:r>
          </w:p>
        </w:tc>
        <w:tc>
          <w:tcPr>
            <w:tcW w:w="6664" w:type="dxa"/>
            <w:tcBorders>
              <w:top w:val="single" w:color="auto" w:sz="8" w:space="0"/>
            </w:tcBorders>
            <w:noWrap w:val="0"/>
            <w:vAlign w:val="center"/>
          </w:tcPr>
          <w:p w14:paraId="7E3AF63F">
            <w:pPr>
              <w:adjustRightInd w:val="0"/>
              <w:snapToGrid w:val="0"/>
              <w:rPr>
                <w:rFonts w:hint="eastAsia" w:ascii="宋体" w:hAnsi="宋体"/>
                <w:bCs/>
                <w:sz w:val="18"/>
                <w:szCs w:val="18"/>
              </w:rPr>
            </w:pPr>
            <w:r>
              <w:rPr>
                <w:rFonts w:hint="eastAsia" w:ascii="宋体" w:hAnsi="宋体"/>
                <w:bCs/>
                <w:sz w:val="18"/>
                <w:szCs w:val="18"/>
              </w:rPr>
              <w:t>未开发区域应符合下列要求：</w:t>
            </w:r>
          </w:p>
          <w:p w14:paraId="1CB45940">
            <w:pPr>
              <w:numPr>
                <w:ilvl w:val="0"/>
                <w:numId w:val="50"/>
              </w:numPr>
              <w:adjustRightInd w:val="0"/>
              <w:snapToGrid w:val="0"/>
              <w:rPr>
                <w:rFonts w:hint="eastAsia" w:ascii="宋体" w:hAnsi="宋体"/>
                <w:bCs/>
                <w:sz w:val="18"/>
                <w:szCs w:val="18"/>
              </w:rPr>
            </w:pPr>
            <w:r>
              <w:rPr>
                <w:rFonts w:hint="eastAsia" w:ascii="宋体" w:hAnsi="宋体"/>
                <w:bCs/>
                <w:sz w:val="18"/>
                <w:szCs w:val="18"/>
              </w:rPr>
              <w:t>未开发区域用在导游图或游客须知中应加以标注；</w:t>
            </w:r>
          </w:p>
          <w:p w14:paraId="5F0BBB93">
            <w:pPr>
              <w:numPr>
                <w:ilvl w:val="0"/>
                <w:numId w:val="50"/>
              </w:numPr>
              <w:adjustRightInd w:val="0"/>
              <w:snapToGrid w:val="0"/>
              <w:rPr>
                <w:rFonts w:hint="eastAsia" w:ascii="宋体" w:hAnsi="宋体"/>
                <w:bCs/>
                <w:sz w:val="18"/>
                <w:szCs w:val="18"/>
              </w:rPr>
            </w:pPr>
            <w:r>
              <w:rPr>
                <w:rFonts w:hint="eastAsia" w:ascii="宋体" w:hAnsi="宋体"/>
                <w:bCs/>
                <w:sz w:val="18"/>
                <w:szCs w:val="18"/>
              </w:rPr>
              <w:t>未开发区域应采取护栏、门锁、告知等进行明示</w:t>
            </w:r>
            <w:r>
              <w:rPr>
                <w:rFonts w:hint="eastAsia" w:ascii="宋体" w:hAnsi="宋体"/>
                <w:bCs/>
                <w:sz w:val="18"/>
                <w:szCs w:val="18"/>
                <w:lang w:eastAsia="zh-CN"/>
              </w:rPr>
              <w:t>；</w:t>
            </w:r>
          </w:p>
          <w:p w14:paraId="305A0B67">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c</w:t>
            </w:r>
            <w:r>
              <w:rPr>
                <w:rFonts w:hint="eastAsia" w:ascii="宋体" w:hAnsi="宋体"/>
                <w:bCs/>
                <w:sz w:val="18"/>
                <w:szCs w:val="18"/>
              </w:rPr>
              <w:t>）景区巡逻人员应对未开发区域进行巡查。</w:t>
            </w:r>
          </w:p>
        </w:tc>
        <w:tc>
          <w:tcPr>
            <w:tcW w:w="624" w:type="dxa"/>
            <w:tcBorders>
              <w:top w:val="single" w:color="auto" w:sz="8" w:space="0"/>
            </w:tcBorders>
            <w:noWrap w:val="0"/>
            <w:vAlign w:val="center"/>
          </w:tcPr>
          <w:p w14:paraId="67341797">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tcBorders>
            <w:noWrap w:val="0"/>
            <w:vAlign w:val="center"/>
          </w:tcPr>
          <w:p w14:paraId="3BD5850E">
            <w:pPr>
              <w:adjustRightInd w:val="0"/>
              <w:snapToGrid w:val="0"/>
              <w:jc w:val="center"/>
              <w:rPr>
                <w:rFonts w:ascii="宋体" w:hAnsi="宋体" w:eastAsia="宋体" w:cs="Times New Roman"/>
                <w:bCs/>
                <w:kern w:val="2"/>
                <w:sz w:val="18"/>
                <w:szCs w:val="18"/>
                <w:lang w:val="en-US" w:eastAsia="zh-CN" w:bidi="ar-SA"/>
              </w:rPr>
            </w:pPr>
          </w:p>
        </w:tc>
        <w:tc>
          <w:tcPr>
            <w:tcW w:w="676" w:type="dxa"/>
            <w:tcBorders>
              <w:top w:val="single" w:color="auto" w:sz="8" w:space="0"/>
            </w:tcBorders>
            <w:noWrap w:val="0"/>
            <w:vAlign w:val="center"/>
          </w:tcPr>
          <w:p w14:paraId="5AECB21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w:t>
            </w:r>
          </w:p>
        </w:tc>
        <w:tc>
          <w:tcPr>
            <w:tcW w:w="3175" w:type="dxa"/>
            <w:tcBorders>
              <w:top w:val="single" w:color="auto" w:sz="8" w:space="0"/>
            </w:tcBorders>
            <w:noWrap w:val="0"/>
            <w:vAlign w:val="center"/>
          </w:tcPr>
          <w:p w14:paraId="654975DE">
            <w:pPr>
              <w:jc w:val="left"/>
              <w:rPr>
                <w:rFonts w:hint="eastAsia" w:ascii="宋体" w:hAnsi="宋体" w:eastAsia="宋体" w:cs="Times New Roman"/>
                <w:kern w:val="0"/>
                <w:sz w:val="18"/>
                <w:szCs w:val="18"/>
                <w:lang w:val="en-US" w:eastAsia="zh-CN" w:bidi="ar-SA"/>
              </w:rPr>
            </w:pPr>
            <w:r>
              <w:rPr>
                <w:rFonts w:hint="eastAsia" w:ascii="宋体" w:hAnsi="宋体"/>
                <w:kern w:val="0"/>
                <w:sz w:val="18"/>
                <w:szCs w:val="18"/>
              </w:rPr>
              <w:t>不符合要求，不得分。</w:t>
            </w:r>
          </w:p>
        </w:tc>
        <w:tc>
          <w:tcPr>
            <w:tcW w:w="623" w:type="dxa"/>
            <w:tcBorders>
              <w:top w:val="single" w:color="auto" w:sz="8" w:space="0"/>
            </w:tcBorders>
            <w:noWrap w:val="0"/>
            <w:vAlign w:val="center"/>
          </w:tcPr>
          <w:p w14:paraId="42049B33">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tcBorders>
            <w:noWrap w:val="0"/>
            <w:vAlign w:val="center"/>
          </w:tcPr>
          <w:p w14:paraId="74429051">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tcBorders>
            <w:noWrap w:val="0"/>
            <w:vAlign w:val="center"/>
          </w:tcPr>
          <w:p w14:paraId="628BF3A4">
            <w:pPr>
              <w:tabs>
                <w:tab w:val="center" w:pos="4201"/>
                <w:tab w:val="right" w:leader="dot" w:pos="9298"/>
              </w:tabs>
              <w:autoSpaceDE w:val="0"/>
              <w:autoSpaceDN w:val="0"/>
              <w:ind w:right="34" w:rightChars="0"/>
              <w:jc w:val="center"/>
              <w:rPr>
                <w:rFonts w:hint="eastAsia" w:ascii="宋体" w:hAnsi="宋体" w:eastAsia="宋体" w:cs="Times New Roman"/>
                <w:kern w:val="2"/>
                <w:sz w:val="18"/>
                <w:szCs w:val="18"/>
                <w:lang w:val="en-US" w:eastAsia="zh-CN" w:bidi="ar-SA"/>
              </w:rPr>
            </w:pPr>
            <w:r>
              <w:rPr>
                <w:rFonts w:hint="eastAsia" w:ascii="宋体" w:hAnsi="宋体"/>
                <w:bCs/>
                <w:sz w:val="18"/>
                <w:szCs w:val="18"/>
                <w:lang w:eastAsia="zh-CN"/>
              </w:rPr>
              <w:t>4.</w:t>
            </w:r>
            <w:r>
              <w:rPr>
                <w:rFonts w:ascii="宋体" w:hAnsi="宋体"/>
                <w:bCs/>
                <w:sz w:val="18"/>
                <w:szCs w:val="18"/>
              </w:rPr>
              <w:t>2.</w:t>
            </w:r>
            <w:r>
              <w:rPr>
                <w:rFonts w:hint="eastAsia" w:ascii="宋体" w:hAnsi="宋体"/>
                <w:bCs/>
                <w:sz w:val="18"/>
                <w:szCs w:val="18"/>
              </w:rPr>
              <w:t>2</w:t>
            </w:r>
            <w:r>
              <w:rPr>
                <w:rFonts w:ascii="宋体" w:hAnsi="宋体"/>
                <w:bCs/>
                <w:sz w:val="18"/>
                <w:szCs w:val="18"/>
              </w:rPr>
              <w:t>.</w:t>
            </w:r>
            <w:r>
              <w:rPr>
                <w:rFonts w:hint="eastAsia" w:ascii="宋体" w:hAnsi="宋体"/>
                <w:bCs/>
                <w:sz w:val="18"/>
                <w:szCs w:val="18"/>
              </w:rPr>
              <w:t>7</w:t>
            </w:r>
          </w:p>
        </w:tc>
      </w:tr>
      <w:tr w14:paraId="243D68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noWrap w:val="0"/>
            <w:vAlign w:val="center"/>
          </w:tcPr>
          <w:p w14:paraId="5142F4A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2.2.8</w:t>
            </w:r>
          </w:p>
        </w:tc>
        <w:tc>
          <w:tcPr>
            <w:tcW w:w="6664" w:type="dxa"/>
            <w:tcBorders>
              <w:top w:val="single" w:color="auto" w:sz="8" w:space="0"/>
            </w:tcBorders>
            <w:noWrap w:val="0"/>
            <w:vAlign w:val="center"/>
          </w:tcPr>
          <w:p w14:paraId="5E96BE37">
            <w:pPr>
              <w:adjustRightInd w:val="0"/>
              <w:snapToGrid w:val="0"/>
              <w:rPr>
                <w:rFonts w:hint="eastAsia" w:ascii="Times New Roman" w:hAnsi="宋体" w:eastAsia="宋体" w:cs="Times New Roman"/>
                <w:bCs/>
                <w:kern w:val="2"/>
                <w:sz w:val="18"/>
                <w:szCs w:val="18"/>
                <w:lang w:val="en-US" w:eastAsia="zh-CN" w:bidi="ar-SA"/>
              </w:rPr>
            </w:pPr>
            <w:r>
              <w:rPr>
                <w:rFonts w:hint="eastAsia" w:ascii="宋体" w:hAnsi="宋体"/>
                <w:bCs/>
                <w:sz w:val="18"/>
                <w:szCs w:val="18"/>
              </w:rPr>
              <w:t>施工现场用地范围的周边应</w:t>
            </w:r>
            <w:r>
              <w:rPr>
                <w:rFonts w:hint="eastAsia" w:ascii="宋体" w:hAnsi="宋体"/>
                <w:bCs/>
                <w:sz w:val="18"/>
                <w:szCs w:val="18"/>
                <w:lang w:val="en-US" w:eastAsia="zh-CN"/>
              </w:rPr>
              <w:t>设置</w:t>
            </w:r>
            <w:r>
              <w:rPr>
                <w:rFonts w:hint="eastAsia" w:ascii="宋体" w:hAnsi="宋体"/>
                <w:bCs/>
                <w:sz w:val="18"/>
                <w:szCs w:val="18"/>
              </w:rPr>
              <w:t>硬质围挡，围挡设置高度不</w:t>
            </w:r>
            <w:r>
              <w:rPr>
                <w:rFonts w:hint="eastAsia" w:ascii="宋体" w:hAnsi="宋体"/>
                <w:bCs/>
                <w:sz w:val="18"/>
                <w:szCs w:val="18"/>
                <w:lang w:val="en-US" w:eastAsia="zh-CN"/>
              </w:rPr>
              <w:t>应</w:t>
            </w:r>
            <w:r>
              <w:rPr>
                <w:rFonts w:hint="eastAsia" w:ascii="宋体" w:hAnsi="宋体"/>
                <w:bCs/>
                <w:sz w:val="18"/>
                <w:szCs w:val="18"/>
              </w:rPr>
              <w:t>低于1.8 m；对可能影响行人安全的，应在工程险要处采取有效的安全保障措施；施工结束后，应恢复原貌。</w:t>
            </w:r>
          </w:p>
        </w:tc>
        <w:tc>
          <w:tcPr>
            <w:tcW w:w="624" w:type="dxa"/>
            <w:tcBorders>
              <w:top w:val="single" w:color="auto" w:sz="8" w:space="0"/>
            </w:tcBorders>
            <w:noWrap w:val="0"/>
            <w:vAlign w:val="center"/>
          </w:tcPr>
          <w:p w14:paraId="58ECCA19">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tcBorders>
            <w:noWrap w:val="0"/>
            <w:vAlign w:val="center"/>
          </w:tcPr>
          <w:p w14:paraId="4E720FB4">
            <w:pPr>
              <w:adjustRightInd w:val="0"/>
              <w:snapToGrid w:val="0"/>
              <w:jc w:val="center"/>
              <w:rPr>
                <w:rFonts w:ascii="宋体" w:hAnsi="宋体" w:eastAsia="宋体" w:cs="Times New Roman"/>
                <w:bCs/>
                <w:kern w:val="2"/>
                <w:sz w:val="18"/>
                <w:szCs w:val="18"/>
                <w:lang w:val="en-US" w:eastAsia="zh-CN" w:bidi="ar-SA"/>
              </w:rPr>
            </w:pPr>
          </w:p>
        </w:tc>
        <w:tc>
          <w:tcPr>
            <w:tcW w:w="676" w:type="dxa"/>
            <w:tcBorders>
              <w:top w:val="single" w:color="auto" w:sz="8" w:space="0"/>
            </w:tcBorders>
            <w:noWrap w:val="0"/>
            <w:vAlign w:val="center"/>
          </w:tcPr>
          <w:p w14:paraId="37A2213F">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2</w:t>
            </w:r>
          </w:p>
        </w:tc>
        <w:tc>
          <w:tcPr>
            <w:tcW w:w="3175" w:type="dxa"/>
            <w:tcBorders>
              <w:top w:val="single" w:color="auto" w:sz="8" w:space="0"/>
            </w:tcBorders>
            <w:noWrap w:val="0"/>
            <w:vAlign w:val="center"/>
          </w:tcPr>
          <w:p w14:paraId="63C5EADF">
            <w:pPr>
              <w:jc w:val="left"/>
              <w:rPr>
                <w:rFonts w:hint="eastAsia" w:ascii="宋体" w:hAnsi="宋体" w:eastAsia="宋体" w:cs="Times New Roman"/>
                <w:kern w:val="0"/>
                <w:sz w:val="18"/>
                <w:szCs w:val="18"/>
                <w:lang w:val="en-US" w:eastAsia="zh-CN" w:bidi="ar-SA"/>
              </w:rPr>
            </w:pPr>
            <w:r>
              <w:rPr>
                <w:rFonts w:hint="eastAsia" w:ascii="宋体" w:hAnsi="宋体"/>
                <w:kern w:val="0"/>
                <w:sz w:val="18"/>
                <w:szCs w:val="18"/>
              </w:rPr>
              <w:t>不符合要求，不得分。</w:t>
            </w:r>
          </w:p>
        </w:tc>
        <w:tc>
          <w:tcPr>
            <w:tcW w:w="623" w:type="dxa"/>
            <w:tcBorders>
              <w:top w:val="single" w:color="auto" w:sz="8" w:space="0"/>
            </w:tcBorders>
            <w:noWrap w:val="0"/>
            <w:vAlign w:val="center"/>
          </w:tcPr>
          <w:p w14:paraId="417DE134">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tcBorders>
            <w:noWrap w:val="0"/>
            <w:vAlign w:val="center"/>
          </w:tcPr>
          <w:p w14:paraId="1A1F4681">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tcBorders>
            <w:noWrap w:val="0"/>
            <w:vAlign w:val="center"/>
          </w:tcPr>
          <w:p w14:paraId="02CF0A53">
            <w:pPr>
              <w:tabs>
                <w:tab w:val="center" w:pos="4201"/>
                <w:tab w:val="right" w:leader="dot" w:pos="9298"/>
              </w:tabs>
              <w:autoSpaceDE w:val="0"/>
              <w:autoSpaceDN w:val="0"/>
              <w:ind w:right="34" w:rightChars="0"/>
              <w:jc w:val="center"/>
              <w:rPr>
                <w:rFonts w:hint="eastAsia" w:ascii="宋体" w:hAnsi="宋体" w:eastAsia="宋体" w:cs="Times New Roman"/>
                <w:kern w:val="2"/>
                <w:sz w:val="18"/>
                <w:szCs w:val="18"/>
                <w:lang w:val="en-US" w:eastAsia="zh-CN" w:bidi="ar-SA"/>
              </w:rPr>
            </w:pPr>
            <w:r>
              <w:rPr>
                <w:rFonts w:hint="eastAsia" w:ascii="宋体" w:hAnsi="宋体"/>
                <w:bCs/>
                <w:sz w:val="18"/>
                <w:szCs w:val="18"/>
                <w:lang w:eastAsia="zh-CN"/>
              </w:rPr>
              <w:t>4.</w:t>
            </w:r>
            <w:r>
              <w:rPr>
                <w:rFonts w:ascii="宋体" w:hAnsi="宋体"/>
                <w:bCs/>
                <w:sz w:val="18"/>
                <w:szCs w:val="18"/>
              </w:rPr>
              <w:t>2.</w:t>
            </w:r>
            <w:r>
              <w:rPr>
                <w:rFonts w:hint="eastAsia" w:ascii="宋体" w:hAnsi="宋体"/>
                <w:bCs/>
                <w:sz w:val="18"/>
                <w:szCs w:val="18"/>
              </w:rPr>
              <w:t>2</w:t>
            </w:r>
            <w:r>
              <w:rPr>
                <w:rFonts w:ascii="宋体" w:hAnsi="宋体"/>
                <w:bCs/>
                <w:sz w:val="18"/>
                <w:szCs w:val="18"/>
              </w:rPr>
              <w:t>.</w:t>
            </w:r>
            <w:r>
              <w:rPr>
                <w:rFonts w:hint="eastAsia" w:ascii="宋体" w:hAnsi="宋体"/>
                <w:bCs/>
                <w:sz w:val="18"/>
                <w:szCs w:val="18"/>
              </w:rPr>
              <w:t>8</w:t>
            </w:r>
          </w:p>
        </w:tc>
      </w:tr>
      <w:tr w14:paraId="47818C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shd w:val="clear" w:color="auto" w:fill="auto"/>
            <w:noWrap w:val="0"/>
            <w:vAlign w:val="center"/>
          </w:tcPr>
          <w:p w14:paraId="6B95FDA0">
            <w:pPr>
              <w:adjustRightInd w:val="0"/>
              <w:snapToGrid w:val="0"/>
              <w:jc w:val="center"/>
              <w:rPr>
                <w:rFonts w:hint="eastAsia" w:ascii="宋体" w:hAnsi="宋体" w:eastAsia="宋体" w:cs="Times New Roman"/>
                <w:kern w:val="0"/>
                <w:sz w:val="18"/>
                <w:szCs w:val="18"/>
                <w:highlight w:val="none"/>
                <w:lang w:val="en-US" w:eastAsia="zh-CN" w:bidi="ar-SA"/>
              </w:rPr>
            </w:pPr>
            <w:r>
              <w:rPr>
                <w:rFonts w:hint="eastAsia" w:ascii="宋体" w:hAnsi="宋体"/>
                <w:kern w:val="0"/>
                <w:sz w:val="18"/>
                <w:szCs w:val="18"/>
                <w:highlight w:val="none"/>
              </w:rPr>
              <w:t>2.</w:t>
            </w:r>
            <w:r>
              <w:rPr>
                <w:rFonts w:hint="eastAsia" w:ascii="宋体" w:hAnsi="宋体"/>
                <w:kern w:val="0"/>
                <w:sz w:val="18"/>
                <w:szCs w:val="18"/>
                <w:highlight w:val="none"/>
                <w:lang w:val="en-US" w:eastAsia="zh-CN"/>
              </w:rPr>
              <w:t>3</w:t>
            </w:r>
          </w:p>
        </w:tc>
        <w:tc>
          <w:tcPr>
            <w:tcW w:w="6664" w:type="dxa"/>
            <w:tcBorders>
              <w:top w:val="single" w:color="auto" w:sz="8" w:space="0"/>
            </w:tcBorders>
            <w:shd w:val="clear" w:color="auto" w:fill="auto"/>
            <w:noWrap w:val="0"/>
            <w:vAlign w:val="center"/>
          </w:tcPr>
          <w:p w14:paraId="3720ED56">
            <w:pPr>
              <w:adjustRightInd w:val="0"/>
              <w:snapToGrid w:val="0"/>
              <w:rPr>
                <w:rFonts w:hint="eastAsia" w:ascii="宋体" w:hAnsi="宋体" w:eastAsia="宋体" w:cs="Times New Roman"/>
                <w:bCs/>
                <w:kern w:val="2"/>
                <w:sz w:val="18"/>
                <w:szCs w:val="18"/>
                <w:highlight w:val="none"/>
                <w:lang w:val="en-US" w:eastAsia="zh-CN" w:bidi="ar-SA"/>
              </w:rPr>
            </w:pPr>
            <w:r>
              <w:rPr>
                <w:rFonts w:hint="eastAsia" w:ascii="宋体" w:hAnsi="宋体"/>
                <w:bCs/>
                <w:sz w:val="18"/>
                <w:szCs w:val="18"/>
                <w:highlight w:val="none"/>
              </w:rPr>
              <w:t>库房</w:t>
            </w:r>
          </w:p>
        </w:tc>
        <w:tc>
          <w:tcPr>
            <w:tcW w:w="624" w:type="dxa"/>
            <w:tcBorders>
              <w:top w:val="single" w:color="auto" w:sz="8" w:space="0"/>
            </w:tcBorders>
            <w:shd w:val="clear" w:color="auto" w:fill="auto"/>
            <w:noWrap w:val="0"/>
            <w:vAlign w:val="center"/>
          </w:tcPr>
          <w:p w14:paraId="21356E27">
            <w:pPr>
              <w:adjustRightInd w:val="0"/>
              <w:snapToGrid w:val="0"/>
              <w:jc w:val="center"/>
              <w:rPr>
                <w:rFonts w:ascii="宋体" w:hAnsi="宋体" w:eastAsia="宋体" w:cs="Times New Roman"/>
                <w:bCs/>
                <w:kern w:val="2"/>
                <w:sz w:val="18"/>
                <w:szCs w:val="18"/>
                <w:highlight w:val="none"/>
                <w:lang w:val="en-US" w:eastAsia="zh-CN" w:bidi="ar-SA"/>
              </w:rPr>
            </w:pPr>
          </w:p>
        </w:tc>
        <w:tc>
          <w:tcPr>
            <w:tcW w:w="624" w:type="dxa"/>
            <w:tcBorders>
              <w:top w:val="single" w:color="auto" w:sz="8" w:space="0"/>
            </w:tcBorders>
            <w:shd w:val="clear" w:color="auto" w:fill="auto"/>
            <w:noWrap w:val="0"/>
            <w:vAlign w:val="center"/>
          </w:tcPr>
          <w:p w14:paraId="00C67F8C">
            <w:pPr>
              <w:adjustRightInd w:val="0"/>
              <w:snapToGrid w:val="0"/>
              <w:jc w:val="center"/>
              <w:rPr>
                <w:rFonts w:hint="eastAsia" w:ascii="宋体" w:hAnsi="宋体" w:eastAsia="宋体" w:cs="Times New Roman"/>
                <w:bCs/>
                <w:kern w:val="2"/>
                <w:sz w:val="18"/>
                <w:szCs w:val="18"/>
                <w:highlight w:val="none"/>
                <w:lang w:val="en-US" w:eastAsia="zh-CN" w:bidi="ar-SA"/>
              </w:rPr>
            </w:pPr>
            <w:r>
              <w:rPr>
                <w:rFonts w:hint="eastAsia" w:ascii="宋体" w:hAnsi="宋体"/>
                <w:bCs/>
                <w:sz w:val="18"/>
                <w:szCs w:val="18"/>
                <w:highlight w:val="none"/>
              </w:rPr>
              <w:t>5</w:t>
            </w:r>
          </w:p>
        </w:tc>
        <w:tc>
          <w:tcPr>
            <w:tcW w:w="676" w:type="dxa"/>
            <w:tcBorders>
              <w:top w:val="single" w:color="auto" w:sz="8" w:space="0"/>
            </w:tcBorders>
            <w:shd w:val="clear" w:color="auto" w:fill="auto"/>
            <w:noWrap w:val="0"/>
            <w:vAlign w:val="center"/>
          </w:tcPr>
          <w:p w14:paraId="2B5BB6AE">
            <w:pPr>
              <w:adjustRightInd w:val="0"/>
              <w:snapToGrid w:val="0"/>
              <w:jc w:val="center"/>
              <w:rPr>
                <w:rFonts w:hint="eastAsia" w:ascii="宋体" w:hAnsi="宋体" w:eastAsia="宋体" w:cs="Times New Roman"/>
                <w:bCs/>
                <w:kern w:val="2"/>
                <w:sz w:val="18"/>
                <w:szCs w:val="18"/>
                <w:highlight w:val="none"/>
                <w:lang w:val="en-US" w:eastAsia="zh-CN" w:bidi="ar-SA"/>
              </w:rPr>
            </w:pPr>
          </w:p>
        </w:tc>
        <w:tc>
          <w:tcPr>
            <w:tcW w:w="3175" w:type="dxa"/>
            <w:tcBorders>
              <w:top w:val="single" w:color="auto" w:sz="8" w:space="0"/>
            </w:tcBorders>
            <w:shd w:val="clear" w:color="auto" w:fill="auto"/>
            <w:noWrap w:val="0"/>
            <w:vAlign w:val="center"/>
          </w:tcPr>
          <w:p w14:paraId="07583D95">
            <w:pPr>
              <w:adjustRightInd w:val="0"/>
              <w:snapToGrid w:val="0"/>
              <w:jc w:val="left"/>
              <w:rPr>
                <w:rFonts w:hint="eastAsia" w:ascii="宋体" w:hAnsi="宋体" w:eastAsia="宋体" w:cs="Times New Roman"/>
                <w:bCs/>
                <w:kern w:val="2"/>
                <w:sz w:val="18"/>
                <w:szCs w:val="18"/>
                <w:highlight w:val="none"/>
                <w:lang w:val="en-US" w:eastAsia="zh-CN" w:bidi="ar-SA"/>
              </w:rPr>
            </w:pPr>
          </w:p>
        </w:tc>
        <w:tc>
          <w:tcPr>
            <w:tcW w:w="623" w:type="dxa"/>
            <w:tcBorders>
              <w:top w:val="single" w:color="auto" w:sz="8" w:space="0"/>
            </w:tcBorders>
            <w:shd w:val="clear" w:color="auto" w:fill="auto"/>
            <w:noWrap w:val="0"/>
            <w:vAlign w:val="center"/>
          </w:tcPr>
          <w:p w14:paraId="14BEA856">
            <w:pPr>
              <w:adjustRightInd w:val="0"/>
              <w:snapToGrid w:val="0"/>
              <w:jc w:val="center"/>
              <w:rPr>
                <w:rFonts w:ascii="宋体" w:hAnsi="宋体" w:eastAsia="宋体" w:cs="Times New Roman"/>
                <w:bCs/>
                <w:kern w:val="2"/>
                <w:sz w:val="18"/>
                <w:szCs w:val="18"/>
                <w:highlight w:val="none"/>
                <w:lang w:val="en-US" w:eastAsia="zh-CN" w:bidi="ar-SA"/>
              </w:rPr>
            </w:pPr>
          </w:p>
        </w:tc>
        <w:tc>
          <w:tcPr>
            <w:tcW w:w="623" w:type="dxa"/>
            <w:tcBorders>
              <w:top w:val="single" w:color="auto" w:sz="8" w:space="0"/>
            </w:tcBorders>
            <w:shd w:val="clear" w:color="auto" w:fill="auto"/>
            <w:noWrap w:val="0"/>
            <w:vAlign w:val="center"/>
          </w:tcPr>
          <w:p w14:paraId="153569F2">
            <w:pPr>
              <w:adjustRightInd w:val="0"/>
              <w:snapToGrid w:val="0"/>
              <w:jc w:val="center"/>
              <w:rPr>
                <w:rFonts w:ascii="宋体" w:hAnsi="宋体" w:eastAsia="宋体" w:cs="Times New Roman"/>
                <w:bCs/>
                <w:kern w:val="2"/>
                <w:sz w:val="18"/>
                <w:szCs w:val="18"/>
                <w:highlight w:val="none"/>
                <w:lang w:val="en-US" w:eastAsia="zh-CN" w:bidi="ar-SA"/>
              </w:rPr>
            </w:pPr>
          </w:p>
        </w:tc>
        <w:tc>
          <w:tcPr>
            <w:tcW w:w="1560" w:type="dxa"/>
            <w:tcBorders>
              <w:top w:val="single" w:color="auto" w:sz="8" w:space="0"/>
            </w:tcBorders>
            <w:shd w:val="clear" w:color="auto" w:fill="auto"/>
            <w:noWrap w:val="0"/>
            <w:vAlign w:val="center"/>
          </w:tcPr>
          <w:p w14:paraId="7592442B">
            <w:pPr>
              <w:tabs>
                <w:tab w:val="center" w:pos="4201"/>
                <w:tab w:val="right" w:leader="dot" w:pos="9298"/>
              </w:tabs>
              <w:autoSpaceDE w:val="0"/>
              <w:autoSpaceDN w:val="0"/>
              <w:adjustRightInd w:val="0"/>
              <w:snapToGrid w:val="0"/>
              <w:ind w:right="34" w:rightChars="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rPr>
              <w:t>4.2.</w:t>
            </w:r>
            <w:r>
              <w:rPr>
                <w:rFonts w:hint="eastAsia" w:ascii="宋体" w:hAnsi="宋体"/>
                <w:sz w:val="18"/>
                <w:szCs w:val="18"/>
                <w:highlight w:val="none"/>
                <w:lang w:val="en-US" w:eastAsia="zh-CN"/>
              </w:rPr>
              <w:t>3</w:t>
            </w:r>
          </w:p>
        </w:tc>
      </w:tr>
      <w:tr w14:paraId="2BC2E7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shd w:val="clear" w:color="auto" w:fill="auto"/>
            <w:noWrap w:val="0"/>
            <w:vAlign w:val="center"/>
          </w:tcPr>
          <w:p w14:paraId="2544D267">
            <w:pPr>
              <w:adjustRightInd w:val="0"/>
              <w:snapToGrid w:val="0"/>
              <w:jc w:val="center"/>
              <w:rPr>
                <w:rFonts w:hint="eastAsia" w:ascii="宋体" w:hAnsi="宋体" w:eastAsia="宋体" w:cs="Times New Roman"/>
                <w:kern w:val="0"/>
                <w:sz w:val="18"/>
                <w:szCs w:val="18"/>
                <w:highlight w:val="none"/>
                <w:lang w:val="en-US" w:eastAsia="zh-CN" w:bidi="ar-SA"/>
              </w:rPr>
            </w:pPr>
            <w:r>
              <w:rPr>
                <w:rFonts w:hint="eastAsia" w:ascii="宋体" w:hAnsi="宋体"/>
                <w:kern w:val="0"/>
                <w:sz w:val="18"/>
                <w:szCs w:val="18"/>
                <w:highlight w:val="none"/>
              </w:rPr>
              <w:t>2.</w:t>
            </w:r>
            <w:r>
              <w:rPr>
                <w:rFonts w:hint="eastAsia" w:ascii="宋体" w:hAnsi="宋体"/>
                <w:kern w:val="0"/>
                <w:sz w:val="18"/>
                <w:szCs w:val="18"/>
                <w:highlight w:val="none"/>
                <w:lang w:val="en-US" w:eastAsia="zh-CN"/>
              </w:rPr>
              <w:t>3</w:t>
            </w:r>
            <w:r>
              <w:rPr>
                <w:rFonts w:hint="eastAsia" w:ascii="宋体" w:hAnsi="宋体"/>
                <w:kern w:val="0"/>
                <w:sz w:val="18"/>
                <w:szCs w:val="18"/>
                <w:highlight w:val="none"/>
              </w:rPr>
              <w:t>.1</w:t>
            </w:r>
          </w:p>
        </w:tc>
        <w:tc>
          <w:tcPr>
            <w:tcW w:w="6664" w:type="dxa"/>
            <w:tcBorders>
              <w:top w:val="single" w:color="auto" w:sz="8" w:space="0"/>
            </w:tcBorders>
            <w:shd w:val="clear" w:color="auto" w:fill="auto"/>
            <w:noWrap w:val="0"/>
            <w:vAlign w:val="center"/>
          </w:tcPr>
          <w:p w14:paraId="6798BC98">
            <w:pPr>
              <w:adjustRightInd w:val="0"/>
              <w:snapToGrid w:val="0"/>
              <w:rPr>
                <w:rFonts w:hint="default" w:ascii="宋体" w:hAnsi="宋体" w:eastAsia="宋体"/>
                <w:bCs/>
                <w:sz w:val="18"/>
                <w:szCs w:val="18"/>
                <w:highlight w:val="none"/>
                <w:lang w:val="en-US" w:eastAsia="zh-CN"/>
              </w:rPr>
            </w:pPr>
            <w:r>
              <w:rPr>
                <w:rFonts w:hint="eastAsia" w:ascii="宋体" w:hAnsi="宋体"/>
                <w:bCs/>
                <w:sz w:val="18"/>
                <w:szCs w:val="18"/>
                <w:highlight w:val="none"/>
                <w:lang w:val="en-US" w:eastAsia="zh-CN"/>
              </w:rPr>
              <w:t>库房应符合下列要求：</w:t>
            </w:r>
          </w:p>
          <w:p w14:paraId="4FAE48BA">
            <w:pPr>
              <w:adjustRightInd w:val="0"/>
              <w:snapToGrid w:val="0"/>
              <w:rPr>
                <w:rFonts w:hint="eastAsia" w:ascii="宋体" w:hAnsi="宋体"/>
                <w:bCs/>
                <w:sz w:val="18"/>
                <w:szCs w:val="18"/>
                <w:highlight w:val="none"/>
              </w:rPr>
            </w:pPr>
            <w:r>
              <w:rPr>
                <w:rFonts w:hint="eastAsia" w:ascii="宋体" w:hAnsi="宋体"/>
                <w:bCs/>
                <w:sz w:val="18"/>
                <w:szCs w:val="18"/>
                <w:highlight w:val="none"/>
              </w:rPr>
              <w:t>a）库房内储存物品应分类、分堆、限额存放；</w:t>
            </w:r>
          </w:p>
          <w:p w14:paraId="59305458">
            <w:pPr>
              <w:adjustRightInd w:val="0"/>
              <w:snapToGrid w:val="0"/>
              <w:rPr>
                <w:rFonts w:hint="eastAsia" w:ascii="宋体" w:hAnsi="宋体"/>
                <w:bCs/>
                <w:sz w:val="18"/>
                <w:szCs w:val="18"/>
                <w:highlight w:val="none"/>
              </w:rPr>
            </w:pPr>
            <w:r>
              <w:rPr>
                <w:rFonts w:hint="eastAsia" w:ascii="宋体" w:hAnsi="宋体"/>
                <w:bCs/>
                <w:sz w:val="18"/>
                <w:szCs w:val="18"/>
                <w:highlight w:val="none"/>
              </w:rPr>
              <w:t>b）库房内堆放物品与照明灯之间的距离不小于0.5 m；</w:t>
            </w:r>
          </w:p>
          <w:p w14:paraId="12FB5BB1">
            <w:pPr>
              <w:adjustRightInd w:val="0"/>
              <w:snapToGrid w:val="0"/>
              <w:rPr>
                <w:rFonts w:hint="eastAsia" w:ascii="宋体" w:hAnsi="宋体"/>
                <w:bCs/>
                <w:sz w:val="18"/>
                <w:szCs w:val="18"/>
                <w:highlight w:val="none"/>
              </w:rPr>
            </w:pPr>
            <w:r>
              <w:rPr>
                <w:rFonts w:hint="eastAsia" w:ascii="宋体" w:hAnsi="宋体"/>
                <w:bCs/>
                <w:sz w:val="18"/>
                <w:szCs w:val="18"/>
                <w:highlight w:val="none"/>
              </w:rPr>
              <w:t>c）库房的电器设备应与可燃物保持不小于0.5m的间距，架空线路的下方不应堆放物品</w:t>
            </w:r>
            <w:r>
              <w:rPr>
                <w:rFonts w:hint="eastAsia" w:ascii="宋体" w:hAnsi="宋体"/>
                <w:bCs/>
                <w:sz w:val="18"/>
                <w:szCs w:val="18"/>
                <w:highlight w:val="none"/>
                <w:lang w:eastAsia="zh-CN"/>
              </w:rPr>
              <w:t>；</w:t>
            </w:r>
          </w:p>
          <w:p w14:paraId="02296E5B">
            <w:pPr>
              <w:adjustRightInd w:val="0"/>
              <w:snapToGrid w:val="0"/>
              <w:rPr>
                <w:rFonts w:hint="eastAsia" w:ascii="宋体" w:hAnsi="宋体"/>
                <w:bCs/>
                <w:sz w:val="18"/>
                <w:szCs w:val="18"/>
                <w:highlight w:val="none"/>
              </w:rPr>
            </w:pPr>
            <w:r>
              <w:rPr>
                <w:rFonts w:hint="eastAsia" w:ascii="宋体" w:hAnsi="宋体"/>
                <w:bCs/>
                <w:sz w:val="18"/>
                <w:szCs w:val="18"/>
                <w:highlight w:val="none"/>
              </w:rPr>
              <w:t>d）库房内敷设的配电线路，应穿金属管或难燃硬塑料管保护；</w:t>
            </w:r>
          </w:p>
          <w:p w14:paraId="462B0236">
            <w:pPr>
              <w:adjustRightInd w:val="0"/>
              <w:snapToGrid w:val="0"/>
              <w:rPr>
                <w:rFonts w:hint="eastAsia" w:ascii="宋体" w:hAnsi="宋体" w:eastAsia="宋体" w:cs="Times New Roman"/>
                <w:bCs/>
                <w:kern w:val="2"/>
                <w:sz w:val="18"/>
                <w:szCs w:val="18"/>
                <w:highlight w:val="none"/>
                <w:lang w:val="en-US" w:eastAsia="zh-CN" w:bidi="ar-SA"/>
              </w:rPr>
            </w:pPr>
            <w:r>
              <w:rPr>
                <w:rFonts w:hint="eastAsia" w:ascii="宋体" w:hAnsi="宋体"/>
                <w:bCs/>
                <w:sz w:val="18"/>
                <w:szCs w:val="18"/>
                <w:highlight w:val="none"/>
              </w:rPr>
              <w:t>e）</w:t>
            </w:r>
            <w:r>
              <w:rPr>
                <w:rFonts w:hint="eastAsia" w:ascii="宋体" w:hAnsi="宋体"/>
                <w:bCs/>
                <w:sz w:val="18"/>
                <w:szCs w:val="18"/>
                <w:highlight w:val="none"/>
                <w:lang w:val="en-US" w:eastAsia="zh-CN"/>
              </w:rPr>
              <w:t>库房内</w:t>
            </w:r>
            <w:r>
              <w:rPr>
                <w:rFonts w:hint="eastAsia" w:ascii="宋体" w:hAnsi="宋体"/>
                <w:bCs/>
                <w:sz w:val="18"/>
                <w:szCs w:val="18"/>
                <w:highlight w:val="none"/>
              </w:rPr>
              <w:t>不应随意乱接电线，擅自增加用电设备；</w:t>
            </w:r>
          </w:p>
        </w:tc>
        <w:tc>
          <w:tcPr>
            <w:tcW w:w="624" w:type="dxa"/>
            <w:tcBorders>
              <w:top w:val="single" w:color="auto" w:sz="8" w:space="0"/>
            </w:tcBorders>
            <w:shd w:val="clear" w:color="auto" w:fill="auto"/>
            <w:noWrap w:val="0"/>
            <w:vAlign w:val="center"/>
          </w:tcPr>
          <w:p w14:paraId="39FA098E">
            <w:pPr>
              <w:adjustRightInd w:val="0"/>
              <w:snapToGrid w:val="0"/>
              <w:jc w:val="center"/>
              <w:rPr>
                <w:rFonts w:ascii="宋体" w:hAnsi="宋体" w:eastAsia="宋体" w:cs="Times New Roman"/>
                <w:bCs/>
                <w:kern w:val="2"/>
                <w:sz w:val="18"/>
                <w:szCs w:val="18"/>
                <w:highlight w:val="none"/>
                <w:lang w:val="en-US" w:eastAsia="zh-CN" w:bidi="ar-SA"/>
              </w:rPr>
            </w:pPr>
          </w:p>
        </w:tc>
        <w:tc>
          <w:tcPr>
            <w:tcW w:w="624" w:type="dxa"/>
            <w:tcBorders>
              <w:top w:val="single" w:color="auto" w:sz="8" w:space="0"/>
            </w:tcBorders>
            <w:shd w:val="clear" w:color="auto" w:fill="auto"/>
            <w:noWrap w:val="0"/>
            <w:vAlign w:val="center"/>
          </w:tcPr>
          <w:p w14:paraId="6845BF62">
            <w:pPr>
              <w:adjustRightInd w:val="0"/>
              <w:snapToGrid w:val="0"/>
              <w:jc w:val="center"/>
              <w:rPr>
                <w:rFonts w:ascii="宋体" w:hAnsi="宋体" w:eastAsia="宋体" w:cs="Times New Roman"/>
                <w:bCs/>
                <w:kern w:val="2"/>
                <w:sz w:val="18"/>
                <w:szCs w:val="18"/>
                <w:highlight w:val="none"/>
                <w:lang w:val="en-US" w:eastAsia="zh-CN" w:bidi="ar-SA"/>
              </w:rPr>
            </w:pPr>
          </w:p>
        </w:tc>
        <w:tc>
          <w:tcPr>
            <w:tcW w:w="676" w:type="dxa"/>
            <w:tcBorders>
              <w:top w:val="single" w:color="auto" w:sz="8" w:space="0"/>
            </w:tcBorders>
            <w:shd w:val="clear" w:color="auto" w:fill="auto"/>
            <w:noWrap w:val="0"/>
            <w:vAlign w:val="center"/>
          </w:tcPr>
          <w:p w14:paraId="0D8DEC44">
            <w:pPr>
              <w:adjustRightInd w:val="0"/>
              <w:snapToGrid w:val="0"/>
              <w:jc w:val="center"/>
              <w:rPr>
                <w:rFonts w:hint="eastAsia" w:ascii="宋体" w:hAnsi="宋体" w:eastAsia="宋体" w:cs="Times New Roman"/>
                <w:bCs/>
                <w:kern w:val="2"/>
                <w:sz w:val="18"/>
                <w:szCs w:val="18"/>
                <w:highlight w:val="none"/>
                <w:lang w:val="en-US" w:eastAsia="zh-CN" w:bidi="ar-SA"/>
              </w:rPr>
            </w:pPr>
            <w:r>
              <w:rPr>
                <w:rFonts w:hint="eastAsia" w:ascii="宋体" w:hAnsi="宋体"/>
                <w:bCs/>
                <w:sz w:val="18"/>
                <w:szCs w:val="18"/>
                <w:highlight w:val="none"/>
                <w:lang w:val="en-US" w:eastAsia="zh-CN"/>
              </w:rPr>
              <w:t>5</w:t>
            </w:r>
          </w:p>
        </w:tc>
        <w:tc>
          <w:tcPr>
            <w:tcW w:w="3175" w:type="dxa"/>
            <w:tcBorders>
              <w:top w:val="single" w:color="auto" w:sz="8" w:space="0"/>
            </w:tcBorders>
            <w:shd w:val="clear" w:color="auto" w:fill="auto"/>
            <w:noWrap w:val="0"/>
            <w:vAlign w:val="center"/>
          </w:tcPr>
          <w:p w14:paraId="2EEE5A81">
            <w:pPr>
              <w:adjustRightInd w:val="0"/>
              <w:snapToGrid w:val="0"/>
              <w:rPr>
                <w:rFonts w:hint="eastAsia" w:ascii="Times New Roman" w:hAnsi="Times New Roman" w:eastAsia="宋体" w:cs="Times New Roman"/>
                <w:kern w:val="2"/>
                <w:sz w:val="21"/>
                <w:szCs w:val="24"/>
                <w:highlight w:val="none"/>
                <w:lang w:val="en-US" w:eastAsia="zh-CN" w:bidi="ar-SA"/>
              </w:rPr>
            </w:pPr>
            <w:r>
              <w:rPr>
                <w:rFonts w:hint="eastAsia" w:ascii="宋体" w:hAnsi="宋体"/>
                <w:sz w:val="18"/>
                <w:szCs w:val="18"/>
                <w:highlight w:val="none"/>
              </w:rPr>
              <w:t>一</w:t>
            </w:r>
            <w:r>
              <w:rPr>
                <w:rFonts w:hint="eastAsia" w:ascii="宋体" w:hAnsi="宋体"/>
                <w:bCs/>
                <w:sz w:val="18"/>
                <w:szCs w:val="18"/>
                <w:highlight w:val="none"/>
              </w:rPr>
              <w:t>处</w:t>
            </w:r>
            <w:r>
              <w:rPr>
                <w:rFonts w:hint="eastAsia" w:ascii="宋体" w:hAnsi="宋体"/>
                <w:sz w:val="18"/>
                <w:szCs w:val="18"/>
                <w:highlight w:val="none"/>
              </w:rPr>
              <w:t>不符合，</w:t>
            </w:r>
            <w:r>
              <w:rPr>
                <w:rFonts w:hint="eastAsia" w:ascii="宋体" w:hAnsi="宋体"/>
                <w:sz w:val="18"/>
                <w:szCs w:val="18"/>
                <w:highlight w:val="none"/>
                <w:lang w:val="en-US" w:eastAsia="zh-CN"/>
              </w:rPr>
              <w:t>扣2分</w:t>
            </w:r>
            <w:r>
              <w:rPr>
                <w:rFonts w:hint="eastAsia" w:ascii="宋体" w:hAnsi="宋体"/>
                <w:sz w:val="18"/>
                <w:szCs w:val="18"/>
                <w:highlight w:val="none"/>
              </w:rPr>
              <w:t>。</w:t>
            </w:r>
          </w:p>
        </w:tc>
        <w:tc>
          <w:tcPr>
            <w:tcW w:w="623" w:type="dxa"/>
            <w:tcBorders>
              <w:top w:val="single" w:color="auto" w:sz="8" w:space="0"/>
            </w:tcBorders>
            <w:shd w:val="clear" w:color="auto" w:fill="auto"/>
            <w:noWrap w:val="0"/>
            <w:vAlign w:val="center"/>
          </w:tcPr>
          <w:p w14:paraId="73E2881D">
            <w:pPr>
              <w:adjustRightInd w:val="0"/>
              <w:snapToGrid w:val="0"/>
              <w:jc w:val="center"/>
              <w:rPr>
                <w:rFonts w:ascii="宋体" w:hAnsi="宋体" w:eastAsia="宋体" w:cs="Times New Roman"/>
                <w:bCs/>
                <w:kern w:val="2"/>
                <w:sz w:val="18"/>
                <w:szCs w:val="18"/>
                <w:highlight w:val="none"/>
                <w:lang w:val="en-US" w:eastAsia="zh-CN" w:bidi="ar-SA"/>
              </w:rPr>
            </w:pPr>
          </w:p>
        </w:tc>
        <w:tc>
          <w:tcPr>
            <w:tcW w:w="623" w:type="dxa"/>
            <w:tcBorders>
              <w:top w:val="single" w:color="auto" w:sz="8" w:space="0"/>
            </w:tcBorders>
            <w:shd w:val="clear" w:color="auto" w:fill="auto"/>
            <w:noWrap w:val="0"/>
            <w:vAlign w:val="center"/>
          </w:tcPr>
          <w:p w14:paraId="7DD5371A">
            <w:pPr>
              <w:adjustRightInd w:val="0"/>
              <w:snapToGrid w:val="0"/>
              <w:jc w:val="center"/>
              <w:rPr>
                <w:rFonts w:ascii="宋体" w:hAnsi="宋体" w:eastAsia="宋体" w:cs="Times New Roman"/>
                <w:bCs/>
                <w:kern w:val="2"/>
                <w:sz w:val="18"/>
                <w:szCs w:val="18"/>
                <w:highlight w:val="none"/>
                <w:lang w:val="en-US" w:eastAsia="zh-CN" w:bidi="ar-SA"/>
              </w:rPr>
            </w:pPr>
          </w:p>
        </w:tc>
        <w:tc>
          <w:tcPr>
            <w:tcW w:w="1560" w:type="dxa"/>
            <w:tcBorders>
              <w:top w:val="single" w:color="auto" w:sz="8" w:space="0"/>
            </w:tcBorders>
            <w:shd w:val="clear" w:color="auto" w:fill="auto"/>
            <w:noWrap w:val="0"/>
            <w:vAlign w:val="center"/>
          </w:tcPr>
          <w:p w14:paraId="2F482249">
            <w:pPr>
              <w:tabs>
                <w:tab w:val="center" w:pos="4201"/>
                <w:tab w:val="right" w:leader="dot" w:pos="9298"/>
              </w:tabs>
              <w:autoSpaceDE w:val="0"/>
              <w:autoSpaceDN w:val="0"/>
              <w:adjustRightInd w:val="0"/>
              <w:snapToGrid w:val="0"/>
              <w:ind w:right="34" w:rightChars="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rPr>
              <w:t>4.2.</w:t>
            </w:r>
            <w:r>
              <w:rPr>
                <w:rFonts w:hint="eastAsia" w:ascii="宋体" w:hAnsi="宋体"/>
                <w:sz w:val="18"/>
                <w:szCs w:val="18"/>
                <w:highlight w:val="none"/>
                <w:lang w:val="en-US" w:eastAsia="zh-CN"/>
              </w:rPr>
              <w:t>3</w:t>
            </w:r>
          </w:p>
        </w:tc>
      </w:tr>
    </w:tbl>
    <w:p w14:paraId="58F5E435">
      <w:pPr>
        <w:pStyle w:val="168"/>
        <w:widowControl/>
        <w:numPr>
          <w:ilvl w:val="0"/>
          <w:numId w:val="0"/>
        </w:numPr>
        <w:spacing w:before="156" w:after="156"/>
        <w:ind w:left="567" w:hanging="567"/>
        <w:rPr>
          <w:rFonts w:hint="eastAsia"/>
        </w:rPr>
      </w:pPr>
      <w:r>
        <w:rPr>
          <w:rFonts w:hint="eastAsia"/>
        </w:rPr>
        <w:t>表C.1 场所环境要素的安全生产等级评定细则</w:t>
      </w:r>
      <w:r>
        <w:rPr>
          <w:rFonts w:hint="eastAsia" w:ascii="宋体" w:hAnsi="宋体" w:eastAsia="宋体"/>
        </w:rPr>
        <w:t>（续）</w:t>
      </w:r>
    </w:p>
    <w:tbl>
      <w:tblPr>
        <w:tblStyle w:val="47"/>
        <w:tblpPr w:leftFromText="180" w:rightFromText="180" w:vertAnchor="text"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664"/>
        <w:gridCol w:w="624"/>
        <w:gridCol w:w="624"/>
        <w:gridCol w:w="676"/>
        <w:gridCol w:w="3175"/>
        <w:gridCol w:w="623"/>
        <w:gridCol w:w="623"/>
        <w:gridCol w:w="1560"/>
      </w:tblGrid>
      <w:tr w14:paraId="0ABC0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noWrap w:val="0"/>
            <w:vAlign w:val="center"/>
          </w:tcPr>
          <w:p w14:paraId="648AD2E9">
            <w:pPr>
              <w:adjustRightInd w:val="0"/>
              <w:snapToGrid w:val="0"/>
              <w:jc w:val="center"/>
              <w:rPr>
                <w:rFonts w:ascii="宋体" w:hAnsi="宋体"/>
                <w:sz w:val="18"/>
                <w:szCs w:val="18"/>
              </w:rPr>
            </w:pPr>
            <w:r>
              <w:rPr>
                <w:rFonts w:ascii="宋体" w:hAnsi="宋体"/>
                <w:bCs/>
                <w:sz w:val="18"/>
                <w:szCs w:val="18"/>
              </w:rPr>
              <w:t>序号</w:t>
            </w:r>
          </w:p>
        </w:tc>
        <w:tc>
          <w:tcPr>
            <w:tcW w:w="6664" w:type="dxa"/>
            <w:tcBorders>
              <w:top w:val="single" w:color="auto" w:sz="8" w:space="0"/>
              <w:bottom w:val="single" w:color="auto" w:sz="8" w:space="0"/>
            </w:tcBorders>
            <w:noWrap w:val="0"/>
            <w:vAlign w:val="center"/>
          </w:tcPr>
          <w:p w14:paraId="12194117">
            <w:pPr>
              <w:adjustRightInd w:val="0"/>
              <w:snapToGrid w:val="0"/>
              <w:jc w:val="center"/>
              <w:rPr>
                <w:rFonts w:ascii="宋体" w:hAnsi="宋体"/>
                <w:sz w:val="18"/>
                <w:szCs w:val="18"/>
              </w:rPr>
            </w:pPr>
            <w:r>
              <w:rPr>
                <w:rFonts w:ascii="宋体" w:hAnsi="宋体"/>
                <w:bCs/>
                <w:sz w:val="18"/>
                <w:szCs w:val="18"/>
              </w:rPr>
              <w:t>评定内容</w:t>
            </w:r>
          </w:p>
        </w:tc>
        <w:tc>
          <w:tcPr>
            <w:tcW w:w="624" w:type="dxa"/>
            <w:tcBorders>
              <w:top w:val="single" w:color="auto" w:sz="8" w:space="0"/>
              <w:bottom w:val="single" w:color="auto" w:sz="8" w:space="0"/>
            </w:tcBorders>
            <w:noWrap w:val="0"/>
            <w:vAlign w:val="center"/>
          </w:tcPr>
          <w:p w14:paraId="700ACD7C">
            <w:pPr>
              <w:adjustRightInd w:val="0"/>
              <w:snapToGrid w:val="0"/>
              <w:jc w:val="center"/>
              <w:rPr>
                <w:rFonts w:ascii="宋体" w:hAnsi="宋体"/>
                <w:sz w:val="18"/>
                <w:szCs w:val="18"/>
              </w:rPr>
            </w:pPr>
            <w:r>
              <w:rPr>
                <w:rFonts w:ascii="宋体" w:hAnsi="宋体"/>
                <w:bCs/>
                <w:sz w:val="18"/>
                <w:szCs w:val="18"/>
              </w:rPr>
              <w:t>评定要素分值</w:t>
            </w:r>
          </w:p>
        </w:tc>
        <w:tc>
          <w:tcPr>
            <w:tcW w:w="624" w:type="dxa"/>
            <w:tcBorders>
              <w:top w:val="single" w:color="auto" w:sz="8" w:space="0"/>
              <w:bottom w:val="single" w:color="auto" w:sz="8" w:space="0"/>
            </w:tcBorders>
            <w:noWrap w:val="0"/>
            <w:vAlign w:val="center"/>
          </w:tcPr>
          <w:p w14:paraId="5140B6ED">
            <w:pPr>
              <w:adjustRightInd w:val="0"/>
              <w:snapToGrid w:val="0"/>
              <w:jc w:val="center"/>
              <w:rPr>
                <w:rFonts w:ascii="宋体" w:hAnsi="宋体"/>
                <w:sz w:val="18"/>
                <w:szCs w:val="18"/>
              </w:rPr>
            </w:pPr>
            <w:r>
              <w:rPr>
                <w:rFonts w:ascii="宋体" w:hAnsi="宋体"/>
                <w:bCs/>
                <w:sz w:val="18"/>
                <w:szCs w:val="18"/>
              </w:rPr>
              <w:t>评定细项分值</w:t>
            </w:r>
          </w:p>
        </w:tc>
        <w:tc>
          <w:tcPr>
            <w:tcW w:w="676" w:type="dxa"/>
            <w:tcBorders>
              <w:top w:val="single" w:color="auto" w:sz="8" w:space="0"/>
              <w:bottom w:val="single" w:color="auto" w:sz="8" w:space="0"/>
            </w:tcBorders>
            <w:noWrap w:val="0"/>
            <w:vAlign w:val="center"/>
          </w:tcPr>
          <w:p w14:paraId="00D5FC3A">
            <w:pPr>
              <w:adjustRightInd w:val="0"/>
              <w:snapToGrid w:val="0"/>
              <w:jc w:val="center"/>
              <w:rPr>
                <w:rFonts w:ascii="宋体" w:hAnsi="宋体"/>
                <w:sz w:val="18"/>
                <w:szCs w:val="18"/>
              </w:rPr>
            </w:pPr>
            <w:r>
              <w:rPr>
                <w:rFonts w:ascii="宋体" w:hAnsi="宋体"/>
                <w:bCs/>
                <w:sz w:val="18"/>
                <w:szCs w:val="18"/>
              </w:rPr>
              <w:t>评定条款分值</w:t>
            </w:r>
          </w:p>
        </w:tc>
        <w:tc>
          <w:tcPr>
            <w:tcW w:w="3175" w:type="dxa"/>
            <w:tcBorders>
              <w:top w:val="single" w:color="auto" w:sz="8" w:space="0"/>
              <w:bottom w:val="single" w:color="auto" w:sz="8" w:space="0"/>
            </w:tcBorders>
            <w:noWrap w:val="0"/>
            <w:vAlign w:val="center"/>
          </w:tcPr>
          <w:p w14:paraId="30F8AC17">
            <w:pPr>
              <w:adjustRightInd w:val="0"/>
              <w:snapToGrid w:val="0"/>
              <w:jc w:val="center"/>
              <w:rPr>
                <w:rFonts w:ascii="宋体" w:hAnsi="宋体"/>
                <w:sz w:val="18"/>
                <w:szCs w:val="18"/>
              </w:rPr>
            </w:pPr>
            <w:r>
              <w:rPr>
                <w:rFonts w:ascii="宋体" w:hAnsi="宋体"/>
                <w:bCs/>
                <w:sz w:val="18"/>
                <w:szCs w:val="18"/>
              </w:rPr>
              <w:t>评分标准</w:t>
            </w:r>
          </w:p>
        </w:tc>
        <w:tc>
          <w:tcPr>
            <w:tcW w:w="623" w:type="dxa"/>
            <w:tcBorders>
              <w:top w:val="single" w:color="auto" w:sz="8" w:space="0"/>
              <w:bottom w:val="single" w:color="auto" w:sz="8" w:space="0"/>
            </w:tcBorders>
            <w:noWrap w:val="0"/>
            <w:vAlign w:val="center"/>
          </w:tcPr>
          <w:p w14:paraId="046924D9">
            <w:pPr>
              <w:adjustRightInd w:val="0"/>
              <w:snapToGrid w:val="0"/>
              <w:jc w:val="center"/>
              <w:rPr>
                <w:rFonts w:ascii="宋体" w:hAnsi="宋体"/>
                <w:sz w:val="18"/>
                <w:szCs w:val="18"/>
              </w:rPr>
            </w:pPr>
            <w:r>
              <w:rPr>
                <w:rFonts w:ascii="宋体" w:hAnsi="宋体"/>
                <w:bCs/>
                <w:sz w:val="18"/>
                <w:szCs w:val="18"/>
              </w:rPr>
              <w:t>评定得分</w:t>
            </w:r>
          </w:p>
        </w:tc>
        <w:tc>
          <w:tcPr>
            <w:tcW w:w="623" w:type="dxa"/>
            <w:tcBorders>
              <w:top w:val="single" w:color="auto" w:sz="8" w:space="0"/>
              <w:bottom w:val="single" w:color="auto" w:sz="8" w:space="0"/>
            </w:tcBorders>
            <w:noWrap w:val="0"/>
            <w:vAlign w:val="center"/>
          </w:tcPr>
          <w:p w14:paraId="1767F23E">
            <w:pPr>
              <w:adjustRightInd w:val="0"/>
              <w:snapToGrid w:val="0"/>
              <w:jc w:val="center"/>
              <w:rPr>
                <w:rFonts w:ascii="宋体" w:hAnsi="宋体"/>
                <w:sz w:val="18"/>
                <w:szCs w:val="18"/>
              </w:rPr>
            </w:pPr>
            <w:r>
              <w:rPr>
                <w:rFonts w:ascii="宋体" w:hAnsi="宋体"/>
                <w:bCs/>
                <w:sz w:val="18"/>
                <w:szCs w:val="18"/>
              </w:rPr>
              <w:t>扣分说明</w:t>
            </w:r>
          </w:p>
        </w:tc>
        <w:tc>
          <w:tcPr>
            <w:tcW w:w="1560" w:type="dxa"/>
            <w:tcBorders>
              <w:top w:val="single" w:color="auto" w:sz="8" w:space="0"/>
              <w:bottom w:val="single" w:color="auto" w:sz="8" w:space="0"/>
            </w:tcBorders>
            <w:noWrap w:val="0"/>
            <w:vAlign w:val="center"/>
          </w:tcPr>
          <w:p w14:paraId="54FA3F7F">
            <w:pPr>
              <w:adjustRightInd w:val="0"/>
              <w:snapToGrid w:val="0"/>
              <w:jc w:val="center"/>
              <w:rPr>
                <w:rFonts w:ascii="宋体" w:hAnsi="宋体"/>
                <w:sz w:val="18"/>
                <w:szCs w:val="18"/>
              </w:rPr>
            </w:pPr>
            <w:r>
              <w:rPr>
                <w:rFonts w:ascii="宋体" w:hAnsi="宋体"/>
                <w:bCs/>
                <w:sz w:val="18"/>
                <w:szCs w:val="18"/>
              </w:rPr>
              <w:t>对应条款编号</w:t>
            </w:r>
          </w:p>
        </w:tc>
      </w:tr>
      <w:tr w14:paraId="39117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shd w:val="clear" w:color="auto" w:fill="auto"/>
            <w:noWrap w:val="0"/>
            <w:vAlign w:val="center"/>
          </w:tcPr>
          <w:p w14:paraId="541B9C3B">
            <w:pPr>
              <w:adjustRightInd w:val="0"/>
              <w:snapToGrid w:val="0"/>
              <w:jc w:val="center"/>
              <w:rPr>
                <w:rFonts w:hint="eastAsia" w:ascii="宋体" w:hAnsi="宋体" w:eastAsia="宋体" w:cs="Times New Roman"/>
                <w:kern w:val="0"/>
                <w:sz w:val="18"/>
                <w:szCs w:val="18"/>
                <w:highlight w:val="none"/>
                <w:lang w:val="en-US" w:eastAsia="zh-CN" w:bidi="ar-SA"/>
              </w:rPr>
            </w:pPr>
          </w:p>
        </w:tc>
        <w:tc>
          <w:tcPr>
            <w:tcW w:w="6664" w:type="dxa"/>
            <w:tcBorders>
              <w:top w:val="single" w:color="auto" w:sz="8" w:space="0"/>
            </w:tcBorders>
            <w:shd w:val="clear" w:color="auto" w:fill="auto"/>
            <w:noWrap w:val="0"/>
            <w:vAlign w:val="center"/>
          </w:tcPr>
          <w:p w14:paraId="3E88E199">
            <w:pPr>
              <w:adjustRightInd w:val="0"/>
              <w:snapToGrid w:val="0"/>
              <w:rPr>
                <w:rFonts w:hint="eastAsia" w:ascii="宋体" w:hAnsi="宋体" w:eastAsia="宋体" w:cs="Times New Roman"/>
                <w:bCs/>
                <w:sz w:val="18"/>
                <w:szCs w:val="18"/>
                <w:highlight w:val="none"/>
              </w:rPr>
            </w:pPr>
            <w:r>
              <w:rPr>
                <w:rFonts w:hint="eastAsia" w:ascii="宋体" w:hAnsi="宋体"/>
                <w:bCs/>
                <w:sz w:val="18"/>
                <w:szCs w:val="18"/>
                <w:highlight w:val="none"/>
              </w:rPr>
              <w:t>f）库房内不应使用电炉、电烙铁</w:t>
            </w:r>
            <w:r>
              <w:rPr>
                <w:rFonts w:hint="eastAsia" w:ascii="宋体" w:hAnsi="宋体"/>
                <w:bCs/>
                <w:sz w:val="18"/>
                <w:szCs w:val="18"/>
                <w:highlight w:val="none"/>
                <w:lang w:eastAsia="zh-CN"/>
              </w:rPr>
              <w:t>、</w:t>
            </w:r>
            <w:r>
              <w:rPr>
                <w:rFonts w:hint="eastAsia" w:ascii="宋体" w:hAnsi="宋体"/>
                <w:bCs/>
                <w:sz w:val="18"/>
                <w:szCs w:val="18"/>
                <w:highlight w:val="none"/>
              </w:rPr>
              <w:t>电熨斗、电热水器等电热器具和电视机、电冰箱等家用电器；</w:t>
            </w:r>
          </w:p>
          <w:p w14:paraId="06CD7C56">
            <w:pPr>
              <w:adjustRightInd w:val="0"/>
              <w:snapToGrid w:val="0"/>
              <w:rPr>
                <w:rFonts w:hint="eastAsia" w:ascii="宋体" w:hAnsi="宋体" w:eastAsia="宋体" w:cs="Times New Roman"/>
                <w:bCs/>
                <w:sz w:val="18"/>
                <w:szCs w:val="18"/>
                <w:highlight w:val="none"/>
                <w:lang w:val="en-US" w:eastAsia="zh-CN"/>
              </w:rPr>
            </w:pPr>
            <w:r>
              <w:rPr>
                <w:rFonts w:hint="eastAsia" w:ascii="宋体" w:hAnsi="宋体" w:eastAsia="宋体" w:cs="Times New Roman"/>
                <w:bCs/>
                <w:sz w:val="18"/>
                <w:szCs w:val="18"/>
                <w:highlight w:val="none"/>
              </w:rPr>
              <w:t>g）库房内不应使用明火，并应设置醒目的禁止标志</w:t>
            </w:r>
            <w:r>
              <w:rPr>
                <w:rFonts w:hint="eastAsia" w:ascii="宋体" w:hAnsi="宋体" w:eastAsia="宋体" w:cs="Times New Roman"/>
                <w:bCs/>
                <w:sz w:val="18"/>
                <w:szCs w:val="18"/>
                <w:highlight w:val="none"/>
                <w:lang w:eastAsia="zh-CN"/>
              </w:rPr>
              <w:t>；</w:t>
            </w:r>
          </w:p>
          <w:p w14:paraId="4D83125B">
            <w:pPr>
              <w:adjustRightInd w:val="0"/>
              <w:snapToGrid w:val="0"/>
              <w:rPr>
                <w:rFonts w:hint="eastAsia" w:ascii="宋体" w:hAnsi="宋体" w:eastAsia="宋体" w:cs="Times New Roman"/>
                <w:bCs/>
                <w:sz w:val="18"/>
                <w:szCs w:val="18"/>
                <w:highlight w:val="none"/>
              </w:rPr>
            </w:pPr>
            <w:r>
              <w:rPr>
                <w:rFonts w:hint="eastAsia" w:ascii="宋体" w:hAnsi="宋体" w:eastAsia="宋体" w:cs="Times New Roman"/>
                <w:bCs/>
                <w:sz w:val="18"/>
                <w:szCs w:val="18"/>
                <w:highlight w:val="none"/>
                <w:lang w:val="en-US" w:eastAsia="zh-CN"/>
              </w:rPr>
              <w:t>h</w:t>
            </w:r>
            <w:r>
              <w:rPr>
                <w:rFonts w:hint="eastAsia" w:ascii="宋体" w:hAnsi="宋体" w:eastAsia="宋体" w:cs="Times New Roman"/>
                <w:bCs/>
                <w:sz w:val="18"/>
                <w:szCs w:val="18"/>
                <w:highlight w:val="none"/>
              </w:rPr>
              <w:t>）货架不应遮挡消火栓、自动喷淋系统喷头以及排烟口；</w:t>
            </w:r>
          </w:p>
          <w:p w14:paraId="6ABA09C8">
            <w:pPr>
              <w:adjustRightInd w:val="0"/>
              <w:snapToGrid w:val="0"/>
              <w:rPr>
                <w:rFonts w:hint="eastAsia" w:ascii="宋体" w:hAnsi="宋体" w:eastAsia="宋体" w:cs="Times New Roman"/>
                <w:bCs/>
                <w:sz w:val="18"/>
                <w:szCs w:val="18"/>
                <w:highlight w:val="none"/>
                <w:lang w:eastAsia="zh-CN"/>
              </w:rPr>
            </w:pPr>
            <w:r>
              <w:rPr>
                <w:rFonts w:hint="eastAsia" w:ascii="宋体" w:hAnsi="宋体" w:eastAsia="宋体" w:cs="Times New Roman"/>
                <w:bCs/>
                <w:sz w:val="18"/>
                <w:szCs w:val="18"/>
                <w:highlight w:val="none"/>
                <w:lang w:val="en-US" w:eastAsia="zh-CN"/>
              </w:rPr>
              <w:t>i</w:t>
            </w:r>
            <w:r>
              <w:rPr>
                <w:rFonts w:hint="eastAsia" w:ascii="宋体" w:hAnsi="宋体" w:eastAsia="宋体" w:cs="Times New Roman"/>
                <w:bCs/>
                <w:sz w:val="18"/>
                <w:szCs w:val="18"/>
                <w:highlight w:val="none"/>
              </w:rPr>
              <w:t>）应保持库房内通道畅通</w:t>
            </w:r>
            <w:r>
              <w:rPr>
                <w:rFonts w:hint="eastAsia" w:ascii="宋体" w:hAnsi="宋体" w:eastAsia="宋体" w:cs="Times New Roman"/>
                <w:bCs/>
                <w:sz w:val="18"/>
                <w:szCs w:val="18"/>
                <w:highlight w:val="none"/>
                <w:lang w:eastAsia="zh-CN"/>
              </w:rPr>
              <w:t>；</w:t>
            </w:r>
          </w:p>
          <w:p w14:paraId="69078914">
            <w:pPr>
              <w:adjustRightInd w:val="0"/>
              <w:snapToGrid w:val="0"/>
              <w:rPr>
                <w:rFonts w:hint="eastAsia" w:ascii="宋体" w:hAnsi="宋体" w:eastAsia="宋体" w:cs="Times New Roman"/>
                <w:bCs/>
                <w:kern w:val="2"/>
                <w:sz w:val="18"/>
                <w:szCs w:val="18"/>
                <w:highlight w:val="none"/>
                <w:lang w:val="en-US" w:eastAsia="zh-CN" w:bidi="ar-SA"/>
              </w:rPr>
            </w:pPr>
            <w:r>
              <w:rPr>
                <w:rFonts w:hint="eastAsia" w:ascii="宋体" w:hAnsi="宋体" w:eastAsia="宋体" w:cs="Times New Roman"/>
                <w:bCs/>
                <w:sz w:val="18"/>
                <w:szCs w:val="18"/>
                <w:highlight w:val="none"/>
                <w:lang w:val="en-US" w:eastAsia="zh-CN"/>
              </w:rPr>
              <w:t>j</w:t>
            </w:r>
            <w:r>
              <w:rPr>
                <w:rFonts w:hint="eastAsia" w:ascii="宋体" w:hAnsi="宋体" w:eastAsia="宋体" w:cs="Times New Roman"/>
                <w:bCs/>
                <w:sz w:val="18"/>
                <w:szCs w:val="18"/>
                <w:highlight w:val="none"/>
              </w:rPr>
              <w:t>）消毒剂、杀虫剂、灭鼠剂等有毒有害物品应储存于阴凉干燥通风处,专间存放或设置专柜</w:t>
            </w:r>
            <w:r>
              <w:rPr>
                <w:rFonts w:hint="eastAsia" w:ascii="宋体" w:hAnsi="宋体" w:eastAsia="宋体" w:cs="Times New Roman"/>
                <w:bCs/>
                <w:sz w:val="18"/>
                <w:szCs w:val="18"/>
                <w:highlight w:val="none"/>
                <w:lang w:eastAsia="zh-CN"/>
              </w:rPr>
              <w:t>，</w:t>
            </w:r>
            <w:r>
              <w:rPr>
                <w:rFonts w:hint="eastAsia" w:ascii="宋体" w:hAnsi="宋体" w:eastAsia="宋体" w:cs="Times New Roman"/>
                <w:bCs/>
                <w:sz w:val="18"/>
                <w:szCs w:val="18"/>
                <w:highlight w:val="none"/>
              </w:rPr>
              <w:t>有专人负责管理。</w:t>
            </w:r>
          </w:p>
        </w:tc>
        <w:tc>
          <w:tcPr>
            <w:tcW w:w="624" w:type="dxa"/>
            <w:tcBorders>
              <w:top w:val="single" w:color="auto" w:sz="8" w:space="0"/>
            </w:tcBorders>
            <w:shd w:val="clear" w:color="auto" w:fill="auto"/>
            <w:noWrap w:val="0"/>
            <w:vAlign w:val="center"/>
          </w:tcPr>
          <w:p w14:paraId="1A2254DC">
            <w:pPr>
              <w:adjustRightInd w:val="0"/>
              <w:snapToGrid w:val="0"/>
              <w:jc w:val="center"/>
              <w:rPr>
                <w:rFonts w:ascii="宋体" w:hAnsi="宋体" w:eastAsia="宋体" w:cs="Times New Roman"/>
                <w:bCs/>
                <w:kern w:val="2"/>
                <w:sz w:val="18"/>
                <w:szCs w:val="18"/>
                <w:highlight w:val="none"/>
                <w:lang w:val="en-US" w:eastAsia="zh-CN" w:bidi="ar-SA"/>
              </w:rPr>
            </w:pPr>
          </w:p>
        </w:tc>
        <w:tc>
          <w:tcPr>
            <w:tcW w:w="624" w:type="dxa"/>
            <w:tcBorders>
              <w:top w:val="single" w:color="auto" w:sz="8" w:space="0"/>
            </w:tcBorders>
            <w:shd w:val="clear" w:color="auto" w:fill="auto"/>
            <w:noWrap w:val="0"/>
            <w:vAlign w:val="center"/>
          </w:tcPr>
          <w:p w14:paraId="56B8FBF5">
            <w:pPr>
              <w:adjustRightInd w:val="0"/>
              <w:snapToGrid w:val="0"/>
              <w:jc w:val="center"/>
              <w:rPr>
                <w:rFonts w:ascii="宋体" w:hAnsi="宋体" w:eastAsia="宋体" w:cs="Times New Roman"/>
                <w:bCs/>
                <w:kern w:val="2"/>
                <w:sz w:val="18"/>
                <w:szCs w:val="18"/>
                <w:highlight w:val="none"/>
                <w:lang w:val="en-US" w:eastAsia="zh-CN" w:bidi="ar-SA"/>
              </w:rPr>
            </w:pPr>
          </w:p>
        </w:tc>
        <w:tc>
          <w:tcPr>
            <w:tcW w:w="676" w:type="dxa"/>
            <w:tcBorders>
              <w:top w:val="single" w:color="auto" w:sz="8" w:space="0"/>
            </w:tcBorders>
            <w:shd w:val="clear" w:color="auto" w:fill="auto"/>
            <w:noWrap w:val="0"/>
            <w:vAlign w:val="center"/>
          </w:tcPr>
          <w:p w14:paraId="663D55B8">
            <w:pPr>
              <w:adjustRightInd w:val="0"/>
              <w:snapToGrid w:val="0"/>
              <w:jc w:val="center"/>
              <w:rPr>
                <w:rFonts w:hint="eastAsia" w:ascii="宋体" w:hAnsi="宋体" w:eastAsia="宋体" w:cs="Times New Roman"/>
                <w:bCs/>
                <w:kern w:val="2"/>
                <w:sz w:val="18"/>
                <w:szCs w:val="18"/>
                <w:highlight w:val="none"/>
                <w:lang w:val="en-US" w:eastAsia="zh-CN" w:bidi="ar-SA"/>
              </w:rPr>
            </w:pPr>
          </w:p>
        </w:tc>
        <w:tc>
          <w:tcPr>
            <w:tcW w:w="3175" w:type="dxa"/>
            <w:tcBorders>
              <w:top w:val="single" w:color="auto" w:sz="8" w:space="0"/>
            </w:tcBorders>
            <w:shd w:val="clear" w:color="auto" w:fill="auto"/>
            <w:noWrap w:val="0"/>
            <w:vAlign w:val="center"/>
          </w:tcPr>
          <w:p w14:paraId="297D9DC0">
            <w:pPr>
              <w:adjustRightInd w:val="0"/>
              <w:snapToGrid w:val="0"/>
              <w:rPr>
                <w:rFonts w:hint="eastAsia" w:ascii="Times New Roman" w:hAnsi="Times New Roman" w:eastAsia="宋体" w:cs="Times New Roman"/>
                <w:kern w:val="2"/>
                <w:sz w:val="21"/>
                <w:szCs w:val="24"/>
                <w:highlight w:val="none"/>
                <w:lang w:val="en-US" w:eastAsia="zh-CN" w:bidi="ar-SA"/>
              </w:rPr>
            </w:pPr>
          </w:p>
        </w:tc>
        <w:tc>
          <w:tcPr>
            <w:tcW w:w="623" w:type="dxa"/>
            <w:tcBorders>
              <w:top w:val="single" w:color="auto" w:sz="8" w:space="0"/>
            </w:tcBorders>
            <w:shd w:val="clear" w:color="auto" w:fill="auto"/>
            <w:noWrap w:val="0"/>
            <w:vAlign w:val="center"/>
          </w:tcPr>
          <w:p w14:paraId="4FF15FFA">
            <w:pPr>
              <w:adjustRightInd w:val="0"/>
              <w:snapToGrid w:val="0"/>
              <w:jc w:val="center"/>
              <w:rPr>
                <w:rFonts w:ascii="宋体" w:hAnsi="宋体" w:eastAsia="宋体" w:cs="Times New Roman"/>
                <w:bCs/>
                <w:kern w:val="2"/>
                <w:sz w:val="18"/>
                <w:szCs w:val="18"/>
                <w:highlight w:val="none"/>
                <w:lang w:val="en-US" w:eastAsia="zh-CN" w:bidi="ar-SA"/>
              </w:rPr>
            </w:pPr>
          </w:p>
        </w:tc>
        <w:tc>
          <w:tcPr>
            <w:tcW w:w="623" w:type="dxa"/>
            <w:tcBorders>
              <w:top w:val="single" w:color="auto" w:sz="8" w:space="0"/>
            </w:tcBorders>
            <w:shd w:val="clear" w:color="auto" w:fill="auto"/>
            <w:noWrap w:val="0"/>
            <w:vAlign w:val="center"/>
          </w:tcPr>
          <w:p w14:paraId="0FE16572">
            <w:pPr>
              <w:adjustRightInd w:val="0"/>
              <w:snapToGrid w:val="0"/>
              <w:jc w:val="center"/>
              <w:rPr>
                <w:rFonts w:ascii="宋体" w:hAnsi="宋体" w:eastAsia="宋体" w:cs="Times New Roman"/>
                <w:bCs/>
                <w:kern w:val="2"/>
                <w:sz w:val="18"/>
                <w:szCs w:val="18"/>
                <w:highlight w:val="none"/>
                <w:lang w:val="en-US" w:eastAsia="zh-CN" w:bidi="ar-SA"/>
              </w:rPr>
            </w:pPr>
          </w:p>
        </w:tc>
        <w:tc>
          <w:tcPr>
            <w:tcW w:w="1560" w:type="dxa"/>
            <w:tcBorders>
              <w:top w:val="single" w:color="auto" w:sz="8" w:space="0"/>
            </w:tcBorders>
            <w:shd w:val="clear" w:color="auto" w:fill="auto"/>
            <w:noWrap w:val="0"/>
            <w:vAlign w:val="center"/>
          </w:tcPr>
          <w:p w14:paraId="207009FB">
            <w:pPr>
              <w:tabs>
                <w:tab w:val="center" w:pos="4201"/>
                <w:tab w:val="right" w:leader="dot" w:pos="9298"/>
              </w:tabs>
              <w:autoSpaceDE w:val="0"/>
              <w:autoSpaceDN w:val="0"/>
              <w:adjustRightInd w:val="0"/>
              <w:snapToGrid w:val="0"/>
              <w:ind w:right="34" w:rightChars="0"/>
              <w:jc w:val="center"/>
              <w:rPr>
                <w:rFonts w:hint="eastAsia" w:ascii="宋体" w:hAnsi="宋体" w:eastAsia="宋体" w:cs="Times New Roman"/>
                <w:kern w:val="2"/>
                <w:sz w:val="18"/>
                <w:szCs w:val="18"/>
                <w:highlight w:val="none"/>
                <w:lang w:val="en-US" w:eastAsia="zh-CN" w:bidi="ar-SA"/>
              </w:rPr>
            </w:pPr>
          </w:p>
        </w:tc>
      </w:tr>
      <w:tr w14:paraId="04B57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tcBorders>
            <w:noWrap w:val="0"/>
            <w:vAlign w:val="center"/>
          </w:tcPr>
          <w:p w14:paraId="15D5E787">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2.4</w:t>
            </w:r>
          </w:p>
        </w:tc>
        <w:tc>
          <w:tcPr>
            <w:tcW w:w="6664" w:type="dxa"/>
            <w:tcBorders>
              <w:top w:val="single" w:color="auto" w:sz="8" w:space="0"/>
            </w:tcBorders>
            <w:noWrap w:val="0"/>
            <w:vAlign w:val="center"/>
          </w:tcPr>
          <w:p w14:paraId="07EB7802">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安全警示标志</w:t>
            </w:r>
          </w:p>
        </w:tc>
        <w:tc>
          <w:tcPr>
            <w:tcW w:w="624" w:type="dxa"/>
            <w:tcBorders>
              <w:top w:val="single" w:color="auto" w:sz="8" w:space="0"/>
            </w:tcBorders>
            <w:noWrap w:val="0"/>
            <w:vAlign w:val="center"/>
          </w:tcPr>
          <w:p w14:paraId="44A047CD">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tcBorders>
            <w:noWrap w:val="0"/>
            <w:vAlign w:val="center"/>
          </w:tcPr>
          <w:p w14:paraId="427F423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10</w:t>
            </w:r>
          </w:p>
        </w:tc>
        <w:tc>
          <w:tcPr>
            <w:tcW w:w="676" w:type="dxa"/>
            <w:tcBorders>
              <w:top w:val="single" w:color="auto" w:sz="8" w:space="0"/>
            </w:tcBorders>
            <w:noWrap w:val="0"/>
            <w:vAlign w:val="center"/>
          </w:tcPr>
          <w:p w14:paraId="33F4399B">
            <w:pPr>
              <w:adjustRightInd w:val="0"/>
              <w:snapToGrid w:val="0"/>
              <w:jc w:val="center"/>
              <w:rPr>
                <w:rFonts w:ascii="宋体" w:hAnsi="宋体" w:eastAsia="宋体" w:cs="Times New Roman"/>
                <w:bCs/>
                <w:kern w:val="2"/>
                <w:sz w:val="18"/>
                <w:szCs w:val="18"/>
                <w:lang w:val="en-US" w:eastAsia="zh-CN" w:bidi="ar-SA"/>
              </w:rPr>
            </w:pPr>
          </w:p>
        </w:tc>
        <w:tc>
          <w:tcPr>
            <w:tcW w:w="3175" w:type="dxa"/>
            <w:tcBorders>
              <w:top w:val="single" w:color="auto" w:sz="8" w:space="0"/>
            </w:tcBorders>
            <w:noWrap w:val="0"/>
            <w:vAlign w:val="center"/>
          </w:tcPr>
          <w:p w14:paraId="33A96A41">
            <w:pPr>
              <w:jc w:val="left"/>
              <w:rPr>
                <w:rFonts w:ascii="宋体" w:hAnsi="宋体" w:eastAsia="宋体" w:cs="Times New Roman"/>
                <w:kern w:val="2"/>
                <w:sz w:val="18"/>
                <w:szCs w:val="18"/>
                <w:lang w:val="en-US" w:eastAsia="zh-CN" w:bidi="ar-SA"/>
              </w:rPr>
            </w:pPr>
          </w:p>
        </w:tc>
        <w:tc>
          <w:tcPr>
            <w:tcW w:w="623" w:type="dxa"/>
            <w:tcBorders>
              <w:top w:val="single" w:color="auto" w:sz="8" w:space="0"/>
            </w:tcBorders>
            <w:noWrap w:val="0"/>
            <w:vAlign w:val="center"/>
          </w:tcPr>
          <w:p w14:paraId="7EACA3EB">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tcBorders>
            <w:noWrap w:val="0"/>
            <w:vAlign w:val="center"/>
          </w:tcPr>
          <w:p w14:paraId="46337882">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tcBorders>
            <w:noWrap w:val="0"/>
            <w:vAlign w:val="center"/>
          </w:tcPr>
          <w:p w14:paraId="0EC6A87A">
            <w:pPr>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sz w:val="18"/>
                <w:szCs w:val="18"/>
                <w:lang w:val="en-US" w:eastAsia="zh-CN"/>
              </w:rPr>
              <w:t>4</w:t>
            </w:r>
            <w:r>
              <w:rPr>
                <w:rFonts w:hint="eastAsia" w:ascii="宋体" w:hAnsi="宋体"/>
                <w:sz w:val="18"/>
                <w:szCs w:val="18"/>
                <w:lang w:eastAsia="zh-CN"/>
              </w:rPr>
              <w:t>.2.3</w:t>
            </w:r>
          </w:p>
        </w:tc>
      </w:tr>
      <w:tr w14:paraId="3A6D6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noWrap w:val="0"/>
            <w:vAlign w:val="center"/>
          </w:tcPr>
          <w:p w14:paraId="22CC89A9">
            <w:pPr>
              <w:adjustRightInd w:val="0"/>
              <w:snapToGrid w:val="0"/>
              <w:jc w:val="center"/>
              <w:rPr>
                <w:rFonts w:ascii="宋体" w:hAnsi="宋体"/>
                <w:bCs/>
                <w:sz w:val="18"/>
                <w:szCs w:val="18"/>
              </w:rPr>
            </w:pPr>
            <w:r>
              <w:rPr>
                <w:rFonts w:hint="eastAsia" w:ascii="宋体" w:hAnsi="宋体"/>
                <w:sz w:val="18"/>
                <w:szCs w:val="18"/>
                <w:lang w:eastAsia="zh-CN"/>
              </w:rPr>
              <w:t>2.4</w:t>
            </w:r>
            <w:r>
              <w:rPr>
                <w:rFonts w:hint="eastAsia" w:ascii="宋体" w:hAnsi="宋体"/>
                <w:sz w:val="18"/>
                <w:szCs w:val="18"/>
              </w:rPr>
              <w:t>.1</w:t>
            </w:r>
          </w:p>
        </w:tc>
        <w:tc>
          <w:tcPr>
            <w:tcW w:w="6664" w:type="dxa"/>
            <w:tcBorders>
              <w:top w:val="single" w:color="auto" w:sz="8" w:space="0"/>
              <w:bottom w:val="single" w:color="auto" w:sz="8" w:space="0"/>
            </w:tcBorders>
            <w:noWrap w:val="0"/>
            <w:vAlign w:val="center"/>
          </w:tcPr>
          <w:p w14:paraId="21EE2811">
            <w:pPr>
              <w:adjustRightInd w:val="0"/>
              <w:snapToGrid w:val="0"/>
              <w:rPr>
                <w:rFonts w:hint="eastAsia" w:ascii="宋体" w:hAnsi="宋体"/>
                <w:sz w:val="18"/>
                <w:szCs w:val="18"/>
              </w:rPr>
            </w:pPr>
            <w:r>
              <w:rPr>
                <w:rFonts w:hint="eastAsia" w:ascii="宋体" w:hAnsi="宋体"/>
                <w:sz w:val="18"/>
                <w:szCs w:val="18"/>
              </w:rPr>
              <w:t>危险路段应设置限速标牌和警示标牌；观光车行驶速度不应超过10 km/h，非游览区道路汽车行驶速度不应超过30 km/h；景区出入口处车辆最高车速宜规定为5 km/h。</w:t>
            </w:r>
          </w:p>
        </w:tc>
        <w:tc>
          <w:tcPr>
            <w:tcW w:w="624" w:type="dxa"/>
            <w:tcBorders>
              <w:top w:val="single" w:color="auto" w:sz="8" w:space="0"/>
              <w:bottom w:val="single" w:color="auto" w:sz="8" w:space="0"/>
            </w:tcBorders>
            <w:noWrap w:val="0"/>
            <w:vAlign w:val="center"/>
          </w:tcPr>
          <w:p w14:paraId="458F762D">
            <w:pPr>
              <w:adjustRightInd w:val="0"/>
              <w:snapToGrid w:val="0"/>
              <w:jc w:val="center"/>
              <w:rPr>
                <w:rFonts w:ascii="宋体" w:hAnsi="宋体"/>
                <w:bCs/>
                <w:sz w:val="18"/>
                <w:szCs w:val="18"/>
              </w:rPr>
            </w:pPr>
          </w:p>
        </w:tc>
        <w:tc>
          <w:tcPr>
            <w:tcW w:w="624" w:type="dxa"/>
            <w:tcBorders>
              <w:top w:val="single" w:color="auto" w:sz="8" w:space="0"/>
              <w:bottom w:val="single" w:color="auto" w:sz="8" w:space="0"/>
            </w:tcBorders>
            <w:noWrap w:val="0"/>
            <w:vAlign w:val="center"/>
          </w:tcPr>
          <w:p w14:paraId="512CB167">
            <w:pPr>
              <w:adjustRightInd w:val="0"/>
              <w:snapToGrid w:val="0"/>
              <w:jc w:val="center"/>
              <w:rPr>
                <w:rFonts w:hint="eastAsia" w:ascii="宋体" w:hAnsi="宋体"/>
                <w:bCs/>
                <w:sz w:val="18"/>
                <w:szCs w:val="18"/>
              </w:rPr>
            </w:pPr>
          </w:p>
        </w:tc>
        <w:tc>
          <w:tcPr>
            <w:tcW w:w="676" w:type="dxa"/>
            <w:tcBorders>
              <w:top w:val="single" w:color="auto" w:sz="8" w:space="0"/>
              <w:bottom w:val="single" w:color="auto" w:sz="8" w:space="0"/>
            </w:tcBorders>
            <w:noWrap w:val="0"/>
            <w:vAlign w:val="center"/>
          </w:tcPr>
          <w:p w14:paraId="79CB9EDB">
            <w:pPr>
              <w:adjustRightInd w:val="0"/>
              <w:snapToGrid w:val="0"/>
              <w:jc w:val="center"/>
              <w:rPr>
                <w:rFonts w:hint="eastAsia" w:ascii="宋体" w:hAnsi="宋体"/>
                <w:bCs/>
                <w:sz w:val="18"/>
                <w:szCs w:val="18"/>
              </w:rPr>
            </w:pPr>
            <w:r>
              <w:rPr>
                <w:rFonts w:hint="eastAsia" w:ascii="宋体" w:hAnsi="宋体"/>
                <w:kern w:val="0"/>
                <w:sz w:val="18"/>
                <w:szCs w:val="18"/>
              </w:rPr>
              <w:t>2</w:t>
            </w:r>
          </w:p>
        </w:tc>
        <w:tc>
          <w:tcPr>
            <w:tcW w:w="3175" w:type="dxa"/>
            <w:tcBorders>
              <w:top w:val="single" w:color="auto" w:sz="8" w:space="0"/>
              <w:bottom w:val="single" w:color="auto" w:sz="8" w:space="0"/>
            </w:tcBorders>
            <w:noWrap w:val="0"/>
            <w:vAlign w:val="center"/>
          </w:tcPr>
          <w:p w14:paraId="32F161BE">
            <w:pPr>
              <w:adjustRightInd w:val="0"/>
              <w:snapToGrid w:val="0"/>
              <w:jc w:val="left"/>
              <w:rPr>
                <w:rFonts w:ascii="宋体" w:hAnsi="宋体"/>
                <w:bCs/>
                <w:sz w:val="18"/>
                <w:szCs w:val="18"/>
              </w:rPr>
            </w:pPr>
            <w:r>
              <w:rPr>
                <w:rFonts w:hint="eastAsia" w:ascii="宋体" w:hAnsi="宋体"/>
                <w:kern w:val="0"/>
                <w:sz w:val="18"/>
                <w:szCs w:val="18"/>
              </w:rPr>
              <w:t>一处不符合，不得分。</w:t>
            </w:r>
          </w:p>
        </w:tc>
        <w:tc>
          <w:tcPr>
            <w:tcW w:w="623" w:type="dxa"/>
            <w:tcBorders>
              <w:top w:val="single" w:color="auto" w:sz="8" w:space="0"/>
              <w:bottom w:val="single" w:color="auto" w:sz="8" w:space="0"/>
            </w:tcBorders>
            <w:noWrap w:val="0"/>
            <w:vAlign w:val="center"/>
          </w:tcPr>
          <w:p w14:paraId="3B60CC89">
            <w:pPr>
              <w:adjustRightInd w:val="0"/>
              <w:snapToGrid w:val="0"/>
              <w:jc w:val="center"/>
              <w:rPr>
                <w:rFonts w:ascii="宋体" w:hAnsi="宋体"/>
                <w:bCs/>
                <w:sz w:val="18"/>
                <w:szCs w:val="18"/>
              </w:rPr>
            </w:pPr>
          </w:p>
        </w:tc>
        <w:tc>
          <w:tcPr>
            <w:tcW w:w="623" w:type="dxa"/>
            <w:tcBorders>
              <w:top w:val="single" w:color="auto" w:sz="8" w:space="0"/>
              <w:bottom w:val="single" w:color="auto" w:sz="8" w:space="0"/>
            </w:tcBorders>
            <w:noWrap w:val="0"/>
            <w:vAlign w:val="center"/>
          </w:tcPr>
          <w:p w14:paraId="2F4BF82F">
            <w:pPr>
              <w:adjustRightInd w:val="0"/>
              <w:snapToGrid w:val="0"/>
              <w:jc w:val="center"/>
              <w:rPr>
                <w:rFonts w:ascii="宋体" w:hAnsi="宋体"/>
                <w:bCs/>
                <w:sz w:val="18"/>
                <w:szCs w:val="18"/>
              </w:rPr>
            </w:pPr>
          </w:p>
        </w:tc>
        <w:tc>
          <w:tcPr>
            <w:tcW w:w="1560" w:type="dxa"/>
            <w:tcBorders>
              <w:top w:val="single" w:color="auto" w:sz="8" w:space="0"/>
              <w:bottom w:val="single" w:color="auto" w:sz="8" w:space="0"/>
            </w:tcBorders>
            <w:noWrap w:val="0"/>
            <w:vAlign w:val="center"/>
          </w:tcPr>
          <w:p w14:paraId="74790227">
            <w:pPr>
              <w:tabs>
                <w:tab w:val="center" w:pos="4201"/>
                <w:tab w:val="right" w:leader="dot" w:pos="9298"/>
              </w:tabs>
              <w:autoSpaceDE w:val="0"/>
              <w:autoSpaceDN w:val="0"/>
              <w:ind w:right="34"/>
              <w:jc w:val="cente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lang w:eastAsia="zh-CN"/>
              </w:rPr>
              <w:t>.2.3</w:t>
            </w:r>
            <w:r>
              <w:rPr>
                <w:rFonts w:hint="eastAsia" w:ascii="宋体" w:hAnsi="宋体"/>
                <w:sz w:val="18"/>
                <w:szCs w:val="18"/>
              </w:rPr>
              <w:t>.1</w:t>
            </w:r>
          </w:p>
        </w:tc>
      </w:tr>
      <w:tr w14:paraId="52BFF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noWrap w:val="0"/>
            <w:vAlign w:val="center"/>
          </w:tcPr>
          <w:p w14:paraId="5C359A9E">
            <w:pPr>
              <w:adjustRightInd w:val="0"/>
              <w:snapToGrid w:val="0"/>
              <w:jc w:val="center"/>
              <w:rPr>
                <w:rFonts w:hint="eastAsia" w:ascii="宋体" w:hAnsi="宋体"/>
                <w:kern w:val="0"/>
                <w:sz w:val="18"/>
                <w:szCs w:val="18"/>
              </w:rPr>
            </w:pPr>
            <w:r>
              <w:rPr>
                <w:rFonts w:hint="eastAsia" w:ascii="宋体" w:hAnsi="宋体"/>
                <w:sz w:val="18"/>
                <w:szCs w:val="18"/>
                <w:lang w:eastAsia="zh-CN"/>
              </w:rPr>
              <w:t>2.4</w:t>
            </w:r>
            <w:r>
              <w:rPr>
                <w:rFonts w:hint="eastAsia" w:ascii="宋体" w:hAnsi="宋体"/>
                <w:sz w:val="18"/>
                <w:szCs w:val="18"/>
              </w:rPr>
              <w:t>.2</w:t>
            </w:r>
          </w:p>
        </w:tc>
        <w:tc>
          <w:tcPr>
            <w:tcW w:w="6664" w:type="dxa"/>
            <w:tcBorders>
              <w:top w:val="single" w:color="auto" w:sz="8" w:space="0"/>
              <w:bottom w:val="single" w:color="auto" w:sz="8" w:space="0"/>
            </w:tcBorders>
            <w:noWrap w:val="0"/>
            <w:vAlign w:val="center"/>
          </w:tcPr>
          <w:p w14:paraId="12DF08B9">
            <w:pPr>
              <w:adjustRightInd w:val="0"/>
              <w:snapToGrid w:val="0"/>
              <w:rPr>
                <w:rFonts w:ascii="宋体" w:hAnsi="宋体"/>
                <w:sz w:val="18"/>
                <w:szCs w:val="18"/>
              </w:rPr>
            </w:pPr>
            <w:r>
              <w:rPr>
                <w:rFonts w:hint="eastAsia" w:ascii="宋体" w:hAnsi="宋体"/>
                <w:sz w:val="18"/>
                <w:szCs w:val="18"/>
              </w:rPr>
              <w:t>下列区域应设置禁止烟火等标志：</w:t>
            </w:r>
            <w:r>
              <w:rPr>
                <w:rFonts w:ascii="宋体" w:hAnsi="宋体"/>
                <w:sz w:val="18"/>
                <w:szCs w:val="18"/>
              </w:rPr>
              <w:t xml:space="preserve"> </w:t>
            </w:r>
          </w:p>
          <w:p w14:paraId="172BA845">
            <w:pPr>
              <w:adjustRightInd w:val="0"/>
              <w:snapToGrid w:val="0"/>
              <w:rPr>
                <w:rFonts w:ascii="宋体" w:hAnsi="宋体"/>
                <w:sz w:val="18"/>
                <w:szCs w:val="18"/>
              </w:rPr>
            </w:pPr>
            <w:r>
              <w:rPr>
                <w:rFonts w:hint="eastAsia" w:ascii="宋体" w:hAnsi="宋体"/>
                <w:sz w:val="18"/>
                <w:szCs w:val="18"/>
              </w:rPr>
              <w:t>a</w:t>
            </w:r>
            <w:r>
              <w:rPr>
                <w:rFonts w:ascii="宋体" w:hAnsi="宋体"/>
                <w:sz w:val="18"/>
                <w:szCs w:val="18"/>
              </w:rPr>
              <w:t>）</w:t>
            </w:r>
            <w:r>
              <w:rPr>
                <w:rFonts w:hint="eastAsia" w:ascii="宋体" w:hAnsi="宋体"/>
                <w:sz w:val="18"/>
                <w:szCs w:val="18"/>
              </w:rPr>
              <w:t>存放和使用汽油、柴油、燃气、乙炔和氧气瓶等易燃易爆物品的场所；</w:t>
            </w:r>
          </w:p>
          <w:p w14:paraId="40BA0A2B">
            <w:pPr>
              <w:adjustRightInd w:val="0"/>
              <w:snapToGrid w:val="0"/>
              <w:rPr>
                <w:rFonts w:hint="eastAsia" w:ascii="宋体" w:hAnsi="宋体"/>
                <w:sz w:val="18"/>
                <w:szCs w:val="18"/>
              </w:rPr>
            </w:pPr>
            <w:r>
              <w:rPr>
                <w:rFonts w:hint="eastAsia" w:ascii="宋体" w:hAnsi="宋体"/>
                <w:sz w:val="18"/>
                <w:szCs w:val="18"/>
              </w:rPr>
              <w:t>b</w:t>
            </w:r>
            <w:r>
              <w:rPr>
                <w:rFonts w:ascii="宋体" w:hAnsi="宋体"/>
                <w:sz w:val="18"/>
                <w:szCs w:val="18"/>
              </w:rPr>
              <w:t>）</w:t>
            </w:r>
            <w:r>
              <w:rPr>
                <w:rFonts w:hint="eastAsia" w:ascii="宋体" w:hAnsi="宋体"/>
                <w:sz w:val="18"/>
                <w:szCs w:val="18"/>
              </w:rPr>
              <w:t>变配电室、锅炉房、林区等消防重点部位；</w:t>
            </w:r>
          </w:p>
          <w:p w14:paraId="05B768BC">
            <w:pPr>
              <w:adjustRightInd w:val="0"/>
              <w:snapToGrid w:val="0"/>
              <w:rPr>
                <w:rFonts w:ascii="宋体" w:hAnsi="宋体"/>
                <w:sz w:val="18"/>
                <w:szCs w:val="18"/>
              </w:rPr>
            </w:pPr>
            <w:r>
              <w:rPr>
                <w:rFonts w:hint="eastAsia" w:ascii="宋体" w:hAnsi="宋体"/>
                <w:sz w:val="18"/>
                <w:szCs w:val="18"/>
              </w:rPr>
              <w:t>c</w:t>
            </w:r>
            <w:r>
              <w:rPr>
                <w:rFonts w:ascii="宋体" w:hAnsi="宋体"/>
                <w:sz w:val="18"/>
                <w:szCs w:val="18"/>
              </w:rPr>
              <w:t>）</w:t>
            </w:r>
            <w:r>
              <w:rPr>
                <w:rFonts w:hint="eastAsia" w:ascii="宋体" w:hAnsi="宋体"/>
                <w:sz w:val="18"/>
                <w:szCs w:val="18"/>
              </w:rPr>
              <w:t xml:space="preserve"> 游览船</w:t>
            </w:r>
            <w:r>
              <w:rPr>
                <w:rFonts w:ascii="宋体" w:hAnsi="宋体"/>
                <w:sz w:val="18"/>
                <w:szCs w:val="18"/>
              </w:rPr>
              <w:t>客舱内</w:t>
            </w:r>
            <w:r>
              <w:rPr>
                <w:rFonts w:hint="eastAsia" w:ascii="宋体" w:hAnsi="宋体"/>
                <w:sz w:val="18"/>
                <w:szCs w:val="18"/>
              </w:rPr>
              <w:t>、带箱斗的游乐设施；</w:t>
            </w:r>
          </w:p>
          <w:p w14:paraId="6B284E80">
            <w:pPr>
              <w:adjustRightInd w:val="0"/>
              <w:snapToGrid w:val="0"/>
              <w:rPr>
                <w:rFonts w:hint="eastAsia" w:ascii="宋体" w:hAnsi="宋体"/>
                <w:sz w:val="18"/>
                <w:szCs w:val="18"/>
              </w:rPr>
            </w:pPr>
            <w:r>
              <w:rPr>
                <w:rFonts w:hint="eastAsia" w:ascii="宋体" w:hAnsi="宋体"/>
                <w:sz w:val="18"/>
                <w:szCs w:val="18"/>
              </w:rPr>
              <w:t>d）其他存放和使用易燃易爆液体、气体的场所。</w:t>
            </w:r>
          </w:p>
        </w:tc>
        <w:tc>
          <w:tcPr>
            <w:tcW w:w="624" w:type="dxa"/>
            <w:tcBorders>
              <w:top w:val="single" w:color="auto" w:sz="8" w:space="0"/>
              <w:bottom w:val="single" w:color="auto" w:sz="8" w:space="0"/>
            </w:tcBorders>
            <w:noWrap w:val="0"/>
            <w:vAlign w:val="center"/>
          </w:tcPr>
          <w:p w14:paraId="1CEE43EF">
            <w:pPr>
              <w:adjustRightInd w:val="0"/>
              <w:snapToGrid w:val="0"/>
              <w:jc w:val="center"/>
              <w:rPr>
                <w:rFonts w:ascii="宋体" w:hAnsi="宋体"/>
                <w:bCs/>
                <w:sz w:val="18"/>
                <w:szCs w:val="18"/>
              </w:rPr>
            </w:pPr>
          </w:p>
        </w:tc>
        <w:tc>
          <w:tcPr>
            <w:tcW w:w="624" w:type="dxa"/>
            <w:tcBorders>
              <w:top w:val="single" w:color="auto" w:sz="8" w:space="0"/>
              <w:bottom w:val="single" w:color="auto" w:sz="8" w:space="0"/>
            </w:tcBorders>
            <w:noWrap w:val="0"/>
            <w:vAlign w:val="top"/>
          </w:tcPr>
          <w:p w14:paraId="4F442BFC">
            <w:pPr>
              <w:adjustRightInd w:val="0"/>
              <w:snapToGrid w:val="0"/>
              <w:jc w:val="center"/>
              <w:rPr>
                <w:rFonts w:ascii="宋体" w:hAnsi="宋体"/>
                <w:bCs/>
                <w:sz w:val="18"/>
                <w:szCs w:val="18"/>
              </w:rPr>
            </w:pPr>
          </w:p>
        </w:tc>
        <w:tc>
          <w:tcPr>
            <w:tcW w:w="676" w:type="dxa"/>
            <w:tcBorders>
              <w:top w:val="single" w:color="auto" w:sz="8" w:space="0"/>
              <w:bottom w:val="single" w:color="auto" w:sz="8" w:space="0"/>
            </w:tcBorders>
            <w:noWrap w:val="0"/>
            <w:vAlign w:val="center"/>
          </w:tcPr>
          <w:p w14:paraId="78FC9569">
            <w:pPr>
              <w:adjustRightInd w:val="0"/>
              <w:snapToGrid w:val="0"/>
              <w:jc w:val="center"/>
              <w:rPr>
                <w:rFonts w:hint="eastAsia" w:ascii="宋体" w:hAnsi="宋体"/>
                <w:bCs/>
                <w:sz w:val="18"/>
                <w:szCs w:val="18"/>
              </w:rPr>
            </w:pPr>
            <w:r>
              <w:rPr>
                <w:rFonts w:hint="eastAsia" w:ascii="宋体" w:hAnsi="宋体"/>
                <w:bCs/>
                <w:sz w:val="18"/>
                <w:szCs w:val="18"/>
              </w:rPr>
              <w:t>2</w:t>
            </w:r>
          </w:p>
        </w:tc>
        <w:tc>
          <w:tcPr>
            <w:tcW w:w="3175" w:type="dxa"/>
            <w:tcBorders>
              <w:top w:val="single" w:color="auto" w:sz="8" w:space="0"/>
              <w:bottom w:val="single" w:color="auto" w:sz="8" w:space="0"/>
            </w:tcBorders>
            <w:noWrap w:val="0"/>
            <w:vAlign w:val="center"/>
          </w:tcPr>
          <w:p w14:paraId="679C7A24">
            <w:pPr>
              <w:adjustRightInd w:val="0"/>
              <w:snapToGrid w:val="0"/>
              <w:jc w:val="left"/>
              <w:rPr>
                <w:rFonts w:ascii="宋体" w:hAnsi="宋体"/>
                <w:kern w:val="0"/>
                <w:sz w:val="18"/>
                <w:szCs w:val="18"/>
              </w:rPr>
            </w:pPr>
            <w:r>
              <w:rPr>
                <w:rFonts w:hint="eastAsia" w:ascii="宋体" w:hAnsi="宋体"/>
                <w:kern w:val="0"/>
                <w:sz w:val="18"/>
                <w:szCs w:val="18"/>
              </w:rPr>
              <w:t>一处不符合，不得分。</w:t>
            </w:r>
          </w:p>
        </w:tc>
        <w:tc>
          <w:tcPr>
            <w:tcW w:w="623" w:type="dxa"/>
            <w:tcBorders>
              <w:top w:val="single" w:color="auto" w:sz="8" w:space="0"/>
              <w:bottom w:val="single" w:color="auto" w:sz="8" w:space="0"/>
            </w:tcBorders>
            <w:noWrap w:val="0"/>
            <w:vAlign w:val="center"/>
          </w:tcPr>
          <w:p w14:paraId="552D643F">
            <w:pPr>
              <w:adjustRightInd w:val="0"/>
              <w:snapToGrid w:val="0"/>
              <w:jc w:val="center"/>
              <w:rPr>
                <w:rFonts w:ascii="宋体" w:hAnsi="宋体"/>
                <w:bCs/>
                <w:sz w:val="18"/>
                <w:szCs w:val="18"/>
              </w:rPr>
            </w:pPr>
          </w:p>
        </w:tc>
        <w:tc>
          <w:tcPr>
            <w:tcW w:w="623" w:type="dxa"/>
            <w:tcBorders>
              <w:top w:val="single" w:color="auto" w:sz="8" w:space="0"/>
              <w:bottom w:val="single" w:color="auto" w:sz="8" w:space="0"/>
            </w:tcBorders>
            <w:noWrap w:val="0"/>
            <w:vAlign w:val="center"/>
          </w:tcPr>
          <w:p w14:paraId="168EE723">
            <w:pPr>
              <w:adjustRightInd w:val="0"/>
              <w:snapToGrid w:val="0"/>
              <w:jc w:val="center"/>
              <w:rPr>
                <w:rFonts w:ascii="宋体" w:hAnsi="宋体"/>
                <w:bCs/>
                <w:sz w:val="18"/>
                <w:szCs w:val="18"/>
              </w:rPr>
            </w:pPr>
          </w:p>
        </w:tc>
        <w:tc>
          <w:tcPr>
            <w:tcW w:w="1560" w:type="dxa"/>
            <w:tcBorders>
              <w:top w:val="single" w:color="auto" w:sz="8" w:space="0"/>
              <w:bottom w:val="single" w:color="auto" w:sz="8" w:space="0"/>
            </w:tcBorders>
            <w:noWrap w:val="0"/>
            <w:vAlign w:val="center"/>
          </w:tcPr>
          <w:p w14:paraId="207FAC4A">
            <w:pPr>
              <w:tabs>
                <w:tab w:val="center" w:pos="4201"/>
                <w:tab w:val="right" w:leader="dot" w:pos="9298"/>
              </w:tabs>
              <w:autoSpaceDE w:val="0"/>
              <w:autoSpaceDN w:val="0"/>
              <w:ind w:right="34"/>
              <w:jc w:val="cente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lang w:eastAsia="zh-CN"/>
              </w:rPr>
              <w:t>.2.3</w:t>
            </w:r>
            <w:r>
              <w:rPr>
                <w:rFonts w:hint="eastAsia" w:ascii="宋体" w:hAnsi="宋体"/>
                <w:sz w:val="18"/>
                <w:szCs w:val="18"/>
              </w:rPr>
              <w:t>.2</w:t>
            </w:r>
          </w:p>
        </w:tc>
      </w:tr>
      <w:tr w14:paraId="619622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noWrap w:val="0"/>
            <w:vAlign w:val="center"/>
          </w:tcPr>
          <w:p w14:paraId="3FEA9776">
            <w:pPr>
              <w:adjustRightInd w:val="0"/>
              <w:snapToGrid w:val="0"/>
              <w:jc w:val="center"/>
              <w:rPr>
                <w:rFonts w:hint="eastAsia" w:ascii="宋体" w:hAnsi="宋体"/>
                <w:sz w:val="18"/>
                <w:szCs w:val="18"/>
              </w:rPr>
            </w:pPr>
            <w:r>
              <w:rPr>
                <w:rFonts w:hint="eastAsia" w:ascii="宋体" w:hAnsi="宋体"/>
                <w:sz w:val="18"/>
                <w:szCs w:val="18"/>
                <w:lang w:eastAsia="zh-CN"/>
              </w:rPr>
              <w:t>2.4</w:t>
            </w:r>
            <w:r>
              <w:rPr>
                <w:rFonts w:hint="eastAsia" w:ascii="宋体" w:hAnsi="宋体"/>
                <w:sz w:val="18"/>
                <w:szCs w:val="18"/>
              </w:rPr>
              <w:t>.3</w:t>
            </w:r>
          </w:p>
        </w:tc>
        <w:tc>
          <w:tcPr>
            <w:tcW w:w="6664" w:type="dxa"/>
            <w:tcBorders>
              <w:top w:val="single" w:color="auto" w:sz="8" w:space="0"/>
              <w:bottom w:val="single" w:color="auto" w:sz="8" w:space="0"/>
            </w:tcBorders>
            <w:noWrap w:val="0"/>
            <w:vAlign w:val="center"/>
          </w:tcPr>
          <w:p w14:paraId="71150B5D">
            <w:pPr>
              <w:adjustRightInd w:val="0"/>
              <w:snapToGrid w:val="0"/>
              <w:rPr>
                <w:rFonts w:hint="eastAsia" w:ascii="宋体" w:hAnsi="宋体"/>
                <w:sz w:val="18"/>
                <w:szCs w:val="18"/>
              </w:rPr>
            </w:pPr>
            <w:r>
              <w:rPr>
                <w:rFonts w:hint="eastAsia" w:ascii="宋体" w:hAnsi="宋体"/>
                <w:sz w:val="18"/>
                <w:szCs w:val="18"/>
              </w:rPr>
              <w:t>安全警示标志设置应符合下列要求：</w:t>
            </w:r>
          </w:p>
          <w:p w14:paraId="6F21CA8C">
            <w:pPr>
              <w:adjustRightInd w:val="0"/>
              <w:snapToGrid w:val="0"/>
              <w:rPr>
                <w:rFonts w:hint="eastAsia" w:ascii="宋体" w:hAnsi="宋体"/>
                <w:sz w:val="18"/>
                <w:szCs w:val="18"/>
              </w:rPr>
            </w:pPr>
            <w:r>
              <w:rPr>
                <w:rFonts w:hint="eastAsia" w:ascii="宋体" w:hAnsi="宋体"/>
                <w:sz w:val="18"/>
                <w:szCs w:val="18"/>
              </w:rPr>
              <w:t>a</w:t>
            </w:r>
            <w:r>
              <w:rPr>
                <w:rFonts w:ascii="宋体" w:hAnsi="宋体"/>
                <w:sz w:val="18"/>
                <w:szCs w:val="18"/>
              </w:rPr>
              <w:t>）</w:t>
            </w:r>
            <w:r>
              <w:rPr>
                <w:rFonts w:hint="eastAsia" w:ascii="宋体" w:hAnsi="宋体"/>
                <w:sz w:val="18"/>
                <w:szCs w:val="18"/>
              </w:rPr>
              <w:t>对可能影响行人安全的施工现场、水域、湿地应设置安全警示标志；</w:t>
            </w:r>
          </w:p>
          <w:p w14:paraId="694821CB">
            <w:pPr>
              <w:adjustRightInd w:val="0"/>
              <w:snapToGrid w:val="0"/>
              <w:rPr>
                <w:rFonts w:hint="eastAsia" w:ascii="宋体" w:hAnsi="宋体"/>
                <w:sz w:val="18"/>
                <w:szCs w:val="18"/>
              </w:rPr>
            </w:pPr>
            <w:r>
              <w:rPr>
                <w:rFonts w:hint="eastAsia" w:ascii="宋体" w:hAnsi="宋体"/>
                <w:sz w:val="18"/>
                <w:szCs w:val="18"/>
              </w:rPr>
              <w:t>b</w:t>
            </w:r>
            <w:r>
              <w:rPr>
                <w:rFonts w:ascii="宋体" w:hAnsi="宋体"/>
                <w:sz w:val="18"/>
                <w:szCs w:val="18"/>
              </w:rPr>
              <w:t>）</w:t>
            </w:r>
            <w:r>
              <w:rPr>
                <w:rFonts w:hint="eastAsia" w:ascii="宋体" w:hAnsi="宋体"/>
                <w:sz w:val="18"/>
                <w:szCs w:val="18"/>
              </w:rPr>
              <w:t>有自然山体或人造假山的，不允许攀登的部位应封闭并张贴禁止攀登的安全警示标志，可以攀登的部位应有安全提示</w:t>
            </w:r>
            <w:r>
              <w:rPr>
                <w:rFonts w:hint="eastAsia" w:ascii="宋体" w:hAnsi="宋体"/>
                <w:sz w:val="18"/>
                <w:szCs w:val="18"/>
                <w:lang w:val="en-US" w:eastAsia="zh-CN"/>
              </w:rPr>
              <w:t>标志</w:t>
            </w:r>
            <w:r>
              <w:rPr>
                <w:rFonts w:hint="eastAsia" w:ascii="宋体" w:hAnsi="宋体"/>
                <w:sz w:val="18"/>
                <w:szCs w:val="18"/>
              </w:rPr>
              <w:t>；</w:t>
            </w:r>
          </w:p>
          <w:p w14:paraId="3BE2748D">
            <w:pPr>
              <w:adjustRightInd w:val="0"/>
              <w:snapToGrid w:val="0"/>
              <w:rPr>
                <w:rFonts w:hint="eastAsia" w:ascii="宋体" w:hAnsi="宋体"/>
                <w:sz w:val="18"/>
                <w:szCs w:val="18"/>
              </w:rPr>
            </w:pPr>
            <w:r>
              <w:rPr>
                <w:rFonts w:hint="eastAsia" w:ascii="宋体" w:hAnsi="宋体"/>
                <w:sz w:val="18"/>
                <w:szCs w:val="18"/>
              </w:rPr>
              <w:t>c</w:t>
            </w:r>
            <w:r>
              <w:rPr>
                <w:rFonts w:ascii="宋体" w:hAnsi="宋体"/>
                <w:sz w:val="18"/>
                <w:szCs w:val="18"/>
              </w:rPr>
              <w:t>）</w:t>
            </w:r>
            <w:r>
              <w:rPr>
                <w:rFonts w:hint="eastAsia" w:ascii="宋体" w:hAnsi="宋体"/>
                <w:sz w:val="18"/>
                <w:szCs w:val="18"/>
              </w:rPr>
              <w:t>未开发区域应有区域标识或围栏，并设置游客不应入内的安全警示标志；</w:t>
            </w:r>
          </w:p>
          <w:p w14:paraId="6930F3EB">
            <w:pPr>
              <w:adjustRightInd w:val="0"/>
              <w:snapToGrid w:val="0"/>
              <w:rPr>
                <w:rFonts w:hint="eastAsia" w:ascii="宋体" w:hAnsi="宋体"/>
                <w:sz w:val="18"/>
                <w:szCs w:val="18"/>
                <w:lang w:eastAsia="zh-CN"/>
              </w:rPr>
            </w:pPr>
            <w:r>
              <w:rPr>
                <w:rFonts w:hint="eastAsia" w:ascii="宋体" w:hAnsi="宋体"/>
                <w:sz w:val="18"/>
                <w:szCs w:val="18"/>
              </w:rPr>
              <w:t>d</w:t>
            </w:r>
            <w:r>
              <w:rPr>
                <w:rFonts w:ascii="宋体" w:hAnsi="宋体"/>
                <w:sz w:val="18"/>
                <w:szCs w:val="18"/>
              </w:rPr>
              <w:t>）</w:t>
            </w:r>
            <w:r>
              <w:rPr>
                <w:rFonts w:hint="eastAsia" w:ascii="宋体" w:hAnsi="宋体"/>
                <w:sz w:val="18"/>
                <w:szCs w:val="18"/>
              </w:rPr>
              <w:t>森林防火期内，林区应设置森林防火警示宣传标志</w:t>
            </w:r>
            <w:r>
              <w:rPr>
                <w:rFonts w:hint="eastAsia" w:ascii="宋体" w:hAnsi="宋体"/>
                <w:sz w:val="18"/>
                <w:szCs w:val="18"/>
                <w:lang w:eastAsia="zh-CN"/>
              </w:rPr>
              <w:t>；</w:t>
            </w:r>
          </w:p>
          <w:p w14:paraId="5D827D24">
            <w:pPr>
              <w:adjustRightInd w:val="0"/>
              <w:snapToGrid w:val="0"/>
              <w:rPr>
                <w:rFonts w:hint="eastAsia" w:ascii="宋体" w:hAnsi="宋体"/>
                <w:sz w:val="18"/>
                <w:szCs w:val="18"/>
                <w:lang w:eastAsia="zh-CN"/>
              </w:rPr>
            </w:pPr>
            <w:r>
              <w:rPr>
                <w:rFonts w:hint="eastAsia" w:ascii="宋体" w:hAnsi="宋体"/>
                <w:sz w:val="18"/>
                <w:szCs w:val="18"/>
                <w:lang w:val="en-US" w:eastAsia="zh-CN"/>
              </w:rPr>
              <w:t>e</w:t>
            </w:r>
            <w:r>
              <w:rPr>
                <w:rFonts w:ascii="宋体" w:hAnsi="宋体"/>
                <w:sz w:val="18"/>
                <w:szCs w:val="18"/>
              </w:rPr>
              <w:t>）</w:t>
            </w:r>
            <w:r>
              <w:rPr>
                <w:rFonts w:hint="eastAsia" w:ascii="宋体" w:hAnsi="宋体"/>
                <w:sz w:val="18"/>
                <w:szCs w:val="18"/>
              </w:rPr>
              <w:t>营业区域内落地式的玻璃门、玻璃窗、玻璃墙应设置安全警示标志。</w:t>
            </w:r>
          </w:p>
        </w:tc>
        <w:tc>
          <w:tcPr>
            <w:tcW w:w="624" w:type="dxa"/>
            <w:tcBorders>
              <w:top w:val="single" w:color="auto" w:sz="8" w:space="0"/>
              <w:bottom w:val="single" w:color="auto" w:sz="8" w:space="0"/>
            </w:tcBorders>
            <w:noWrap w:val="0"/>
            <w:vAlign w:val="center"/>
          </w:tcPr>
          <w:p w14:paraId="674B0808">
            <w:pPr>
              <w:adjustRightInd w:val="0"/>
              <w:snapToGrid w:val="0"/>
              <w:jc w:val="center"/>
              <w:rPr>
                <w:rFonts w:ascii="宋体" w:hAnsi="宋体"/>
                <w:bCs/>
                <w:sz w:val="18"/>
                <w:szCs w:val="18"/>
              </w:rPr>
            </w:pPr>
          </w:p>
        </w:tc>
        <w:tc>
          <w:tcPr>
            <w:tcW w:w="624" w:type="dxa"/>
            <w:tcBorders>
              <w:top w:val="single" w:color="auto" w:sz="8" w:space="0"/>
              <w:bottom w:val="single" w:color="auto" w:sz="8" w:space="0"/>
            </w:tcBorders>
            <w:noWrap w:val="0"/>
            <w:vAlign w:val="top"/>
          </w:tcPr>
          <w:p w14:paraId="5A5F2725">
            <w:pPr>
              <w:adjustRightInd w:val="0"/>
              <w:snapToGrid w:val="0"/>
              <w:jc w:val="center"/>
              <w:rPr>
                <w:rFonts w:ascii="宋体" w:hAnsi="宋体"/>
                <w:bCs/>
                <w:sz w:val="18"/>
                <w:szCs w:val="18"/>
              </w:rPr>
            </w:pPr>
          </w:p>
        </w:tc>
        <w:tc>
          <w:tcPr>
            <w:tcW w:w="676" w:type="dxa"/>
            <w:tcBorders>
              <w:top w:val="single" w:color="auto" w:sz="8" w:space="0"/>
              <w:bottom w:val="single" w:color="auto" w:sz="8" w:space="0"/>
            </w:tcBorders>
            <w:noWrap w:val="0"/>
            <w:vAlign w:val="center"/>
          </w:tcPr>
          <w:p w14:paraId="613632D6">
            <w:pPr>
              <w:adjustRightInd w:val="0"/>
              <w:snapToGrid w:val="0"/>
              <w:jc w:val="center"/>
              <w:rPr>
                <w:rFonts w:hint="eastAsia" w:ascii="宋体" w:hAnsi="宋体"/>
                <w:bCs/>
                <w:sz w:val="18"/>
                <w:szCs w:val="18"/>
              </w:rPr>
            </w:pPr>
            <w:r>
              <w:rPr>
                <w:rFonts w:hint="eastAsia" w:ascii="宋体" w:hAnsi="宋体"/>
                <w:bCs/>
                <w:sz w:val="18"/>
                <w:szCs w:val="18"/>
              </w:rPr>
              <w:t>3</w:t>
            </w:r>
          </w:p>
        </w:tc>
        <w:tc>
          <w:tcPr>
            <w:tcW w:w="3175" w:type="dxa"/>
            <w:tcBorders>
              <w:top w:val="single" w:color="auto" w:sz="8" w:space="0"/>
              <w:bottom w:val="single" w:color="auto" w:sz="8" w:space="0"/>
            </w:tcBorders>
            <w:noWrap w:val="0"/>
            <w:vAlign w:val="center"/>
          </w:tcPr>
          <w:p w14:paraId="74F2F2ED">
            <w:pPr>
              <w:adjustRightInd w:val="0"/>
              <w:snapToGrid w:val="0"/>
              <w:jc w:val="left"/>
              <w:rPr>
                <w:rFonts w:hint="eastAsia" w:ascii="宋体" w:hAnsi="宋体"/>
                <w:kern w:val="0"/>
                <w:sz w:val="18"/>
                <w:szCs w:val="18"/>
              </w:rPr>
            </w:pPr>
            <w:r>
              <w:rPr>
                <w:rFonts w:hint="eastAsia" w:ascii="宋体" w:hAnsi="宋体"/>
                <w:kern w:val="0"/>
                <w:sz w:val="18"/>
                <w:szCs w:val="18"/>
              </w:rPr>
              <w:t>一处不符合扣2分。</w:t>
            </w:r>
          </w:p>
        </w:tc>
        <w:tc>
          <w:tcPr>
            <w:tcW w:w="623" w:type="dxa"/>
            <w:tcBorders>
              <w:top w:val="single" w:color="auto" w:sz="8" w:space="0"/>
              <w:bottom w:val="single" w:color="auto" w:sz="8" w:space="0"/>
            </w:tcBorders>
            <w:noWrap w:val="0"/>
            <w:vAlign w:val="center"/>
          </w:tcPr>
          <w:p w14:paraId="4972AFCB">
            <w:pPr>
              <w:adjustRightInd w:val="0"/>
              <w:snapToGrid w:val="0"/>
              <w:jc w:val="center"/>
              <w:rPr>
                <w:rFonts w:ascii="宋体" w:hAnsi="宋体"/>
                <w:bCs/>
                <w:sz w:val="18"/>
                <w:szCs w:val="18"/>
              </w:rPr>
            </w:pPr>
          </w:p>
        </w:tc>
        <w:tc>
          <w:tcPr>
            <w:tcW w:w="623" w:type="dxa"/>
            <w:tcBorders>
              <w:top w:val="single" w:color="auto" w:sz="8" w:space="0"/>
              <w:bottom w:val="single" w:color="auto" w:sz="8" w:space="0"/>
            </w:tcBorders>
            <w:noWrap w:val="0"/>
            <w:vAlign w:val="center"/>
          </w:tcPr>
          <w:p w14:paraId="2B22DA1A">
            <w:pPr>
              <w:adjustRightInd w:val="0"/>
              <w:snapToGrid w:val="0"/>
              <w:jc w:val="center"/>
              <w:rPr>
                <w:rFonts w:ascii="宋体" w:hAnsi="宋体"/>
                <w:bCs/>
                <w:sz w:val="18"/>
                <w:szCs w:val="18"/>
              </w:rPr>
            </w:pPr>
          </w:p>
        </w:tc>
        <w:tc>
          <w:tcPr>
            <w:tcW w:w="1560" w:type="dxa"/>
            <w:tcBorders>
              <w:top w:val="single" w:color="auto" w:sz="8" w:space="0"/>
              <w:bottom w:val="single" w:color="auto" w:sz="8" w:space="0"/>
            </w:tcBorders>
            <w:noWrap w:val="0"/>
            <w:vAlign w:val="center"/>
          </w:tcPr>
          <w:p w14:paraId="14BCA71E">
            <w:pPr>
              <w:tabs>
                <w:tab w:val="center" w:pos="4201"/>
                <w:tab w:val="right" w:leader="dot" w:pos="9298"/>
              </w:tabs>
              <w:autoSpaceDE w:val="0"/>
              <w:autoSpaceDN w:val="0"/>
              <w:ind w:right="34"/>
              <w:jc w:val="cente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lang w:eastAsia="zh-CN"/>
              </w:rPr>
              <w:t>.2.3</w:t>
            </w:r>
            <w:r>
              <w:rPr>
                <w:rFonts w:hint="eastAsia" w:ascii="宋体" w:hAnsi="宋体"/>
                <w:sz w:val="18"/>
                <w:szCs w:val="18"/>
              </w:rPr>
              <w:t>.3</w:t>
            </w:r>
          </w:p>
        </w:tc>
      </w:tr>
      <w:tr w14:paraId="085C9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8" w:space="0"/>
              <w:bottom w:val="single" w:color="auto" w:sz="8" w:space="0"/>
            </w:tcBorders>
            <w:shd w:val="clear"/>
            <w:noWrap w:val="0"/>
            <w:vAlign w:val="center"/>
          </w:tcPr>
          <w:p w14:paraId="6C18AD4B">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2.</w:t>
            </w:r>
            <w:r>
              <w:rPr>
                <w:rFonts w:hint="eastAsia" w:ascii="宋体" w:hAnsi="宋体"/>
                <w:sz w:val="18"/>
                <w:szCs w:val="18"/>
                <w:lang w:val="en-US" w:eastAsia="zh-CN"/>
              </w:rPr>
              <w:t>4</w:t>
            </w:r>
            <w:r>
              <w:rPr>
                <w:rFonts w:hint="eastAsia" w:ascii="宋体" w:hAnsi="宋体"/>
                <w:sz w:val="18"/>
                <w:szCs w:val="18"/>
              </w:rPr>
              <w:t>.4</w:t>
            </w:r>
          </w:p>
        </w:tc>
        <w:tc>
          <w:tcPr>
            <w:tcW w:w="6664" w:type="dxa"/>
            <w:tcBorders>
              <w:top w:val="single" w:color="auto" w:sz="8" w:space="0"/>
              <w:bottom w:val="single" w:color="auto" w:sz="8" w:space="0"/>
            </w:tcBorders>
            <w:shd w:val="clear"/>
            <w:noWrap w:val="0"/>
            <w:vAlign w:val="center"/>
          </w:tcPr>
          <w:p w14:paraId="4911D4FF">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应对安全警示标志进行日常管理和维护</w:t>
            </w:r>
            <w:r>
              <w:rPr>
                <w:rFonts w:hint="eastAsia" w:ascii="宋体" w:hAnsi="宋体"/>
                <w:bCs/>
                <w:sz w:val="18"/>
                <w:szCs w:val="18"/>
                <w:lang w:eastAsia="zh-CN"/>
              </w:rPr>
              <w:t>，</w:t>
            </w:r>
            <w:r>
              <w:rPr>
                <w:rFonts w:hint="eastAsia" w:ascii="宋体" w:hAnsi="宋体"/>
                <w:bCs/>
                <w:sz w:val="18"/>
                <w:szCs w:val="18"/>
                <w:lang w:val="en-US" w:eastAsia="zh-CN"/>
              </w:rPr>
              <w:t>固定应牢固</w:t>
            </w:r>
            <w:r>
              <w:rPr>
                <w:rFonts w:hint="eastAsia" w:ascii="宋体" w:hAnsi="宋体"/>
                <w:bCs/>
                <w:sz w:val="18"/>
                <w:szCs w:val="18"/>
              </w:rPr>
              <w:t>，不应破损、变形、褪色。</w:t>
            </w:r>
          </w:p>
        </w:tc>
        <w:tc>
          <w:tcPr>
            <w:tcW w:w="624" w:type="dxa"/>
            <w:tcBorders>
              <w:top w:val="single" w:color="auto" w:sz="8" w:space="0"/>
              <w:bottom w:val="single" w:color="auto" w:sz="8" w:space="0"/>
            </w:tcBorders>
            <w:shd w:val="clear"/>
            <w:noWrap w:val="0"/>
            <w:vAlign w:val="center"/>
          </w:tcPr>
          <w:p w14:paraId="2B75CB60">
            <w:pPr>
              <w:adjustRightInd w:val="0"/>
              <w:snapToGrid w:val="0"/>
              <w:jc w:val="center"/>
              <w:rPr>
                <w:rFonts w:ascii="宋体" w:hAnsi="宋体" w:eastAsia="宋体" w:cs="Times New Roman"/>
                <w:bCs/>
                <w:kern w:val="2"/>
                <w:sz w:val="18"/>
                <w:szCs w:val="18"/>
                <w:lang w:val="en-US" w:eastAsia="zh-CN" w:bidi="ar-SA"/>
              </w:rPr>
            </w:pPr>
          </w:p>
        </w:tc>
        <w:tc>
          <w:tcPr>
            <w:tcW w:w="624" w:type="dxa"/>
            <w:tcBorders>
              <w:top w:val="single" w:color="auto" w:sz="8" w:space="0"/>
              <w:bottom w:val="single" w:color="auto" w:sz="8" w:space="0"/>
            </w:tcBorders>
            <w:shd w:val="clear"/>
            <w:noWrap w:val="0"/>
            <w:vAlign w:val="center"/>
          </w:tcPr>
          <w:p w14:paraId="6F4CA12C">
            <w:pPr>
              <w:adjustRightInd w:val="0"/>
              <w:snapToGrid w:val="0"/>
              <w:jc w:val="center"/>
              <w:rPr>
                <w:rFonts w:ascii="宋体" w:hAnsi="宋体" w:eastAsia="宋体" w:cs="Times New Roman"/>
                <w:bCs/>
                <w:kern w:val="2"/>
                <w:sz w:val="18"/>
                <w:szCs w:val="18"/>
                <w:lang w:val="en-US" w:eastAsia="zh-CN" w:bidi="ar-SA"/>
              </w:rPr>
            </w:pPr>
          </w:p>
        </w:tc>
        <w:tc>
          <w:tcPr>
            <w:tcW w:w="676" w:type="dxa"/>
            <w:tcBorders>
              <w:top w:val="single" w:color="auto" w:sz="8" w:space="0"/>
              <w:bottom w:val="single" w:color="auto" w:sz="8" w:space="0"/>
            </w:tcBorders>
            <w:shd w:val="clear"/>
            <w:noWrap w:val="0"/>
            <w:vAlign w:val="center"/>
          </w:tcPr>
          <w:p w14:paraId="5929171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3</w:t>
            </w:r>
          </w:p>
        </w:tc>
        <w:tc>
          <w:tcPr>
            <w:tcW w:w="3175" w:type="dxa"/>
            <w:tcBorders>
              <w:top w:val="single" w:color="auto" w:sz="8" w:space="0"/>
              <w:bottom w:val="single" w:color="auto" w:sz="8" w:space="0"/>
            </w:tcBorders>
            <w:shd w:val="clear"/>
            <w:noWrap w:val="0"/>
            <w:vAlign w:val="center"/>
          </w:tcPr>
          <w:p w14:paraId="3B4F178B">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kern w:val="0"/>
                <w:sz w:val="18"/>
                <w:szCs w:val="18"/>
              </w:rPr>
              <w:t>一处不符合，</w:t>
            </w:r>
            <w:r>
              <w:rPr>
                <w:rFonts w:hint="eastAsia" w:ascii="宋体" w:hAnsi="宋体"/>
                <w:kern w:val="0"/>
                <w:sz w:val="18"/>
                <w:szCs w:val="18"/>
                <w:lang w:val="en-US" w:eastAsia="zh-CN"/>
              </w:rPr>
              <w:t>扣1分</w:t>
            </w:r>
            <w:r>
              <w:rPr>
                <w:rFonts w:hint="eastAsia" w:ascii="宋体" w:hAnsi="宋体"/>
                <w:kern w:val="0"/>
                <w:sz w:val="18"/>
                <w:szCs w:val="18"/>
              </w:rPr>
              <w:t>。</w:t>
            </w:r>
          </w:p>
        </w:tc>
        <w:tc>
          <w:tcPr>
            <w:tcW w:w="623" w:type="dxa"/>
            <w:tcBorders>
              <w:top w:val="single" w:color="auto" w:sz="8" w:space="0"/>
              <w:bottom w:val="single" w:color="auto" w:sz="8" w:space="0"/>
            </w:tcBorders>
            <w:shd w:val="clear"/>
            <w:noWrap w:val="0"/>
            <w:vAlign w:val="center"/>
          </w:tcPr>
          <w:p w14:paraId="06036155">
            <w:pPr>
              <w:adjustRightInd w:val="0"/>
              <w:snapToGrid w:val="0"/>
              <w:jc w:val="center"/>
              <w:rPr>
                <w:rFonts w:ascii="宋体" w:hAnsi="宋体" w:eastAsia="宋体" w:cs="Times New Roman"/>
                <w:bCs/>
                <w:kern w:val="2"/>
                <w:sz w:val="18"/>
                <w:szCs w:val="18"/>
                <w:lang w:val="en-US" w:eastAsia="zh-CN" w:bidi="ar-SA"/>
              </w:rPr>
            </w:pPr>
          </w:p>
        </w:tc>
        <w:tc>
          <w:tcPr>
            <w:tcW w:w="623" w:type="dxa"/>
            <w:tcBorders>
              <w:top w:val="single" w:color="auto" w:sz="8" w:space="0"/>
              <w:bottom w:val="single" w:color="auto" w:sz="8" w:space="0"/>
            </w:tcBorders>
            <w:shd w:val="clear"/>
            <w:noWrap w:val="0"/>
            <w:vAlign w:val="center"/>
          </w:tcPr>
          <w:p w14:paraId="3E46A3AF">
            <w:pPr>
              <w:adjustRightInd w:val="0"/>
              <w:snapToGrid w:val="0"/>
              <w:jc w:val="center"/>
              <w:rPr>
                <w:rFonts w:ascii="宋体" w:hAnsi="宋体" w:eastAsia="宋体" w:cs="Times New Roman"/>
                <w:bCs/>
                <w:kern w:val="2"/>
                <w:sz w:val="18"/>
                <w:szCs w:val="18"/>
                <w:lang w:val="en-US" w:eastAsia="zh-CN" w:bidi="ar-SA"/>
              </w:rPr>
            </w:pPr>
          </w:p>
        </w:tc>
        <w:tc>
          <w:tcPr>
            <w:tcW w:w="1560" w:type="dxa"/>
            <w:tcBorders>
              <w:top w:val="single" w:color="auto" w:sz="8" w:space="0"/>
              <w:bottom w:val="single" w:color="auto" w:sz="8" w:space="0"/>
            </w:tcBorders>
            <w:shd w:val="clear"/>
            <w:noWrap w:val="0"/>
            <w:vAlign w:val="center"/>
          </w:tcPr>
          <w:p w14:paraId="0B99555E">
            <w:pPr>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.2.</w:t>
            </w:r>
            <w:r>
              <w:rPr>
                <w:rFonts w:hint="eastAsia" w:ascii="宋体" w:hAnsi="宋体"/>
                <w:sz w:val="18"/>
                <w:szCs w:val="18"/>
                <w:lang w:val="en-US" w:eastAsia="zh-CN"/>
              </w:rPr>
              <w:t>3</w:t>
            </w:r>
            <w:r>
              <w:rPr>
                <w:rFonts w:hint="eastAsia" w:ascii="宋体" w:hAnsi="宋体"/>
                <w:sz w:val="18"/>
                <w:szCs w:val="18"/>
              </w:rPr>
              <w:t>.4</w:t>
            </w:r>
          </w:p>
        </w:tc>
      </w:tr>
    </w:tbl>
    <w:p w14:paraId="13231A10">
      <w:pPr>
        <w:pStyle w:val="168"/>
        <w:widowControl/>
        <w:numPr>
          <w:ilvl w:val="0"/>
          <w:numId w:val="0"/>
        </w:numPr>
        <w:spacing w:before="156" w:after="156"/>
        <w:ind w:left="567" w:hanging="567"/>
      </w:pPr>
      <w:r>
        <w:br w:type="page"/>
      </w:r>
      <w:r>
        <w:rPr>
          <w:rFonts w:hint="eastAsia"/>
        </w:rPr>
        <w:t>表C.1 场所环境要素的安全生产等级评定细则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268"/>
        <w:gridCol w:w="713"/>
        <w:gridCol w:w="713"/>
        <w:gridCol w:w="712"/>
        <w:gridCol w:w="2364"/>
        <w:gridCol w:w="851"/>
        <w:gridCol w:w="1486"/>
        <w:gridCol w:w="1425"/>
      </w:tblGrid>
      <w:tr w14:paraId="6371B0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24FECFBD">
            <w:pPr>
              <w:adjustRightInd w:val="0"/>
              <w:snapToGrid w:val="0"/>
              <w:jc w:val="center"/>
              <w:rPr>
                <w:rFonts w:ascii="宋体" w:hAnsi="宋体"/>
                <w:sz w:val="18"/>
                <w:szCs w:val="18"/>
              </w:rPr>
            </w:pPr>
            <w:r>
              <w:rPr>
                <w:rFonts w:ascii="宋体" w:hAnsi="宋体"/>
                <w:bCs/>
                <w:sz w:val="18"/>
                <w:szCs w:val="18"/>
              </w:rPr>
              <w:t>序号</w:t>
            </w:r>
          </w:p>
        </w:tc>
        <w:tc>
          <w:tcPr>
            <w:tcW w:w="6268" w:type="dxa"/>
            <w:tcBorders>
              <w:top w:val="single" w:color="auto" w:sz="8" w:space="0"/>
              <w:bottom w:val="single" w:color="auto" w:sz="8" w:space="0"/>
            </w:tcBorders>
            <w:noWrap w:val="0"/>
            <w:vAlign w:val="center"/>
          </w:tcPr>
          <w:p w14:paraId="75A37442">
            <w:pPr>
              <w:adjustRightInd w:val="0"/>
              <w:snapToGrid w:val="0"/>
              <w:jc w:val="center"/>
              <w:rPr>
                <w:rFonts w:ascii="宋体" w:hAnsi="宋体"/>
                <w:sz w:val="18"/>
                <w:szCs w:val="18"/>
              </w:rPr>
            </w:pPr>
            <w:r>
              <w:rPr>
                <w:rFonts w:ascii="宋体" w:hAnsi="宋体"/>
                <w:bCs/>
                <w:sz w:val="18"/>
                <w:szCs w:val="18"/>
              </w:rPr>
              <w:t>评定内容</w:t>
            </w:r>
          </w:p>
        </w:tc>
        <w:tc>
          <w:tcPr>
            <w:tcW w:w="713" w:type="dxa"/>
            <w:tcBorders>
              <w:top w:val="single" w:color="auto" w:sz="8" w:space="0"/>
              <w:bottom w:val="single" w:color="auto" w:sz="8" w:space="0"/>
            </w:tcBorders>
            <w:noWrap w:val="0"/>
            <w:vAlign w:val="center"/>
          </w:tcPr>
          <w:p w14:paraId="5B5A967B">
            <w:pPr>
              <w:adjustRightInd w:val="0"/>
              <w:snapToGrid w:val="0"/>
              <w:jc w:val="center"/>
              <w:rPr>
                <w:rFonts w:ascii="宋体" w:hAnsi="宋体"/>
                <w:sz w:val="18"/>
                <w:szCs w:val="18"/>
              </w:rPr>
            </w:pPr>
            <w:r>
              <w:rPr>
                <w:rFonts w:ascii="宋体" w:hAnsi="宋体"/>
                <w:bCs/>
                <w:sz w:val="18"/>
                <w:szCs w:val="18"/>
              </w:rPr>
              <w:t>评定要素分值</w:t>
            </w:r>
          </w:p>
        </w:tc>
        <w:tc>
          <w:tcPr>
            <w:tcW w:w="713" w:type="dxa"/>
            <w:tcBorders>
              <w:top w:val="single" w:color="auto" w:sz="8" w:space="0"/>
              <w:bottom w:val="single" w:color="auto" w:sz="8" w:space="0"/>
            </w:tcBorders>
            <w:noWrap w:val="0"/>
            <w:vAlign w:val="center"/>
          </w:tcPr>
          <w:p w14:paraId="143F17E6">
            <w:pPr>
              <w:adjustRightInd w:val="0"/>
              <w:snapToGrid w:val="0"/>
              <w:jc w:val="center"/>
              <w:rPr>
                <w:rFonts w:ascii="宋体" w:hAnsi="宋体"/>
                <w:sz w:val="18"/>
                <w:szCs w:val="18"/>
              </w:rPr>
            </w:pPr>
            <w:r>
              <w:rPr>
                <w:rFonts w:ascii="宋体" w:hAnsi="宋体"/>
                <w:bCs/>
                <w:sz w:val="18"/>
                <w:szCs w:val="18"/>
              </w:rPr>
              <w:t>评定细项分值</w:t>
            </w:r>
          </w:p>
        </w:tc>
        <w:tc>
          <w:tcPr>
            <w:tcW w:w="712" w:type="dxa"/>
            <w:tcBorders>
              <w:top w:val="single" w:color="auto" w:sz="8" w:space="0"/>
              <w:bottom w:val="single" w:color="auto" w:sz="8" w:space="0"/>
            </w:tcBorders>
            <w:noWrap w:val="0"/>
            <w:vAlign w:val="center"/>
          </w:tcPr>
          <w:p w14:paraId="78B65E62">
            <w:pPr>
              <w:adjustRightInd w:val="0"/>
              <w:snapToGrid w:val="0"/>
              <w:jc w:val="center"/>
              <w:rPr>
                <w:rFonts w:ascii="宋体" w:hAnsi="宋体"/>
                <w:sz w:val="18"/>
                <w:szCs w:val="18"/>
              </w:rPr>
            </w:pPr>
            <w:r>
              <w:rPr>
                <w:rFonts w:ascii="宋体" w:hAnsi="宋体"/>
                <w:bCs/>
                <w:sz w:val="18"/>
                <w:szCs w:val="18"/>
              </w:rPr>
              <w:t>评定条款分值</w:t>
            </w:r>
          </w:p>
        </w:tc>
        <w:tc>
          <w:tcPr>
            <w:tcW w:w="2364" w:type="dxa"/>
            <w:tcBorders>
              <w:top w:val="single" w:color="auto" w:sz="8" w:space="0"/>
              <w:bottom w:val="single" w:color="auto" w:sz="8" w:space="0"/>
            </w:tcBorders>
            <w:noWrap w:val="0"/>
            <w:vAlign w:val="center"/>
          </w:tcPr>
          <w:p w14:paraId="4DBF04B0">
            <w:pPr>
              <w:adjustRightInd w:val="0"/>
              <w:snapToGrid w:val="0"/>
              <w:jc w:val="center"/>
              <w:rPr>
                <w:rFonts w:ascii="宋体" w:hAnsi="宋体"/>
                <w:sz w:val="18"/>
                <w:szCs w:val="18"/>
              </w:rPr>
            </w:pPr>
            <w:r>
              <w:rPr>
                <w:rFonts w:ascii="宋体" w:hAnsi="宋体"/>
                <w:bCs/>
                <w:sz w:val="18"/>
                <w:szCs w:val="18"/>
              </w:rPr>
              <w:t>评分标准</w:t>
            </w:r>
          </w:p>
        </w:tc>
        <w:tc>
          <w:tcPr>
            <w:tcW w:w="851" w:type="dxa"/>
            <w:tcBorders>
              <w:top w:val="single" w:color="auto" w:sz="8" w:space="0"/>
              <w:bottom w:val="single" w:color="auto" w:sz="8" w:space="0"/>
            </w:tcBorders>
            <w:noWrap w:val="0"/>
            <w:vAlign w:val="center"/>
          </w:tcPr>
          <w:p w14:paraId="7311D9A3">
            <w:pPr>
              <w:adjustRightInd w:val="0"/>
              <w:snapToGrid w:val="0"/>
              <w:jc w:val="center"/>
              <w:rPr>
                <w:rFonts w:ascii="宋体" w:hAnsi="宋体"/>
                <w:sz w:val="18"/>
                <w:szCs w:val="18"/>
              </w:rPr>
            </w:pPr>
            <w:r>
              <w:rPr>
                <w:rFonts w:ascii="宋体" w:hAnsi="宋体"/>
                <w:bCs/>
                <w:sz w:val="18"/>
                <w:szCs w:val="18"/>
              </w:rPr>
              <w:t>评定得分</w:t>
            </w:r>
          </w:p>
        </w:tc>
        <w:tc>
          <w:tcPr>
            <w:tcW w:w="1486" w:type="dxa"/>
            <w:tcBorders>
              <w:top w:val="single" w:color="auto" w:sz="8" w:space="0"/>
              <w:bottom w:val="single" w:color="auto" w:sz="8" w:space="0"/>
            </w:tcBorders>
            <w:noWrap w:val="0"/>
            <w:vAlign w:val="center"/>
          </w:tcPr>
          <w:p w14:paraId="4FE1B2D8">
            <w:pPr>
              <w:adjustRightInd w:val="0"/>
              <w:snapToGrid w:val="0"/>
              <w:jc w:val="center"/>
              <w:rPr>
                <w:rFonts w:ascii="宋体" w:hAnsi="宋体"/>
                <w:sz w:val="18"/>
                <w:szCs w:val="18"/>
              </w:rPr>
            </w:pPr>
            <w:r>
              <w:rPr>
                <w:rFonts w:ascii="宋体" w:hAnsi="宋体"/>
                <w:bCs/>
                <w:sz w:val="18"/>
                <w:szCs w:val="18"/>
              </w:rPr>
              <w:t>扣分说明</w:t>
            </w:r>
          </w:p>
        </w:tc>
        <w:tc>
          <w:tcPr>
            <w:tcW w:w="1425" w:type="dxa"/>
            <w:tcBorders>
              <w:top w:val="single" w:color="auto" w:sz="8" w:space="0"/>
              <w:bottom w:val="single" w:color="auto" w:sz="8" w:space="0"/>
            </w:tcBorders>
            <w:noWrap w:val="0"/>
            <w:vAlign w:val="center"/>
          </w:tcPr>
          <w:p w14:paraId="70CBDBBA">
            <w:pPr>
              <w:adjustRightInd w:val="0"/>
              <w:snapToGrid w:val="0"/>
              <w:jc w:val="center"/>
              <w:rPr>
                <w:rFonts w:ascii="宋体" w:hAnsi="宋体"/>
                <w:sz w:val="18"/>
                <w:szCs w:val="18"/>
              </w:rPr>
            </w:pPr>
            <w:r>
              <w:rPr>
                <w:rFonts w:ascii="宋体" w:hAnsi="宋体"/>
                <w:bCs/>
                <w:sz w:val="18"/>
                <w:szCs w:val="18"/>
              </w:rPr>
              <w:t>对应条款编号</w:t>
            </w:r>
          </w:p>
        </w:tc>
      </w:tr>
      <w:tr w14:paraId="2CE70B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shd w:val="clear" w:color="auto" w:fill="auto"/>
            <w:noWrap w:val="0"/>
            <w:vAlign w:val="center"/>
          </w:tcPr>
          <w:p w14:paraId="2862C585">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2.</w:t>
            </w:r>
            <w:r>
              <w:rPr>
                <w:rFonts w:hint="eastAsia" w:ascii="宋体" w:hAnsi="宋体"/>
                <w:sz w:val="18"/>
                <w:szCs w:val="18"/>
                <w:lang w:val="en-US" w:eastAsia="zh-CN"/>
              </w:rPr>
              <w:t>5</w:t>
            </w:r>
          </w:p>
        </w:tc>
        <w:tc>
          <w:tcPr>
            <w:tcW w:w="6268" w:type="dxa"/>
            <w:tcBorders>
              <w:top w:val="single" w:color="auto" w:sz="8" w:space="0"/>
              <w:bottom w:val="single" w:color="auto" w:sz="8" w:space="0"/>
            </w:tcBorders>
            <w:shd w:val="clear" w:color="auto" w:fill="auto"/>
            <w:noWrap w:val="0"/>
            <w:vAlign w:val="center"/>
          </w:tcPr>
          <w:p w14:paraId="1FCB4633">
            <w:pPr>
              <w:ind w:right="33" w:rightChars="16"/>
              <w:rPr>
                <w:rFonts w:hint="eastAsia" w:ascii="宋体" w:hAnsi="宋体" w:eastAsia="宋体" w:cs="Times New Roman"/>
                <w:kern w:val="2"/>
                <w:sz w:val="18"/>
                <w:szCs w:val="18"/>
                <w:lang w:val="en-US" w:eastAsia="zh-CN" w:bidi="ar-SA"/>
              </w:rPr>
            </w:pPr>
            <w:r>
              <w:rPr>
                <w:rFonts w:hint="eastAsia" w:ascii="宋体" w:hAnsi="宋体"/>
                <w:sz w:val="18"/>
                <w:szCs w:val="18"/>
              </w:rPr>
              <w:t>建筑物防雷</w:t>
            </w:r>
          </w:p>
        </w:tc>
        <w:tc>
          <w:tcPr>
            <w:tcW w:w="713" w:type="dxa"/>
            <w:tcBorders>
              <w:top w:val="single" w:color="auto" w:sz="8" w:space="0"/>
              <w:bottom w:val="single" w:color="auto" w:sz="8" w:space="0"/>
            </w:tcBorders>
            <w:shd w:val="clear" w:color="auto" w:fill="auto"/>
            <w:noWrap w:val="0"/>
            <w:vAlign w:val="center"/>
          </w:tcPr>
          <w:p w14:paraId="2C65115B">
            <w:pPr>
              <w:adjustRightInd w:val="0"/>
              <w:snapToGrid w:val="0"/>
              <w:jc w:val="center"/>
              <w:rPr>
                <w:rFonts w:ascii="宋体" w:hAnsi="宋体" w:eastAsia="宋体" w:cs="Times New Roman"/>
                <w:bCs/>
                <w:kern w:val="2"/>
                <w:sz w:val="18"/>
                <w:szCs w:val="18"/>
                <w:lang w:val="en-US" w:eastAsia="zh-CN" w:bidi="ar-SA"/>
              </w:rPr>
            </w:pPr>
          </w:p>
        </w:tc>
        <w:tc>
          <w:tcPr>
            <w:tcW w:w="713" w:type="dxa"/>
            <w:tcBorders>
              <w:top w:val="single" w:color="auto" w:sz="8" w:space="0"/>
              <w:bottom w:val="single" w:color="auto" w:sz="8" w:space="0"/>
            </w:tcBorders>
            <w:shd w:val="clear" w:color="auto" w:fill="auto"/>
            <w:noWrap w:val="0"/>
            <w:vAlign w:val="center"/>
          </w:tcPr>
          <w:p w14:paraId="248FD0BE">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10</w:t>
            </w:r>
          </w:p>
        </w:tc>
        <w:tc>
          <w:tcPr>
            <w:tcW w:w="712" w:type="dxa"/>
            <w:tcBorders>
              <w:top w:val="single" w:color="auto" w:sz="8" w:space="0"/>
              <w:bottom w:val="single" w:color="auto" w:sz="8" w:space="0"/>
            </w:tcBorders>
            <w:shd w:val="clear" w:color="auto" w:fill="auto"/>
            <w:noWrap w:val="0"/>
            <w:vAlign w:val="center"/>
          </w:tcPr>
          <w:p w14:paraId="6DAB2C40">
            <w:pPr>
              <w:adjustRightInd w:val="0"/>
              <w:snapToGrid w:val="0"/>
              <w:jc w:val="center"/>
              <w:rPr>
                <w:rFonts w:hint="eastAsia" w:ascii="宋体" w:hAnsi="宋体" w:eastAsia="宋体" w:cs="Times New Roman"/>
                <w:bCs/>
                <w:kern w:val="2"/>
                <w:sz w:val="18"/>
                <w:szCs w:val="18"/>
                <w:lang w:val="en-US" w:eastAsia="zh-CN" w:bidi="ar-SA"/>
              </w:rPr>
            </w:pPr>
          </w:p>
        </w:tc>
        <w:tc>
          <w:tcPr>
            <w:tcW w:w="2364" w:type="dxa"/>
            <w:tcBorders>
              <w:top w:val="single" w:color="auto" w:sz="8" w:space="0"/>
              <w:bottom w:val="single" w:color="auto" w:sz="8" w:space="0"/>
            </w:tcBorders>
            <w:shd w:val="clear" w:color="auto" w:fill="auto"/>
            <w:noWrap w:val="0"/>
            <w:vAlign w:val="center"/>
          </w:tcPr>
          <w:p w14:paraId="192CFEE8">
            <w:pPr>
              <w:adjustRightInd w:val="0"/>
              <w:snapToGrid w:val="0"/>
              <w:jc w:val="left"/>
              <w:rPr>
                <w:rFonts w:hint="eastAsia" w:ascii="宋体" w:hAnsi="宋体" w:eastAsia="宋体" w:cs="Times New Roman"/>
                <w:bCs/>
                <w:kern w:val="2"/>
                <w:sz w:val="18"/>
                <w:szCs w:val="18"/>
                <w:lang w:val="en-US" w:eastAsia="zh-CN" w:bidi="ar-SA"/>
              </w:rPr>
            </w:pPr>
          </w:p>
        </w:tc>
        <w:tc>
          <w:tcPr>
            <w:tcW w:w="851" w:type="dxa"/>
            <w:tcBorders>
              <w:top w:val="single" w:color="auto" w:sz="8" w:space="0"/>
              <w:bottom w:val="single" w:color="auto" w:sz="8" w:space="0"/>
            </w:tcBorders>
            <w:shd w:val="clear" w:color="auto" w:fill="auto"/>
            <w:noWrap w:val="0"/>
            <w:vAlign w:val="center"/>
          </w:tcPr>
          <w:p w14:paraId="4F1957DF">
            <w:pPr>
              <w:adjustRightInd w:val="0"/>
              <w:snapToGrid w:val="0"/>
              <w:jc w:val="center"/>
              <w:rPr>
                <w:rFonts w:ascii="宋体" w:hAnsi="宋体" w:eastAsia="宋体" w:cs="Times New Roman"/>
                <w:bCs/>
                <w:kern w:val="2"/>
                <w:sz w:val="18"/>
                <w:szCs w:val="18"/>
                <w:lang w:val="en-US" w:eastAsia="zh-CN" w:bidi="ar-SA"/>
              </w:rPr>
            </w:pPr>
          </w:p>
        </w:tc>
        <w:tc>
          <w:tcPr>
            <w:tcW w:w="1486" w:type="dxa"/>
            <w:tcBorders>
              <w:top w:val="single" w:color="auto" w:sz="8" w:space="0"/>
              <w:bottom w:val="single" w:color="auto" w:sz="8" w:space="0"/>
            </w:tcBorders>
            <w:shd w:val="clear" w:color="auto" w:fill="auto"/>
            <w:noWrap w:val="0"/>
            <w:vAlign w:val="center"/>
          </w:tcPr>
          <w:p w14:paraId="52143C15">
            <w:pPr>
              <w:adjustRightInd w:val="0"/>
              <w:snapToGrid w:val="0"/>
              <w:jc w:val="center"/>
              <w:rPr>
                <w:rFonts w:ascii="宋体" w:hAnsi="宋体" w:eastAsia="宋体" w:cs="Times New Roman"/>
                <w:bCs/>
                <w:kern w:val="2"/>
                <w:sz w:val="18"/>
                <w:szCs w:val="18"/>
                <w:lang w:val="en-US" w:eastAsia="zh-CN" w:bidi="ar-SA"/>
              </w:rPr>
            </w:pPr>
          </w:p>
        </w:tc>
        <w:tc>
          <w:tcPr>
            <w:tcW w:w="1425" w:type="dxa"/>
            <w:tcBorders>
              <w:top w:val="single" w:color="auto" w:sz="8" w:space="0"/>
              <w:bottom w:val="single" w:color="auto" w:sz="8" w:space="0"/>
            </w:tcBorders>
            <w:shd w:val="clear" w:color="auto" w:fill="auto"/>
            <w:noWrap w:val="0"/>
            <w:vAlign w:val="center"/>
          </w:tcPr>
          <w:p w14:paraId="7F61B678">
            <w:pPr>
              <w:tabs>
                <w:tab w:val="center" w:pos="4201"/>
                <w:tab w:val="right" w:leader="dot" w:pos="9298"/>
              </w:tabs>
              <w:autoSpaceDE w:val="0"/>
              <w:autoSpaceDN w:val="0"/>
              <w:ind w:right="34" w:rightChars="0"/>
              <w:jc w:val="center"/>
              <w:rPr>
                <w:rFonts w:hint="default" w:ascii="宋体" w:hAnsi="宋体" w:eastAsia="宋体" w:cs="Times New Roman"/>
                <w:kern w:val="0"/>
                <w:sz w:val="18"/>
                <w:szCs w:val="18"/>
                <w:lang w:val="en-US" w:eastAsia="zh-CN" w:bidi="ar-SA"/>
              </w:rPr>
            </w:pPr>
            <w:r>
              <w:rPr>
                <w:rFonts w:hint="eastAsia" w:ascii="宋体" w:hAnsi="宋体" w:cs="Times New Roman"/>
                <w:kern w:val="0"/>
                <w:sz w:val="18"/>
                <w:szCs w:val="18"/>
                <w:lang w:val="en-US" w:eastAsia="zh-CN" w:bidi="ar-SA"/>
              </w:rPr>
              <w:t>4.2.4</w:t>
            </w:r>
          </w:p>
        </w:tc>
      </w:tr>
      <w:tr w14:paraId="293127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0D6E2A03">
            <w:pPr>
              <w:adjustRightInd w:val="0"/>
              <w:snapToGrid w:val="0"/>
              <w:jc w:val="center"/>
              <w:rPr>
                <w:rFonts w:hint="eastAsia" w:ascii="宋体" w:hAnsi="宋体"/>
                <w:sz w:val="18"/>
                <w:szCs w:val="18"/>
              </w:rPr>
            </w:pPr>
            <w:r>
              <w:rPr>
                <w:rFonts w:hint="eastAsia" w:ascii="宋体" w:hAnsi="宋体"/>
                <w:bCs/>
                <w:sz w:val="18"/>
                <w:szCs w:val="18"/>
              </w:rPr>
              <w:t>2.</w:t>
            </w:r>
            <w:r>
              <w:rPr>
                <w:rFonts w:hint="eastAsia" w:ascii="宋体" w:hAnsi="宋体"/>
                <w:bCs/>
                <w:sz w:val="18"/>
                <w:szCs w:val="18"/>
                <w:lang w:val="en-US" w:eastAsia="zh-CN"/>
              </w:rPr>
              <w:t>5</w:t>
            </w:r>
            <w:r>
              <w:rPr>
                <w:rFonts w:hint="eastAsia" w:ascii="宋体" w:hAnsi="宋体"/>
                <w:bCs/>
                <w:sz w:val="18"/>
                <w:szCs w:val="18"/>
              </w:rPr>
              <w:t>.1</w:t>
            </w:r>
          </w:p>
        </w:tc>
        <w:tc>
          <w:tcPr>
            <w:tcW w:w="6268" w:type="dxa"/>
            <w:tcBorders>
              <w:top w:val="single" w:color="auto" w:sz="8" w:space="0"/>
              <w:bottom w:val="single" w:color="auto" w:sz="8" w:space="0"/>
            </w:tcBorders>
            <w:noWrap w:val="0"/>
            <w:vAlign w:val="center"/>
          </w:tcPr>
          <w:p w14:paraId="3576A269">
            <w:pPr>
              <w:adjustRightInd w:val="0"/>
              <w:snapToGrid w:val="0"/>
              <w:jc w:val="left"/>
              <w:rPr>
                <w:rFonts w:ascii="宋体" w:hAnsi="宋体"/>
                <w:bCs/>
                <w:sz w:val="18"/>
                <w:szCs w:val="18"/>
              </w:rPr>
            </w:pPr>
            <w:r>
              <w:rPr>
                <w:rFonts w:hint="eastAsia" w:ascii="宋体" w:hAnsi="宋体"/>
                <w:bCs/>
                <w:sz w:val="18"/>
                <w:szCs w:val="18"/>
              </w:rPr>
              <w:t>防雷装置应符合下列要求：</w:t>
            </w:r>
          </w:p>
          <w:p w14:paraId="57AF5B5B">
            <w:pPr>
              <w:adjustRightInd w:val="0"/>
              <w:snapToGrid w:val="0"/>
              <w:jc w:val="left"/>
              <w:rPr>
                <w:rFonts w:ascii="宋体" w:hAnsi="宋体"/>
                <w:bCs/>
                <w:sz w:val="18"/>
                <w:szCs w:val="18"/>
              </w:rPr>
            </w:pPr>
            <w:r>
              <w:rPr>
                <w:rFonts w:hint="eastAsia" w:ascii="宋体" w:hAnsi="宋体"/>
                <w:bCs/>
                <w:sz w:val="18"/>
                <w:szCs w:val="18"/>
              </w:rPr>
              <w:t>a）建筑物防雷装置应完好有效，镀层或涂漆应完好，各处明装导体无锈蚀或者因机械力的损伤而折断的情况；</w:t>
            </w:r>
          </w:p>
          <w:p w14:paraId="39033F4C">
            <w:pPr>
              <w:adjustRightInd w:val="0"/>
              <w:snapToGrid w:val="0"/>
              <w:jc w:val="left"/>
              <w:rPr>
                <w:rFonts w:ascii="宋体" w:hAnsi="宋体"/>
                <w:bCs/>
                <w:sz w:val="18"/>
                <w:szCs w:val="18"/>
              </w:rPr>
            </w:pPr>
            <w:r>
              <w:rPr>
                <w:rFonts w:hint="eastAsia" w:ascii="宋体" w:hAnsi="宋体"/>
                <w:bCs/>
                <w:sz w:val="18"/>
                <w:szCs w:val="18"/>
              </w:rPr>
              <w:t>b）引下线接地完好，在易受机械损坏的地方，地面上约1.7 m至地下0.3 m的一段接地线应采用暗敷或采用镀锌角钢、改性塑料管或橡胶管等加以保护；</w:t>
            </w:r>
          </w:p>
          <w:p w14:paraId="6AD8721E">
            <w:pPr>
              <w:adjustRightInd w:val="0"/>
              <w:snapToGrid w:val="0"/>
              <w:jc w:val="left"/>
              <w:rPr>
                <w:rFonts w:hint="eastAsia" w:ascii="宋体" w:hAnsi="宋体"/>
                <w:bCs/>
                <w:sz w:val="18"/>
                <w:szCs w:val="18"/>
              </w:rPr>
            </w:pPr>
            <w:r>
              <w:rPr>
                <w:rFonts w:hint="eastAsia" w:ascii="宋体" w:hAnsi="宋体"/>
                <w:bCs/>
                <w:sz w:val="18"/>
                <w:szCs w:val="18"/>
                <w:lang w:val="en-US" w:eastAsia="zh-CN"/>
              </w:rPr>
              <w:t>c</w:t>
            </w:r>
            <w:r>
              <w:rPr>
                <w:rFonts w:hint="eastAsia" w:ascii="宋体" w:hAnsi="宋体"/>
                <w:bCs/>
                <w:sz w:val="18"/>
                <w:szCs w:val="18"/>
              </w:rPr>
              <w:t>）采用多根引下线时，应在各引下线上于距地面0.3m至1.8m之间装设断接卡；</w:t>
            </w:r>
          </w:p>
          <w:p w14:paraId="12F7A92E">
            <w:pPr>
              <w:adjustRightInd w:val="0"/>
              <w:snapToGrid w:val="0"/>
              <w:jc w:val="left"/>
              <w:rPr>
                <w:rFonts w:hint="eastAsia" w:ascii="宋体" w:hAnsi="宋体"/>
                <w:sz w:val="18"/>
                <w:szCs w:val="18"/>
              </w:rPr>
            </w:pPr>
            <w:r>
              <w:rPr>
                <w:rFonts w:hint="eastAsia" w:ascii="宋体" w:hAnsi="宋体"/>
                <w:bCs/>
                <w:sz w:val="18"/>
                <w:szCs w:val="18"/>
              </w:rPr>
              <w:t>d）人工防雷接地网距建筑物入口处及人行道不宜小于3m。</w:t>
            </w:r>
          </w:p>
        </w:tc>
        <w:tc>
          <w:tcPr>
            <w:tcW w:w="713" w:type="dxa"/>
            <w:tcBorders>
              <w:top w:val="single" w:color="auto" w:sz="8" w:space="0"/>
              <w:bottom w:val="single" w:color="auto" w:sz="8" w:space="0"/>
            </w:tcBorders>
            <w:noWrap w:val="0"/>
            <w:vAlign w:val="center"/>
          </w:tcPr>
          <w:p w14:paraId="4AC82355">
            <w:pPr>
              <w:adjustRightInd w:val="0"/>
              <w:snapToGrid w:val="0"/>
              <w:jc w:val="center"/>
              <w:rPr>
                <w:rFonts w:ascii="宋体" w:hAnsi="宋体"/>
                <w:bCs/>
                <w:sz w:val="18"/>
                <w:szCs w:val="18"/>
              </w:rPr>
            </w:pPr>
          </w:p>
        </w:tc>
        <w:tc>
          <w:tcPr>
            <w:tcW w:w="713" w:type="dxa"/>
            <w:tcBorders>
              <w:top w:val="single" w:color="auto" w:sz="8" w:space="0"/>
              <w:bottom w:val="single" w:color="auto" w:sz="8" w:space="0"/>
            </w:tcBorders>
            <w:noWrap w:val="0"/>
            <w:vAlign w:val="center"/>
          </w:tcPr>
          <w:p w14:paraId="393E5769">
            <w:pPr>
              <w:adjustRightInd w:val="0"/>
              <w:snapToGrid w:val="0"/>
              <w:jc w:val="center"/>
              <w:rPr>
                <w:rFonts w:ascii="宋体" w:hAnsi="宋体"/>
                <w:bCs/>
                <w:sz w:val="18"/>
                <w:szCs w:val="18"/>
              </w:rPr>
            </w:pPr>
          </w:p>
        </w:tc>
        <w:tc>
          <w:tcPr>
            <w:tcW w:w="712" w:type="dxa"/>
            <w:tcBorders>
              <w:top w:val="single" w:color="auto" w:sz="8" w:space="0"/>
              <w:bottom w:val="single" w:color="auto" w:sz="8" w:space="0"/>
            </w:tcBorders>
            <w:noWrap w:val="0"/>
            <w:vAlign w:val="center"/>
          </w:tcPr>
          <w:p w14:paraId="084E702B">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3</w:t>
            </w:r>
          </w:p>
        </w:tc>
        <w:tc>
          <w:tcPr>
            <w:tcW w:w="2364" w:type="dxa"/>
            <w:tcBorders>
              <w:top w:val="single" w:color="auto" w:sz="8" w:space="0"/>
              <w:bottom w:val="single" w:color="auto" w:sz="8" w:space="0"/>
            </w:tcBorders>
            <w:noWrap w:val="0"/>
            <w:vAlign w:val="center"/>
          </w:tcPr>
          <w:p w14:paraId="3B44B5B2">
            <w:pPr>
              <w:adjustRightInd w:val="0"/>
              <w:snapToGrid w:val="0"/>
              <w:jc w:val="left"/>
              <w:rPr>
                <w:rFonts w:hint="eastAsia" w:ascii="宋体" w:hAnsi="宋体"/>
                <w:kern w:val="0"/>
                <w:sz w:val="18"/>
                <w:szCs w:val="18"/>
              </w:rPr>
            </w:pPr>
            <w:r>
              <w:rPr>
                <w:rFonts w:hint="eastAsia" w:ascii="宋体" w:hAnsi="宋体"/>
                <w:kern w:val="0"/>
                <w:sz w:val="18"/>
                <w:szCs w:val="18"/>
              </w:rPr>
              <w:t>一处不符合扣</w:t>
            </w:r>
            <w:r>
              <w:rPr>
                <w:rFonts w:ascii="宋体" w:hAnsi="宋体"/>
                <w:kern w:val="0"/>
                <w:sz w:val="18"/>
                <w:szCs w:val="18"/>
              </w:rPr>
              <w:t>2</w:t>
            </w:r>
            <w:r>
              <w:rPr>
                <w:rFonts w:hint="eastAsia" w:ascii="宋体" w:hAnsi="宋体"/>
                <w:kern w:val="0"/>
                <w:sz w:val="18"/>
                <w:szCs w:val="18"/>
              </w:rPr>
              <w:t>分。</w:t>
            </w:r>
          </w:p>
        </w:tc>
        <w:tc>
          <w:tcPr>
            <w:tcW w:w="851" w:type="dxa"/>
            <w:tcBorders>
              <w:top w:val="single" w:color="auto" w:sz="8" w:space="0"/>
              <w:bottom w:val="single" w:color="auto" w:sz="8" w:space="0"/>
            </w:tcBorders>
            <w:noWrap w:val="0"/>
            <w:vAlign w:val="center"/>
          </w:tcPr>
          <w:p w14:paraId="634BFF5D">
            <w:pPr>
              <w:adjustRightInd w:val="0"/>
              <w:snapToGrid w:val="0"/>
              <w:jc w:val="center"/>
              <w:rPr>
                <w:rFonts w:ascii="宋体" w:hAnsi="宋体"/>
                <w:bCs/>
                <w:sz w:val="18"/>
                <w:szCs w:val="18"/>
              </w:rPr>
            </w:pPr>
          </w:p>
        </w:tc>
        <w:tc>
          <w:tcPr>
            <w:tcW w:w="1486" w:type="dxa"/>
            <w:tcBorders>
              <w:top w:val="single" w:color="auto" w:sz="8" w:space="0"/>
              <w:bottom w:val="single" w:color="auto" w:sz="8" w:space="0"/>
            </w:tcBorders>
            <w:noWrap w:val="0"/>
            <w:vAlign w:val="center"/>
          </w:tcPr>
          <w:p w14:paraId="5948F08E">
            <w:pPr>
              <w:adjustRightInd w:val="0"/>
              <w:snapToGrid w:val="0"/>
              <w:jc w:val="center"/>
              <w:rPr>
                <w:rFonts w:ascii="宋体" w:hAnsi="宋体"/>
                <w:bCs/>
                <w:sz w:val="18"/>
                <w:szCs w:val="18"/>
              </w:rPr>
            </w:pPr>
          </w:p>
        </w:tc>
        <w:tc>
          <w:tcPr>
            <w:tcW w:w="1425" w:type="dxa"/>
            <w:tcBorders>
              <w:top w:val="single" w:color="auto" w:sz="8" w:space="0"/>
              <w:bottom w:val="single" w:color="auto" w:sz="8" w:space="0"/>
            </w:tcBorders>
            <w:noWrap w:val="0"/>
            <w:vAlign w:val="center"/>
          </w:tcPr>
          <w:p w14:paraId="74AD19CB">
            <w:pPr>
              <w:tabs>
                <w:tab w:val="center" w:pos="4201"/>
                <w:tab w:val="right" w:leader="dot" w:pos="9298"/>
              </w:tabs>
              <w:autoSpaceDE w:val="0"/>
              <w:autoSpaceDN w:val="0"/>
              <w:ind w:right="34"/>
              <w:jc w:val="center"/>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lang w:eastAsia="zh-CN"/>
              </w:rPr>
              <w:t>.2.4</w:t>
            </w:r>
            <w:r>
              <w:rPr>
                <w:rFonts w:ascii="宋体" w:hAnsi="宋体"/>
                <w:sz w:val="18"/>
                <w:szCs w:val="18"/>
              </w:rPr>
              <w:t>.</w:t>
            </w:r>
            <w:r>
              <w:rPr>
                <w:rFonts w:hint="eastAsia" w:ascii="宋体" w:hAnsi="宋体"/>
                <w:sz w:val="18"/>
                <w:szCs w:val="18"/>
              </w:rPr>
              <w:t>1</w:t>
            </w:r>
          </w:p>
        </w:tc>
      </w:tr>
      <w:tr w14:paraId="592BE6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097327AE">
            <w:pPr>
              <w:adjustRightInd w:val="0"/>
              <w:snapToGrid w:val="0"/>
              <w:jc w:val="center"/>
              <w:rPr>
                <w:rFonts w:hint="eastAsia" w:ascii="宋体" w:hAnsi="宋体" w:eastAsia="宋体"/>
                <w:bCs/>
                <w:sz w:val="18"/>
                <w:szCs w:val="18"/>
                <w:lang w:eastAsia="zh-CN"/>
              </w:rPr>
            </w:pPr>
            <w:r>
              <w:rPr>
                <w:rFonts w:hint="eastAsia" w:ascii="宋体" w:hAnsi="宋体"/>
                <w:bCs/>
                <w:sz w:val="18"/>
                <w:szCs w:val="18"/>
              </w:rPr>
              <w:t>2.</w:t>
            </w:r>
            <w:r>
              <w:rPr>
                <w:rFonts w:hint="eastAsia" w:ascii="宋体" w:hAnsi="宋体"/>
                <w:bCs/>
                <w:sz w:val="18"/>
                <w:szCs w:val="18"/>
                <w:lang w:val="en-US" w:eastAsia="zh-CN"/>
              </w:rPr>
              <w:t>5</w:t>
            </w:r>
            <w:r>
              <w:rPr>
                <w:rFonts w:hint="eastAsia" w:ascii="宋体" w:hAnsi="宋体"/>
                <w:bCs/>
                <w:sz w:val="18"/>
                <w:szCs w:val="18"/>
              </w:rPr>
              <w:t>.</w:t>
            </w:r>
            <w:r>
              <w:rPr>
                <w:rFonts w:hint="eastAsia" w:ascii="宋体" w:hAnsi="宋体"/>
                <w:bCs/>
                <w:sz w:val="18"/>
                <w:szCs w:val="18"/>
                <w:lang w:val="en-US" w:eastAsia="zh-CN"/>
              </w:rPr>
              <w:t>2</w:t>
            </w:r>
          </w:p>
        </w:tc>
        <w:tc>
          <w:tcPr>
            <w:tcW w:w="6268" w:type="dxa"/>
            <w:tcBorders>
              <w:top w:val="single" w:color="auto" w:sz="8" w:space="0"/>
              <w:bottom w:val="single" w:color="auto" w:sz="8" w:space="0"/>
            </w:tcBorders>
            <w:noWrap w:val="0"/>
            <w:vAlign w:val="center"/>
          </w:tcPr>
          <w:p w14:paraId="18560389">
            <w:pPr>
              <w:adjustRightInd w:val="0"/>
              <w:snapToGrid w:val="0"/>
              <w:ind w:left="0"/>
              <w:rPr>
                <w:rFonts w:hint="eastAsia" w:ascii="宋体" w:hAnsi="宋体"/>
                <w:bCs/>
                <w:sz w:val="18"/>
                <w:szCs w:val="18"/>
                <w:highlight w:val="none"/>
              </w:rPr>
            </w:pPr>
            <w:r>
              <w:rPr>
                <w:rFonts w:hint="eastAsia" w:ascii="宋体" w:hAnsi="宋体"/>
                <w:bCs/>
                <w:sz w:val="18"/>
                <w:szCs w:val="18"/>
                <w:highlight w:val="none"/>
              </w:rPr>
              <w:t>古树名木防雷应符合下列要求：</w:t>
            </w:r>
          </w:p>
          <w:p w14:paraId="45EE534E">
            <w:pPr>
              <w:adjustRightInd w:val="0"/>
              <w:snapToGrid w:val="0"/>
              <w:ind w:left="0"/>
              <w:rPr>
                <w:rFonts w:hint="eastAsia" w:ascii="宋体" w:hAnsi="宋体"/>
                <w:bCs/>
                <w:sz w:val="18"/>
                <w:szCs w:val="18"/>
                <w:highlight w:val="none"/>
              </w:rPr>
            </w:pPr>
            <w:r>
              <w:rPr>
                <w:rFonts w:hint="eastAsia" w:ascii="宋体" w:hAnsi="宋体"/>
                <w:bCs/>
                <w:sz w:val="18"/>
                <w:szCs w:val="18"/>
                <w:highlight w:val="none"/>
              </w:rPr>
              <w:t>a）有雷击隐患的古树名木，应及时安装防雷电保护装置；</w:t>
            </w:r>
          </w:p>
          <w:p w14:paraId="143C8485">
            <w:pPr>
              <w:adjustRightInd w:val="0"/>
              <w:snapToGrid w:val="0"/>
              <w:ind w:left="0"/>
              <w:rPr>
                <w:rFonts w:hint="eastAsia" w:ascii="宋体" w:hAnsi="宋体"/>
                <w:bCs/>
                <w:sz w:val="18"/>
                <w:szCs w:val="18"/>
                <w:highlight w:val="none"/>
              </w:rPr>
            </w:pPr>
            <w:r>
              <w:rPr>
                <w:rFonts w:hint="eastAsia" w:ascii="宋体" w:hAnsi="宋体"/>
                <w:bCs/>
                <w:sz w:val="18"/>
                <w:szCs w:val="18"/>
                <w:highlight w:val="none"/>
              </w:rPr>
              <w:t>b）树冠高于文物建筑的古树名木或树冠离建筑物距离小于2 m的高大树木，应采取防雷措施；</w:t>
            </w:r>
          </w:p>
          <w:p w14:paraId="20E81422">
            <w:pPr>
              <w:adjustRightInd w:val="0"/>
              <w:snapToGrid w:val="0"/>
              <w:ind w:left="0"/>
              <w:rPr>
                <w:rFonts w:hint="eastAsia" w:ascii="宋体" w:hAnsi="宋体"/>
                <w:bCs/>
                <w:sz w:val="18"/>
                <w:szCs w:val="18"/>
                <w:highlight w:val="none"/>
              </w:rPr>
            </w:pPr>
            <w:r>
              <w:rPr>
                <w:rFonts w:hint="eastAsia" w:ascii="宋体" w:hAnsi="宋体"/>
                <w:bCs/>
                <w:sz w:val="18"/>
                <w:szCs w:val="18"/>
                <w:highlight w:val="none"/>
              </w:rPr>
              <w:t>c）建筑物旁高大树木的防雷装置接地极应与建筑物防雷装置接地极可靠连通；</w:t>
            </w:r>
          </w:p>
          <w:p w14:paraId="03A57928">
            <w:pPr>
              <w:adjustRightInd w:val="0"/>
              <w:snapToGrid w:val="0"/>
              <w:ind w:left="0"/>
              <w:rPr>
                <w:rFonts w:hint="eastAsia" w:ascii="宋体" w:hAnsi="宋体"/>
                <w:bCs/>
                <w:sz w:val="18"/>
                <w:szCs w:val="18"/>
                <w:highlight w:val="none"/>
              </w:rPr>
            </w:pPr>
            <w:r>
              <w:rPr>
                <w:rFonts w:hint="eastAsia" w:ascii="宋体" w:hAnsi="宋体"/>
                <w:bCs/>
                <w:sz w:val="18"/>
                <w:szCs w:val="18"/>
                <w:highlight w:val="none"/>
                <w:lang w:val="en-US" w:eastAsia="zh-CN"/>
              </w:rPr>
              <w:t>d</w:t>
            </w:r>
            <w:r>
              <w:rPr>
                <w:rFonts w:hint="eastAsia" w:ascii="宋体" w:hAnsi="宋体"/>
                <w:bCs/>
                <w:sz w:val="18"/>
                <w:szCs w:val="18"/>
                <w:highlight w:val="none"/>
              </w:rPr>
              <w:t>）每根引下线的冲击接地电阻值应不大于10 Ω；</w:t>
            </w:r>
          </w:p>
          <w:p w14:paraId="47E862AD">
            <w:pPr>
              <w:adjustRightInd w:val="0"/>
              <w:snapToGrid w:val="0"/>
              <w:ind w:left="0"/>
              <w:rPr>
                <w:rFonts w:hint="eastAsia" w:ascii="宋体" w:hAnsi="宋体"/>
                <w:bCs/>
                <w:sz w:val="18"/>
                <w:szCs w:val="18"/>
                <w:highlight w:val="none"/>
              </w:rPr>
            </w:pPr>
            <w:r>
              <w:rPr>
                <w:rFonts w:hint="eastAsia" w:ascii="宋体" w:hAnsi="宋体"/>
                <w:bCs/>
                <w:sz w:val="18"/>
                <w:szCs w:val="18"/>
                <w:highlight w:val="none"/>
                <w:lang w:val="en-US" w:eastAsia="zh-CN"/>
              </w:rPr>
              <w:t>e</w:t>
            </w:r>
            <w:r>
              <w:rPr>
                <w:rFonts w:hint="eastAsia" w:ascii="宋体" w:hAnsi="宋体"/>
                <w:bCs/>
                <w:sz w:val="18"/>
                <w:szCs w:val="18"/>
                <w:highlight w:val="none"/>
              </w:rPr>
              <w:t>）沿树干敷设引下线时，断接卡应在距地面2.7 m处设置；</w:t>
            </w:r>
          </w:p>
          <w:p w14:paraId="0A799B06">
            <w:pPr>
              <w:adjustRightInd w:val="0"/>
              <w:snapToGrid w:val="0"/>
              <w:ind w:left="0"/>
              <w:rPr>
                <w:rFonts w:hint="eastAsia" w:ascii="宋体" w:hAnsi="宋体"/>
                <w:bCs/>
                <w:sz w:val="18"/>
                <w:szCs w:val="18"/>
                <w:highlight w:val="none"/>
              </w:rPr>
            </w:pPr>
            <w:r>
              <w:rPr>
                <w:rFonts w:hint="eastAsia" w:ascii="宋体" w:hAnsi="宋体"/>
                <w:bCs/>
                <w:sz w:val="18"/>
                <w:szCs w:val="18"/>
                <w:highlight w:val="none"/>
                <w:lang w:val="en-US" w:eastAsia="zh-CN"/>
              </w:rPr>
              <w:t>f</w:t>
            </w:r>
            <w:r>
              <w:rPr>
                <w:rFonts w:hint="eastAsia" w:ascii="宋体" w:hAnsi="宋体"/>
                <w:bCs/>
                <w:sz w:val="18"/>
                <w:szCs w:val="18"/>
                <w:highlight w:val="none"/>
              </w:rPr>
              <w:t>）引下线距地面2 m高度处，成120°三面设置防触电警示标志，独立避雷杆（塔）的基部应设置非金属材质封闭护栏，护栏高度不小于1.5 m，护栏大小向四外延伸不小于3 m；</w:t>
            </w:r>
          </w:p>
          <w:p w14:paraId="6D848B11">
            <w:pPr>
              <w:adjustRightInd w:val="0"/>
              <w:snapToGrid w:val="0"/>
              <w:ind w:left="0"/>
              <w:rPr>
                <w:rFonts w:hint="eastAsia" w:ascii="宋体" w:hAnsi="宋体"/>
                <w:bCs/>
                <w:sz w:val="18"/>
                <w:szCs w:val="18"/>
                <w:highlight w:val="none"/>
              </w:rPr>
            </w:pPr>
            <w:r>
              <w:rPr>
                <w:rFonts w:hint="eastAsia" w:ascii="宋体" w:hAnsi="宋体"/>
                <w:bCs/>
                <w:sz w:val="18"/>
                <w:szCs w:val="18"/>
                <w:highlight w:val="none"/>
                <w:lang w:val="en-US" w:eastAsia="zh-CN"/>
              </w:rPr>
              <w:t>g</w:t>
            </w:r>
            <w:r>
              <w:rPr>
                <w:rFonts w:hint="eastAsia" w:ascii="宋体" w:hAnsi="宋体"/>
                <w:bCs/>
                <w:sz w:val="18"/>
                <w:szCs w:val="18"/>
                <w:highlight w:val="none"/>
              </w:rPr>
              <w:t>）引下线与接闪器、接地装置的连接应可靠，采用铆接或焊接，在焊接处做防腐处理；</w:t>
            </w:r>
          </w:p>
          <w:p w14:paraId="0A8047C9">
            <w:pPr>
              <w:adjustRightInd w:val="0"/>
              <w:snapToGrid w:val="0"/>
              <w:jc w:val="left"/>
              <w:rPr>
                <w:rFonts w:hint="eastAsia" w:ascii="宋体" w:hAnsi="宋体" w:eastAsia="宋体"/>
                <w:bCs/>
                <w:sz w:val="18"/>
                <w:szCs w:val="18"/>
                <w:lang w:eastAsia="zh-CN"/>
              </w:rPr>
            </w:pPr>
            <w:r>
              <w:rPr>
                <w:rFonts w:hint="eastAsia" w:ascii="宋体" w:hAnsi="宋体"/>
                <w:bCs/>
                <w:sz w:val="18"/>
                <w:szCs w:val="18"/>
                <w:highlight w:val="none"/>
                <w:lang w:val="en-US" w:eastAsia="zh-CN"/>
              </w:rPr>
              <w:t>h</w:t>
            </w:r>
            <w:r>
              <w:rPr>
                <w:rFonts w:hint="eastAsia" w:ascii="宋体" w:hAnsi="宋体"/>
                <w:bCs/>
                <w:sz w:val="18"/>
                <w:szCs w:val="18"/>
                <w:highlight w:val="none"/>
              </w:rPr>
              <w:t>）引下线地面上2.7 m至地面下0.3 m接地线应采用绝缘保护管保护，保护管外表做树皮仿真并防积水处理</w:t>
            </w:r>
            <w:r>
              <w:rPr>
                <w:rFonts w:hint="eastAsia" w:ascii="宋体" w:hAnsi="宋体"/>
                <w:bCs/>
                <w:sz w:val="18"/>
                <w:szCs w:val="18"/>
                <w:lang w:eastAsia="zh-CN"/>
              </w:rPr>
              <w:t>。</w:t>
            </w:r>
          </w:p>
        </w:tc>
        <w:tc>
          <w:tcPr>
            <w:tcW w:w="713" w:type="dxa"/>
            <w:tcBorders>
              <w:top w:val="single" w:color="auto" w:sz="8" w:space="0"/>
              <w:bottom w:val="single" w:color="auto" w:sz="8" w:space="0"/>
            </w:tcBorders>
            <w:noWrap w:val="0"/>
            <w:vAlign w:val="center"/>
          </w:tcPr>
          <w:p w14:paraId="005F7630">
            <w:pPr>
              <w:adjustRightInd w:val="0"/>
              <w:snapToGrid w:val="0"/>
              <w:jc w:val="center"/>
              <w:rPr>
                <w:rFonts w:ascii="宋体" w:hAnsi="宋体"/>
                <w:bCs/>
                <w:sz w:val="18"/>
                <w:szCs w:val="18"/>
              </w:rPr>
            </w:pPr>
          </w:p>
        </w:tc>
        <w:tc>
          <w:tcPr>
            <w:tcW w:w="713" w:type="dxa"/>
            <w:tcBorders>
              <w:top w:val="single" w:color="auto" w:sz="8" w:space="0"/>
              <w:bottom w:val="single" w:color="auto" w:sz="8" w:space="0"/>
            </w:tcBorders>
            <w:noWrap w:val="0"/>
            <w:vAlign w:val="center"/>
          </w:tcPr>
          <w:p w14:paraId="3441B31A">
            <w:pPr>
              <w:adjustRightInd w:val="0"/>
              <w:snapToGrid w:val="0"/>
              <w:jc w:val="center"/>
              <w:rPr>
                <w:rFonts w:ascii="宋体" w:hAnsi="宋体"/>
                <w:bCs/>
                <w:sz w:val="18"/>
                <w:szCs w:val="18"/>
              </w:rPr>
            </w:pPr>
          </w:p>
        </w:tc>
        <w:tc>
          <w:tcPr>
            <w:tcW w:w="712" w:type="dxa"/>
            <w:tcBorders>
              <w:top w:val="single" w:color="auto" w:sz="8" w:space="0"/>
              <w:bottom w:val="single" w:color="auto" w:sz="8" w:space="0"/>
            </w:tcBorders>
            <w:noWrap w:val="0"/>
            <w:vAlign w:val="center"/>
          </w:tcPr>
          <w:p w14:paraId="63CDAFE0">
            <w:pPr>
              <w:adjustRightInd w:val="0"/>
              <w:snapToGrid w:val="0"/>
              <w:jc w:val="center"/>
              <w:rPr>
                <w:rFonts w:hint="eastAsia" w:ascii="宋体" w:hAnsi="宋体" w:eastAsia="宋体"/>
                <w:bCs/>
                <w:sz w:val="18"/>
                <w:szCs w:val="18"/>
                <w:lang w:val="en-US" w:eastAsia="zh-CN"/>
              </w:rPr>
            </w:pPr>
            <w:r>
              <w:rPr>
                <w:rFonts w:hint="eastAsia" w:ascii="宋体" w:hAnsi="宋体"/>
                <w:bCs/>
                <w:sz w:val="18"/>
                <w:szCs w:val="18"/>
                <w:lang w:val="en-US" w:eastAsia="zh-CN"/>
              </w:rPr>
              <w:t>3</w:t>
            </w:r>
          </w:p>
        </w:tc>
        <w:tc>
          <w:tcPr>
            <w:tcW w:w="2364" w:type="dxa"/>
            <w:tcBorders>
              <w:top w:val="single" w:color="auto" w:sz="8" w:space="0"/>
              <w:bottom w:val="single" w:color="auto" w:sz="8" w:space="0"/>
            </w:tcBorders>
            <w:noWrap w:val="0"/>
            <w:vAlign w:val="center"/>
          </w:tcPr>
          <w:p w14:paraId="67842A14">
            <w:pPr>
              <w:adjustRightInd w:val="0"/>
              <w:snapToGrid w:val="0"/>
              <w:jc w:val="left"/>
              <w:rPr>
                <w:rFonts w:hint="eastAsia" w:ascii="宋体" w:hAnsi="宋体"/>
                <w:kern w:val="0"/>
                <w:sz w:val="18"/>
                <w:szCs w:val="18"/>
              </w:rPr>
            </w:pPr>
            <w:r>
              <w:rPr>
                <w:rFonts w:hint="eastAsia" w:ascii="宋体" w:hAnsi="宋体"/>
                <w:kern w:val="0"/>
                <w:sz w:val="18"/>
                <w:szCs w:val="18"/>
              </w:rPr>
              <w:t>一处不符合扣</w:t>
            </w:r>
            <w:r>
              <w:rPr>
                <w:rFonts w:ascii="宋体" w:hAnsi="宋体"/>
                <w:kern w:val="0"/>
                <w:sz w:val="18"/>
                <w:szCs w:val="18"/>
              </w:rPr>
              <w:t>2</w:t>
            </w:r>
            <w:r>
              <w:rPr>
                <w:rFonts w:hint="eastAsia" w:ascii="宋体" w:hAnsi="宋体"/>
                <w:kern w:val="0"/>
                <w:sz w:val="18"/>
                <w:szCs w:val="18"/>
              </w:rPr>
              <w:t>分。</w:t>
            </w:r>
          </w:p>
        </w:tc>
        <w:tc>
          <w:tcPr>
            <w:tcW w:w="851" w:type="dxa"/>
            <w:tcBorders>
              <w:top w:val="single" w:color="auto" w:sz="8" w:space="0"/>
              <w:bottom w:val="single" w:color="auto" w:sz="8" w:space="0"/>
            </w:tcBorders>
            <w:noWrap w:val="0"/>
            <w:vAlign w:val="center"/>
          </w:tcPr>
          <w:p w14:paraId="058E026D">
            <w:pPr>
              <w:adjustRightInd w:val="0"/>
              <w:snapToGrid w:val="0"/>
              <w:jc w:val="center"/>
              <w:rPr>
                <w:rFonts w:ascii="宋体" w:hAnsi="宋体"/>
                <w:bCs/>
                <w:sz w:val="18"/>
                <w:szCs w:val="18"/>
              </w:rPr>
            </w:pPr>
          </w:p>
        </w:tc>
        <w:tc>
          <w:tcPr>
            <w:tcW w:w="1486" w:type="dxa"/>
            <w:tcBorders>
              <w:top w:val="single" w:color="auto" w:sz="8" w:space="0"/>
              <w:bottom w:val="single" w:color="auto" w:sz="8" w:space="0"/>
            </w:tcBorders>
            <w:noWrap w:val="0"/>
            <w:vAlign w:val="center"/>
          </w:tcPr>
          <w:p w14:paraId="5F3F7E5F">
            <w:pPr>
              <w:adjustRightInd w:val="0"/>
              <w:snapToGrid w:val="0"/>
              <w:jc w:val="center"/>
              <w:rPr>
                <w:rFonts w:ascii="宋体" w:hAnsi="宋体"/>
                <w:bCs/>
                <w:sz w:val="18"/>
                <w:szCs w:val="18"/>
              </w:rPr>
            </w:pPr>
          </w:p>
        </w:tc>
        <w:tc>
          <w:tcPr>
            <w:tcW w:w="1425" w:type="dxa"/>
            <w:tcBorders>
              <w:top w:val="single" w:color="auto" w:sz="8" w:space="0"/>
              <w:bottom w:val="single" w:color="auto" w:sz="8" w:space="0"/>
            </w:tcBorders>
            <w:noWrap w:val="0"/>
            <w:vAlign w:val="center"/>
          </w:tcPr>
          <w:p w14:paraId="5E3A520E">
            <w:pPr>
              <w:tabs>
                <w:tab w:val="center" w:pos="4201"/>
                <w:tab w:val="right" w:leader="dot" w:pos="9298"/>
              </w:tabs>
              <w:autoSpaceDE w:val="0"/>
              <w:autoSpaceDN w:val="0"/>
              <w:ind w:right="34"/>
              <w:jc w:val="center"/>
              <w:rPr>
                <w:rFonts w:hint="eastAsia" w:ascii="宋体" w:hAnsi="宋体" w:eastAsia="宋体"/>
                <w:sz w:val="18"/>
                <w:szCs w:val="18"/>
                <w:lang w:val="en-US" w:eastAsia="zh-CN"/>
              </w:rPr>
            </w:pPr>
            <w:r>
              <w:rPr>
                <w:rFonts w:hint="eastAsia" w:ascii="宋体" w:hAnsi="宋体"/>
                <w:sz w:val="18"/>
                <w:szCs w:val="18"/>
                <w:lang w:val="en-US" w:eastAsia="zh-CN"/>
              </w:rPr>
              <w:t>4</w:t>
            </w:r>
            <w:r>
              <w:rPr>
                <w:rFonts w:hint="eastAsia" w:ascii="宋体" w:hAnsi="宋体"/>
                <w:sz w:val="18"/>
                <w:szCs w:val="18"/>
                <w:lang w:eastAsia="zh-CN"/>
              </w:rPr>
              <w:t>.2.4</w:t>
            </w:r>
            <w:r>
              <w:rPr>
                <w:rFonts w:ascii="宋体" w:hAnsi="宋体"/>
                <w:sz w:val="18"/>
                <w:szCs w:val="18"/>
              </w:rPr>
              <w:t>.</w:t>
            </w:r>
            <w:r>
              <w:rPr>
                <w:rFonts w:hint="eastAsia" w:ascii="宋体" w:hAnsi="宋体"/>
                <w:sz w:val="18"/>
                <w:szCs w:val="18"/>
                <w:lang w:val="en-US" w:eastAsia="zh-CN"/>
              </w:rPr>
              <w:t>2</w:t>
            </w:r>
          </w:p>
        </w:tc>
      </w:tr>
      <w:tr w14:paraId="4FF429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2333CA97">
            <w:pPr>
              <w:adjustRightInd w:val="0"/>
              <w:snapToGrid w:val="0"/>
              <w:jc w:val="center"/>
              <w:rPr>
                <w:rFonts w:hint="eastAsia" w:ascii="宋体" w:hAnsi="宋体" w:eastAsia="宋体"/>
                <w:bCs/>
                <w:sz w:val="18"/>
                <w:szCs w:val="18"/>
                <w:lang w:eastAsia="zh-CN"/>
              </w:rPr>
            </w:pPr>
            <w:r>
              <w:rPr>
                <w:rFonts w:hint="eastAsia" w:ascii="宋体" w:hAnsi="宋体"/>
                <w:bCs/>
                <w:sz w:val="18"/>
                <w:szCs w:val="18"/>
              </w:rPr>
              <w:t>2.</w:t>
            </w:r>
            <w:r>
              <w:rPr>
                <w:rFonts w:hint="eastAsia" w:ascii="宋体" w:hAnsi="宋体"/>
                <w:bCs/>
                <w:sz w:val="18"/>
                <w:szCs w:val="18"/>
                <w:lang w:val="en-US" w:eastAsia="zh-CN"/>
              </w:rPr>
              <w:t>5</w:t>
            </w:r>
            <w:r>
              <w:rPr>
                <w:rFonts w:hint="eastAsia" w:ascii="宋体" w:hAnsi="宋体"/>
                <w:bCs/>
                <w:sz w:val="18"/>
                <w:szCs w:val="18"/>
              </w:rPr>
              <w:t>.</w:t>
            </w:r>
            <w:r>
              <w:rPr>
                <w:rFonts w:hint="eastAsia" w:ascii="宋体" w:hAnsi="宋体"/>
                <w:bCs/>
                <w:sz w:val="18"/>
                <w:szCs w:val="18"/>
                <w:lang w:val="en-US" w:eastAsia="zh-CN"/>
              </w:rPr>
              <w:t>3</w:t>
            </w:r>
          </w:p>
        </w:tc>
        <w:tc>
          <w:tcPr>
            <w:tcW w:w="6268" w:type="dxa"/>
            <w:tcBorders>
              <w:top w:val="single" w:color="auto" w:sz="8" w:space="0"/>
              <w:bottom w:val="single" w:color="auto" w:sz="8" w:space="0"/>
            </w:tcBorders>
            <w:noWrap w:val="0"/>
            <w:vAlign w:val="center"/>
          </w:tcPr>
          <w:p w14:paraId="22173A56">
            <w:pPr>
              <w:adjustRightInd w:val="0"/>
              <w:snapToGrid w:val="0"/>
              <w:jc w:val="left"/>
              <w:rPr>
                <w:rFonts w:ascii="宋体" w:hAnsi="宋体"/>
                <w:sz w:val="18"/>
                <w:szCs w:val="18"/>
              </w:rPr>
            </w:pPr>
            <w:r>
              <w:rPr>
                <w:rFonts w:hint="eastAsia" w:ascii="宋体" w:hAnsi="宋体"/>
                <w:bCs/>
                <w:sz w:val="18"/>
                <w:szCs w:val="18"/>
              </w:rPr>
              <w:t>每年应在雷雨季节前应由具有检测资质的机构对防雷装置进行检测</w:t>
            </w:r>
            <w:r>
              <w:rPr>
                <w:rFonts w:hint="eastAsia" w:ascii="宋体" w:hAnsi="宋体"/>
                <w:bCs/>
                <w:sz w:val="18"/>
                <w:szCs w:val="18"/>
                <w:lang w:eastAsia="zh-CN"/>
              </w:rPr>
              <w:t>，</w:t>
            </w:r>
            <w:r>
              <w:rPr>
                <w:rFonts w:hint="eastAsia" w:ascii="宋体" w:hAnsi="宋体"/>
                <w:bCs/>
                <w:sz w:val="18"/>
                <w:szCs w:val="18"/>
                <w:lang w:val="en-US" w:eastAsia="zh-CN"/>
              </w:rPr>
              <w:t>检测结果应符合要求</w:t>
            </w:r>
            <w:r>
              <w:rPr>
                <w:rFonts w:hint="eastAsia" w:ascii="宋体" w:hAnsi="宋体"/>
                <w:bCs/>
                <w:sz w:val="18"/>
                <w:szCs w:val="18"/>
              </w:rPr>
              <w:t>。</w:t>
            </w:r>
          </w:p>
        </w:tc>
        <w:tc>
          <w:tcPr>
            <w:tcW w:w="713" w:type="dxa"/>
            <w:tcBorders>
              <w:top w:val="single" w:color="auto" w:sz="8" w:space="0"/>
              <w:bottom w:val="single" w:color="auto" w:sz="8" w:space="0"/>
            </w:tcBorders>
            <w:noWrap w:val="0"/>
            <w:vAlign w:val="center"/>
          </w:tcPr>
          <w:p w14:paraId="7E6A58BB">
            <w:pPr>
              <w:adjustRightInd w:val="0"/>
              <w:snapToGrid w:val="0"/>
              <w:jc w:val="center"/>
              <w:rPr>
                <w:rFonts w:ascii="宋体" w:hAnsi="宋体"/>
                <w:bCs/>
                <w:sz w:val="18"/>
                <w:szCs w:val="18"/>
              </w:rPr>
            </w:pPr>
          </w:p>
        </w:tc>
        <w:tc>
          <w:tcPr>
            <w:tcW w:w="713" w:type="dxa"/>
            <w:tcBorders>
              <w:top w:val="single" w:color="auto" w:sz="8" w:space="0"/>
              <w:bottom w:val="single" w:color="auto" w:sz="8" w:space="0"/>
            </w:tcBorders>
            <w:noWrap w:val="0"/>
            <w:vAlign w:val="center"/>
          </w:tcPr>
          <w:p w14:paraId="7719559C">
            <w:pPr>
              <w:adjustRightInd w:val="0"/>
              <w:snapToGrid w:val="0"/>
              <w:jc w:val="center"/>
              <w:rPr>
                <w:rFonts w:ascii="宋体" w:hAnsi="宋体"/>
                <w:bCs/>
                <w:sz w:val="18"/>
                <w:szCs w:val="18"/>
              </w:rPr>
            </w:pPr>
          </w:p>
        </w:tc>
        <w:tc>
          <w:tcPr>
            <w:tcW w:w="712" w:type="dxa"/>
            <w:tcBorders>
              <w:top w:val="single" w:color="auto" w:sz="8" w:space="0"/>
              <w:bottom w:val="single" w:color="auto" w:sz="8" w:space="0"/>
            </w:tcBorders>
            <w:noWrap w:val="0"/>
            <w:vAlign w:val="center"/>
          </w:tcPr>
          <w:p w14:paraId="5B85F6F3">
            <w:pPr>
              <w:adjustRightInd w:val="0"/>
              <w:snapToGrid w:val="0"/>
              <w:jc w:val="center"/>
              <w:rPr>
                <w:rFonts w:hint="eastAsia" w:ascii="宋体" w:hAnsi="宋体"/>
                <w:bCs/>
                <w:sz w:val="18"/>
                <w:szCs w:val="18"/>
              </w:rPr>
            </w:pPr>
            <w:r>
              <w:rPr>
                <w:rFonts w:hint="eastAsia" w:ascii="宋体" w:hAnsi="宋体"/>
                <w:bCs/>
                <w:sz w:val="18"/>
                <w:szCs w:val="18"/>
              </w:rPr>
              <w:t>4</w:t>
            </w:r>
          </w:p>
        </w:tc>
        <w:tc>
          <w:tcPr>
            <w:tcW w:w="2364" w:type="dxa"/>
            <w:tcBorders>
              <w:top w:val="single" w:color="auto" w:sz="8" w:space="0"/>
              <w:bottom w:val="single" w:color="auto" w:sz="8" w:space="0"/>
            </w:tcBorders>
            <w:noWrap w:val="0"/>
            <w:vAlign w:val="center"/>
          </w:tcPr>
          <w:p w14:paraId="061A3142">
            <w:pPr>
              <w:adjustRightInd w:val="0"/>
              <w:snapToGrid w:val="0"/>
              <w:jc w:val="left"/>
              <w:rPr>
                <w:rFonts w:hint="eastAsia" w:ascii="宋体" w:hAnsi="宋体"/>
                <w:kern w:val="0"/>
                <w:sz w:val="18"/>
                <w:szCs w:val="18"/>
                <w:lang w:val="en-US" w:eastAsia="zh-CN"/>
              </w:rPr>
            </w:pPr>
            <w:r>
              <w:rPr>
                <w:rFonts w:hint="eastAsia" w:ascii="宋体" w:hAnsi="宋体"/>
                <w:kern w:val="0"/>
                <w:sz w:val="18"/>
                <w:szCs w:val="18"/>
                <w:lang w:val="en-US" w:eastAsia="zh-CN"/>
              </w:rPr>
              <w:t>1）未进行防雷检测的，不得分；</w:t>
            </w:r>
          </w:p>
          <w:p w14:paraId="4C39751E">
            <w:pPr>
              <w:adjustRightInd w:val="0"/>
              <w:snapToGrid w:val="0"/>
              <w:jc w:val="left"/>
              <w:rPr>
                <w:rFonts w:hint="eastAsia" w:ascii="宋体" w:hAnsi="宋体"/>
                <w:bCs/>
                <w:sz w:val="18"/>
                <w:szCs w:val="18"/>
              </w:rPr>
            </w:pPr>
            <w:r>
              <w:rPr>
                <w:rFonts w:hint="eastAsia" w:ascii="宋体" w:hAnsi="宋体"/>
                <w:kern w:val="0"/>
                <w:sz w:val="18"/>
                <w:szCs w:val="18"/>
                <w:lang w:val="en-US" w:eastAsia="zh-CN"/>
              </w:rPr>
              <w:t>2）检测结果未及时整改的，</w:t>
            </w:r>
            <w:r>
              <w:rPr>
                <w:rFonts w:hint="eastAsia" w:ascii="宋体" w:hAnsi="宋体"/>
                <w:kern w:val="0"/>
                <w:sz w:val="18"/>
                <w:szCs w:val="18"/>
              </w:rPr>
              <w:t>扣</w:t>
            </w:r>
            <w:r>
              <w:rPr>
                <w:rFonts w:ascii="宋体" w:hAnsi="宋体"/>
                <w:kern w:val="0"/>
                <w:sz w:val="18"/>
                <w:szCs w:val="18"/>
              </w:rPr>
              <w:t>2</w:t>
            </w:r>
            <w:r>
              <w:rPr>
                <w:rFonts w:hint="eastAsia" w:ascii="宋体" w:hAnsi="宋体"/>
                <w:kern w:val="0"/>
                <w:sz w:val="18"/>
                <w:szCs w:val="18"/>
              </w:rPr>
              <w:t>分。</w:t>
            </w:r>
          </w:p>
        </w:tc>
        <w:tc>
          <w:tcPr>
            <w:tcW w:w="851" w:type="dxa"/>
            <w:tcBorders>
              <w:top w:val="single" w:color="auto" w:sz="8" w:space="0"/>
              <w:bottom w:val="single" w:color="auto" w:sz="8" w:space="0"/>
            </w:tcBorders>
            <w:noWrap w:val="0"/>
            <w:vAlign w:val="center"/>
          </w:tcPr>
          <w:p w14:paraId="7FE16450">
            <w:pPr>
              <w:adjustRightInd w:val="0"/>
              <w:snapToGrid w:val="0"/>
              <w:jc w:val="center"/>
              <w:rPr>
                <w:rFonts w:ascii="宋体" w:hAnsi="宋体"/>
                <w:bCs/>
                <w:sz w:val="18"/>
                <w:szCs w:val="18"/>
              </w:rPr>
            </w:pPr>
          </w:p>
        </w:tc>
        <w:tc>
          <w:tcPr>
            <w:tcW w:w="1486" w:type="dxa"/>
            <w:tcBorders>
              <w:top w:val="single" w:color="auto" w:sz="8" w:space="0"/>
              <w:bottom w:val="single" w:color="auto" w:sz="8" w:space="0"/>
            </w:tcBorders>
            <w:noWrap w:val="0"/>
            <w:vAlign w:val="center"/>
          </w:tcPr>
          <w:p w14:paraId="46BF1929">
            <w:pPr>
              <w:adjustRightInd w:val="0"/>
              <w:snapToGrid w:val="0"/>
              <w:jc w:val="center"/>
              <w:rPr>
                <w:rFonts w:ascii="宋体" w:hAnsi="宋体"/>
                <w:bCs/>
                <w:sz w:val="18"/>
                <w:szCs w:val="18"/>
              </w:rPr>
            </w:pPr>
          </w:p>
        </w:tc>
        <w:tc>
          <w:tcPr>
            <w:tcW w:w="1425" w:type="dxa"/>
            <w:tcBorders>
              <w:top w:val="single" w:color="auto" w:sz="8" w:space="0"/>
              <w:bottom w:val="single" w:color="auto" w:sz="8" w:space="0"/>
            </w:tcBorders>
            <w:noWrap w:val="0"/>
            <w:vAlign w:val="center"/>
          </w:tcPr>
          <w:p w14:paraId="39952FD6">
            <w:pPr>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sz w:val="18"/>
                <w:szCs w:val="18"/>
                <w:lang w:val="en-US" w:eastAsia="zh-CN"/>
              </w:rPr>
              <w:t>4</w:t>
            </w:r>
            <w:r>
              <w:rPr>
                <w:rFonts w:hint="eastAsia" w:ascii="宋体" w:hAnsi="宋体"/>
                <w:sz w:val="18"/>
                <w:szCs w:val="18"/>
                <w:lang w:eastAsia="zh-CN"/>
              </w:rPr>
              <w:t>.2.4</w:t>
            </w:r>
            <w:r>
              <w:rPr>
                <w:rFonts w:ascii="宋体" w:hAnsi="宋体"/>
                <w:sz w:val="18"/>
                <w:szCs w:val="18"/>
              </w:rPr>
              <w:t>.</w:t>
            </w:r>
            <w:r>
              <w:rPr>
                <w:rFonts w:hint="eastAsia" w:ascii="宋体" w:hAnsi="宋体"/>
                <w:sz w:val="18"/>
                <w:szCs w:val="18"/>
                <w:lang w:val="en-US" w:eastAsia="zh-CN"/>
              </w:rPr>
              <w:t>3</w:t>
            </w:r>
          </w:p>
        </w:tc>
      </w:tr>
      <w:tr w14:paraId="7C5D935A">
        <w:tblPrEx>
          <w:tblBorders>
            <w:top w:val="single" w:color="auto" w:sz="8" w:space="0"/>
            <w:left w:val="single" w:color="auto" w:sz="8" w:space="0"/>
            <w:bottom w:val="single" w:color="auto" w:sz="4"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15353" w:type="dxa"/>
            <w:gridSpan w:val="9"/>
            <w:noWrap w:val="0"/>
            <w:vAlign w:val="center"/>
          </w:tcPr>
          <w:p w14:paraId="60E51B18">
            <w:pPr>
              <w:pStyle w:val="135"/>
              <w:rPr>
                <w:rFonts w:hint="eastAsia"/>
              </w:rPr>
            </w:pPr>
            <w:r>
              <w:rPr>
                <w:rFonts w:hint="eastAsia"/>
              </w:rPr>
              <w:t>二级否决条款用“★”予以标出。</w:t>
            </w:r>
          </w:p>
        </w:tc>
      </w:tr>
    </w:tbl>
    <w:p w14:paraId="33B7044B">
      <w:pPr>
        <w:pStyle w:val="174"/>
        <w:rPr>
          <w:rFonts w:hint="eastAsia"/>
        </w:rPr>
      </w:pPr>
      <w:bookmarkStart w:id="472" w:name="_Toc3038"/>
      <w:bookmarkEnd w:id="472"/>
      <w:bookmarkStart w:id="473" w:name="_Toc31517"/>
      <w:bookmarkEnd w:id="473"/>
    </w:p>
    <w:p w14:paraId="588CACC5">
      <w:pPr>
        <w:pStyle w:val="167"/>
        <w:numPr>
          <w:numId w:val="0"/>
        </w:numPr>
        <w:tabs>
          <w:tab w:val="clear" w:pos="0"/>
        </w:tabs>
        <w:ind w:left="0" w:leftChars="0" w:hanging="425" w:firstLineChars="0"/>
        <w:rPr>
          <w:rFonts w:hint="eastAsia"/>
        </w:rPr>
      </w:pPr>
      <w:bookmarkStart w:id="474" w:name="_Toc2665"/>
      <w:bookmarkStart w:id="475" w:name="_Toc29459"/>
      <w:r>
        <w:rPr>
          <w:rFonts w:hint="eastAsia" w:ascii="Times New Roman" w:hAnsi="Times New Roman" w:eastAsia="宋体" w:cs="Times New Roman"/>
          <w:color w:val="FFFFFF"/>
          <w:kern w:val="2"/>
          <w:sz w:val="21"/>
          <w:szCs w:val="24"/>
          <w:lang w:val="en-US" w:eastAsia="zh-CN" w:bidi="ar-SA"/>
        </w:rPr>
        <w:t>D</w:t>
      </w:r>
      <w:bookmarkEnd w:id="474"/>
      <w:bookmarkEnd w:id="475"/>
    </w:p>
    <w:p w14:paraId="541B1AF0">
      <w:pPr>
        <w:pStyle w:val="160"/>
        <w:rPr>
          <w:rFonts w:hint="eastAsia"/>
        </w:rPr>
      </w:pPr>
      <w:bookmarkStart w:id="476" w:name="_Toc31443"/>
      <w:bookmarkStart w:id="477" w:name="_Toc7073"/>
      <w:r>
        <w:br w:type="textWrapping"/>
      </w:r>
      <w:bookmarkStart w:id="478" w:name="_Toc482175057"/>
      <w:bookmarkStart w:id="479" w:name="_Toc498337279"/>
      <w:bookmarkStart w:id="480" w:name="_Toc498286355"/>
      <w:bookmarkStart w:id="481" w:name="_Toc498348144"/>
      <w:bookmarkStart w:id="482" w:name="_Toc484965503"/>
      <w:bookmarkStart w:id="483" w:name="_Toc482198496"/>
      <w:bookmarkStart w:id="484" w:name="_Toc498325684"/>
      <w:bookmarkStart w:id="485" w:name="_Toc482169117"/>
      <w:bookmarkStart w:id="486" w:name="_Toc484958279"/>
      <w:bookmarkStart w:id="487" w:name="_Toc482174151"/>
      <w:bookmarkStart w:id="488" w:name="_Toc482114505"/>
      <w:bookmarkStart w:id="489" w:name="_Toc482189184"/>
      <w:bookmarkStart w:id="490" w:name="_Toc484984812"/>
      <w:bookmarkStart w:id="491" w:name="_Toc486261040"/>
      <w:bookmarkStart w:id="492" w:name="_Toc504931850"/>
      <w:bookmarkStart w:id="493" w:name="_Toc504594725"/>
      <w:bookmarkStart w:id="494" w:name="_Toc482174635"/>
      <w:bookmarkStart w:id="495" w:name="_Toc482172339"/>
      <w:bookmarkStart w:id="496" w:name="_Toc482172280"/>
      <w:bookmarkStart w:id="497" w:name="_Toc484965773"/>
      <w:r>
        <w:rPr>
          <w:rFonts w:hint="eastAsia"/>
        </w:rPr>
        <w:t>（规范性附录）</w:t>
      </w:r>
      <w:r>
        <w:br w:type="textWrapping"/>
      </w:r>
      <w:r>
        <w:rPr>
          <w:rFonts w:hint="eastAsia"/>
        </w:rPr>
        <w:t>生产设备设施要素的安全生产等级评定细则</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2BC3076B">
      <w:pPr>
        <w:pStyle w:val="36"/>
        <w:ind w:firstLine="0" w:firstLineChars="0"/>
        <w:rPr>
          <w:rFonts w:hint="eastAsia"/>
        </w:rPr>
      </w:pPr>
      <w:r>
        <w:rPr>
          <w:rFonts w:hint="eastAsia" w:ascii="黑体" w:hAnsi="黑体" w:eastAsia="黑体"/>
        </w:rPr>
        <w:t xml:space="preserve">D.1  </w:t>
      </w:r>
      <w:r>
        <w:rPr>
          <w:rFonts w:hint="eastAsia" w:hAnsi="宋体"/>
        </w:rPr>
        <w:t>表D.1给出了生产设备设施要素的安全生产等级评定细则，总分为120分。</w:t>
      </w:r>
    </w:p>
    <w:p w14:paraId="233BC83C">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表D.1　</w:t>
      </w:r>
      <w:r>
        <w:rPr>
          <w:rFonts w:hint="eastAsia"/>
        </w:rPr>
        <w:t>生产设备设施要素的安全生产等级评定细则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6"/>
        <w:gridCol w:w="6301"/>
        <w:gridCol w:w="605"/>
        <w:gridCol w:w="599"/>
        <w:gridCol w:w="648"/>
        <w:gridCol w:w="3000"/>
        <w:gridCol w:w="599"/>
        <w:gridCol w:w="599"/>
        <w:gridCol w:w="2156"/>
      </w:tblGrid>
      <w:tr w14:paraId="3BAAE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8" w:space="0"/>
              <w:bottom w:val="single" w:color="auto" w:sz="8" w:space="0"/>
            </w:tcBorders>
            <w:noWrap w:val="0"/>
            <w:vAlign w:val="center"/>
          </w:tcPr>
          <w:p w14:paraId="4B559385">
            <w:pPr>
              <w:adjustRightInd w:val="0"/>
              <w:snapToGrid w:val="0"/>
              <w:jc w:val="center"/>
              <w:rPr>
                <w:rFonts w:ascii="宋体" w:hAnsi="宋体"/>
                <w:sz w:val="18"/>
                <w:szCs w:val="18"/>
              </w:rPr>
            </w:pPr>
            <w:r>
              <w:rPr>
                <w:rFonts w:ascii="宋体" w:hAnsi="宋体"/>
                <w:bCs/>
                <w:sz w:val="18"/>
                <w:szCs w:val="18"/>
              </w:rPr>
              <w:t>序号</w:t>
            </w:r>
          </w:p>
        </w:tc>
        <w:tc>
          <w:tcPr>
            <w:tcW w:w="6301" w:type="dxa"/>
            <w:tcBorders>
              <w:top w:val="single" w:color="auto" w:sz="8" w:space="0"/>
              <w:bottom w:val="single" w:color="auto" w:sz="8" w:space="0"/>
            </w:tcBorders>
            <w:noWrap w:val="0"/>
            <w:vAlign w:val="center"/>
          </w:tcPr>
          <w:p w14:paraId="4BD6B06E">
            <w:pPr>
              <w:adjustRightInd w:val="0"/>
              <w:snapToGrid w:val="0"/>
              <w:jc w:val="center"/>
              <w:rPr>
                <w:rFonts w:ascii="宋体" w:hAnsi="宋体"/>
                <w:sz w:val="18"/>
                <w:szCs w:val="18"/>
              </w:rPr>
            </w:pPr>
            <w:r>
              <w:rPr>
                <w:rFonts w:ascii="宋体" w:hAnsi="宋体"/>
                <w:bCs/>
                <w:sz w:val="18"/>
                <w:szCs w:val="18"/>
              </w:rPr>
              <w:t>评定内容</w:t>
            </w:r>
          </w:p>
        </w:tc>
        <w:tc>
          <w:tcPr>
            <w:tcW w:w="605" w:type="dxa"/>
            <w:tcBorders>
              <w:top w:val="single" w:color="auto" w:sz="8" w:space="0"/>
              <w:bottom w:val="single" w:color="auto" w:sz="8" w:space="0"/>
            </w:tcBorders>
            <w:noWrap w:val="0"/>
            <w:vAlign w:val="center"/>
          </w:tcPr>
          <w:p w14:paraId="7F2E9940">
            <w:pPr>
              <w:adjustRightInd w:val="0"/>
              <w:snapToGrid w:val="0"/>
              <w:jc w:val="center"/>
              <w:rPr>
                <w:rFonts w:ascii="宋体" w:hAnsi="宋体"/>
                <w:sz w:val="18"/>
                <w:szCs w:val="18"/>
              </w:rPr>
            </w:pPr>
            <w:r>
              <w:rPr>
                <w:rFonts w:ascii="宋体" w:hAnsi="宋体"/>
                <w:bCs/>
                <w:sz w:val="18"/>
                <w:szCs w:val="18"/>
              </w:rPr>
              <w:t>评定要素分值</w:t>
            </w:r>
          </w:p>
        </w:tc>
        <w:tc>
          <w:tcPr>
            <w:tcW w:w="599" w:type="dxa"/>
            <w:tcBorders>
              <w:top w:val="single" w:color="auto" w:sz="8" w:space="0"/>
              <w:bottom w:val="single" w:color="auto" w:sz="8" w:space="0"/>
            </w:tcBorders>
            <w:noWrap w:val="0"/>
            <w:vAlign w:val="center"/>
          </w:tcPr>
          <w:p w14:paraId="0544E77E">
            <w:pPr>
              <w:adjustRightInd w:val="0"/>
              <w:snapToGrid w:val="0"/>
              <w:jc w:val="center"/>
              <w:rPr>
                <w:rFonts w:ascii="宋体" w:hAnsi="宋体"/>
                <w:sz w:val="18"/>
                <w:szCs w:val="18"/>
              </w:rPr>
            </w:pPr>
            <w:r>
              <w:rPr>
                <w:rFonts w:ascii="宋体" w:hAnsi="宋体"/>
                <w:bCs/>
                <w:sz w:val="18"/>
                <w:szCs w:val="18"/>
              </w:rPr>
              <w:t>评定细项分值</w:t>
            </w:r>
          </w:p>
        </w:tc>
        <w:tc>
          <w:tcPr>
            <w:tcW w:w="648" w:type="dxa"/>
            <w:tcBorders>
              <w:top w:val="single" w:color="auto" w:sz="8" w:space="0"/>
              <w:bottom w:val="single" w:color="auto" w:sz="8" w:space="0"/>
            </w:tcBorders>
            <w:noWrap w:val="0"/>
            <w:vAlign w:val="center"/>
          </w:tcPr>
          <w:p w14:paraId="52F6B7BD">
            <w:pPr>
              <w:adjustRightInd w:val="0"/>
              <w:snapToGrid w:val="0"/>
              <w:jc w:val="center"/>
              <w:rPr>
                <w:rFonts w:ascii="宋体" w:hAnsi="宋体"/>
                <w:sz w:val="18"/>
                <w:szCs w:val="18"/>
              </w:rPr>
            </w:pPr>
            <w:r>
              <w:rPr>
                <w:rFonts w:ascii="宋体" w:hAnsi="宋体"/>
                <w:bCs/>
                <w:sz w:val="18"/>
                <w:szCs w:val="18"/>
              </w:rPr>
              <w:t>评定条款分值</w:t>
            </w:r>
          </w:p>
        </w:tc>
        <w:tc>
          <w:tcPr>
            <w:tcW w:w="3000" w:type="dxa"/>
            <w:tcBorders>
              <w:top w:val="single" w:color="auto" w:sz="8" w:space="0"/>
              <w:bottom w:val="single" w:color="auto" w:sz="8" w:space="0"/>
            </w:tcBorders>
            <w:noWrap w:val="0"/>
            <w:vAlign w:val="center"/>
          </w:tcPr>
          <w:p w14:paraId="3B1584BE">
            <w:pPr>
              <w:adjustRightInd w:val="0"/>
              <w:snapToGrid w:val="0"/>
              <w:jc w:val="center"/>
              <w:rPr>
                <w:rFonts w:ascii="宋体" w:hAnsi="宋体"/>
                <w:sz w:val="18"/>
                <w:szCs w:val="18"/>
              </w:rPr>
            </w:pPr>
            <w:r>
              <w:rPr>
                <w:rFonts w:ascii="宋体" w:hAnsi="宋体"/>
                <w:bCs/>
                <w:sz w:val="18"/>
                <w:szCs w:val="18"/>
              </w:rPr>
              <w:t>评分标准</w:t>
            </w:r>
          </w:p>
        </w:tc>
        <w:tc>
          <w:tcPr>
            <w:tcW w:w="599" w:type="dxa"/>
            <w:tcBorders>
              <w:top w:val="single" w:color="auto" w:sz="8" w:space="0"/>
              <w:bottom w:val="single" w:color="auto" w:sz="8" w:space="0"/>
            </w:tcBorders>
            <w:noWrap w:val="0"/>
            <w:vAlign w:val="center"/>
          </w:tcPr>
          <w:p w14:paraId="7D1AE2E4">
            <w:pPr>
              <w:adjustRightInd w:val="0"/>
              <w:snapToGrid w:val="0"/>
              <w:jc w:val="center"/>
              <w:rPr>
                <w:rFonts w:ascii="宋体" w:hAnsi="宋体"/>
                <w:sz w:val="18"/>
                <w:szCs w:val="18"/>
              </w:rPr>
            </w:pPr>
            <w:r>
              <w:rPr>
                <w:rFonts w:ascii="宋体" w:hAnsi="宋体"/>
                <w:bCs/>
                <w:sz w:val="18"/>
                <w:szCs w:val="18"/>
              </w:rPr>
              <w:t>评定得分</w:t>
            </w:r>
          </w:p>
        </w:tc>
        <w:tc>
          <w:tcPr>
            <w:tcW w:w="599" w:type="dxa"/>
            <w:tcBorders>
              <w:top w:val="single" w:color="auto" w:sz="8" w:space="0"/>
              <w:bottom w:val="single" w:color="auto" w:sz="8" w:space="0"/>
            </w:tcBorders>
            <w:noWrap w:val="0"/>
            <w:vAlign w:val="center"/>
          </w:tcPr>
          <w:p w14:paraId="175758E9">
            <w:pPr>
              <w:adjustRightInd w:val="0"/>
              <w:snapToGrid w:val="0"/>
              <w:jc w:val="center"/>
              <w:rPr>
                <w:rFonts w:ascii="宋体" w:hAnsi="宋体"/>
                <w:sz w:val="18"/>
                <w:szCs w:val="18"/>
              </w:rPr>
            </w:pPr>
            <w:r>
              <w:rPr>
                <w:rFonts w:ascii="宋体" w:hAnsi="宋体"/>
                <w:bCs/>
                <w:sz w:val="18"/>
                <w:szCs w:val="18"/>
              </w:rPr>
              <w:t>扣分说明</w:t>
            </w:r>
          </w:p>
        </w:tc>
        <w:tc>
          <w:tcPr>
            <w:tcW w:w="2156" w:type="dxa"/>
            <w:tcBorders>
              <w:top w:val="single" w:color="auto" w:sz="8" w:space="0"/>
              <w:bottom w:val="single" w:color="auto" w:sz="8" w:space="0"/>
            </w:tcBorders>
            <w:noWrap w:val="0"/>
            <w:vAlign w:val="center"/>
          </w:tcPr>
          <w:p w14:paraId="1150DA36">
            <w:pPr>
              <w:adjustRightInd w:val="0"/>
              <w:snapToGrid w:val="0"/>
              <w:jc w:val="center"/>
              <w:rPr>
                <w:rFonts w:ascii="宋体" w:hAnsi="宋体"/>
                <w:sz w:val="18"/>
                <w:szCs w:val="18"/>
              </w:rPr>
            </w:pPr>
            <w:r>
              <w:rPr>
                <w:rFonts w:ascii="宋体" w:hAnsi="宋体"/>
                <w:bCs/>
                <w:sz w:val="18"/>
                <w:szCs w:val="18"/>
              </w:rPr>
              <w:t>对应条款编号</w:t>
            </w:r>
          </w:p>
        </w:tc>
      </w:tr>
      <w:tr w14:paraId="2F709E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8" w:space="0"/>
              <w:bottom w:val="single" w:color="auto" w:sz="8" w:space="0"/>
            </w:tcBorders>
            <w:noWrap w:val="0"/>
            <w:vAlign w:val="center"/>
          </w:tcPr>
          <w:p w14:paraId="37F00BC1">
            <w:pPr>
              <w:adjustRightInd w:val="0"/>
              <w:snapToGrid w:val="0"/>
              <w:jc w:val="center"/>
              <w:rPr>
                <w:rFonts w:ascii="宋体" w:hAnsi="宋体"/>
                <w:bCs/>
                <w:sz w:val="18"/>
                <w:szCs w:val="18"/>
              </w:rPr>
            </w:pPr>
            <w:r>
              <w:rPr>
                <w:rFonts w:hint="eastAsia" w:ascii="宋体" w:hAnsi="宋体"/>
                <w:sz w:val="18"/>
                <w:szCs w:val="18"/>
              </w:rPr>
              <w:t>3</w:t>
            </w:r>
          </w:p>
        </w:tc>
        <w:tc>
          <w:tcPr>
            <w:tcW w:w="6301" w:type="dxa"/>
            <w:tcBorders>
              <w:top w:val="single" w:color="auto" w:sz="8" w:space="0"/>
              <w:bottom w:val="single" w:color="auto" w:sz="8" w:space="0"/>
            </w:tcBorders>
            <w:noWrap w:val="0"/>
            <w:vAlign w:val="center"/>
          </w:tcPr>
          <w:p w14:paraId="237B9556">
            <w:pPr>
              <w:adjustRightInd w:val="0"/>
              <w:snapToGrid w:val="0"/>
              <w:jc w:val="left"/>
              <w:rPr>
                <w:rFonts w:ascii="宋体" w:hAnsi="宋体"/>
                <w:bCs/>
                <w:sz w:val="18"/>
                <w:szCs w:val="18"/>
              </w:rPr>
            </w:pPr>
            <w:r>
              <w:rPr>
                <w:rFonts w:hint="eastAsia" w:ascii="宋体" w:hAnsi="宋体"/>
                <w:bCs/>
                <w:sz w:val="18"/>
                <w:szCs w:val="18"/>
              </w:rPr>
              <w:t>生产设备设施</w:t>
            </w:r>
          </w:p>
        </w:tc>
        <w:tc>
          <w:tcPr>
            <w:tcW w:w="605" w:type="dxa"/>
            <w:tcBorders>
              <w:top w:val="single" w:color="auto" w:sz="8" w:space="0"/>
              <w:bottom w:val="single" w:color="auto" w:sz="8" w:space="0"/>
            </w:tcBorders>
            <w:noWrap w:val="0"/>
            <w:vAlign w:val="center"/>
          </w:tcPr>
          <w:p w14:paraId="03FB277C">
            <w:pPr>
              <w:adjustRightInd w:val="0"/>
              <w:snapToGrid w:val="0"/>
              <w:jc w:val="center"/>
              <w:rPr>
                <w:rFonts w:ascii="宋体" w:hAnsi="宋体"/>
                <w:bCs/>
                <w:sz w:val="18"/>
                <w:szCs w:val="18"/>
              </w:rPr>
            </w:pPr>
            <w:r>
              <w:rPr>
                <w:rFonts w:hint="eastAsia" w:ascii="宋体" w:hAnsi="宋体"/>
                <w:bCs/>
                <w:sz w:val="18"/>
                <w:szCs w:val="18"/>
              </w:rPr>
              <w:t>120</w:t>
            </w:r>
          </w:p>
        </w:tc>
        <w:tc>
          <w:tcPr>
            <w:tcW w:w="599" w:type="dxa"/>
            <w:tcBorders>
              <w:top w:val="single" w:color="auto" w:sz="8" w:space="0"/>
              <w:bottom w:val="single" w:color="auto" w:sz="8" w:space="0"/>
            </w:tcBorders>
            <w:noWrap w:val="0"/>
            <w:vAlign w:val="center"/>
          </w:tcPr>
          <w:p w14:paraId="10A1B2E8">
            <w:pPr>
              <w:adjustRightInd w:val="0"/>
              <w:snapToGrid w:val="0"/>
              <w:jc w:val="center"/>
              <w:rPr>
                <w:rFonts w:ascii="宋体" w:hAnsi="宋体"/>
                <w:bCs/>
                <w:sz w:val="18"/>
                <w:szCs w:val="18"/>
              </w:rPr>
            </w:pPr>
          </w:p>
        </w:tc>
        <w:tc>
          <w:tcPr>
            <w:tcW w:w="648" w:type="dxa"/>
            <w:tcBorders>
              <w:top w:val="single" w:color="auto" w:sz="8" w:space="0"/>
              <w:bottom w:val="single" w:color="auto" w:sz="8" w:space="0"/>
            </w:tcBorders>
            <w:noWrap w:val="0"/>
            <w:vAlign w:val="center"/>
          </w:tcPr>
          <w:p w14:paraId="4275FE08">
            <w:pPr>
              <w:adjustRightInd w:val="0"/>
              <w:snapToGrid w:val="0"/>
              <w:jc w:val="center"/>
              <w:rPr>
                <w:rFonts w:ascii="宋体" w:hAnsi="宋体"/>
                <w:bCs/>
                <w:sz w:val="18"/>
                <w:szCs w:val="18"/>
              </w:rPr>
            </w:pPr>
          </w:p>
        </w:tc>
        <w:tc>
          <w:tcPr>
            <w:tcW w:w="3000" w:type="dxa"/>
            <w:tcBorders>
              <w:top w:val="single" w:color="auto" w:sz="8" w:space="0"/>
              <w:bottom w:val="single" w:color="auto" w:sz="8" w:space="0"/>
            </w:tcBorders>
            <w:noWrap w:val="0"/>
            <w:vAlign w:val="center"/>
          </w:tcPr>
          <w:p w14:paraId="37FC400C">
            <w:pPr>
              <w:adjustRightInd w:val="0"/>
              <w:snapToGrid w:val="0"/>
              <w:rPr>
                <w:rFonts w:ascii="宋体" w:hAnsi="宋体"/>
                <w:bCs/>
                <w:sz w:val="18"/>
                <w:szCs w:val="18"/>
              </w:rPr>
            </w:pPr>
          </w:p>
        </w:tc>
        <w:tc>
          <w:tcPr>
            <w:tcW w:w="599" w:type="dxa"/>
            <w:tcBorders>
              <w:top w:val="single" w:color="auto" w:sz="8" w:space="0"/>
              <w:bottom w:val="single" w:color="auto" w:sz="8" w:space="0"/>
            </w:tcBorders>
            <w:noWrap w:val="0"/>
            <w:vAlign w:val="center"/>
          </w:tcPr>
          <w:p w14:paraId="3FB98C1E">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754752AD">
            <w:pPr>
              <w:adjustRightInd w:val="0"/>
              <w:snapToGrid w:val="0"/>
              <w:jc w:val="center"/>
              <w:rPr>
                <w:rFonts w:ascii="宋体" w:hAnsi="宋体"/>
                <w:bCs/>
                <w:sz w:val="18"/>
                <w:szCs w:val="18"/>
              </w:rPr>
            </w:pPr>
          </w:p>
        </w:tc>
        <w:tc>
          <w:tcPr>
            <w:tcW w:w="2156" w:type="dxa"/>
            <w:tcBorders>
              <w:top w:val="single" w:color="auto" w:sz="8" w:space="0"/>
              <w:bottom w:val="single" w:color="auto" w:sz="8" w:space="0"/>
            </w:tcBorders>
            <w:noWrap w:val="0"/>
            <w:vAlign w:val="center"/>
          </w:tcPr>
          <w:p w14:paraId="641D14DC">
            <w:pPr>
              <w:adjustRightInd w:val="0"/>
              <w:snapToGrid w:val="0"/>
              <w:jc w:val="center"/>
              <w:rPr>
                <w:rFonts w:ascii="宋体" w:hAnsi="宋体"/>
                <w:bCs/>
                <w:sz w:val="18"/>
                <w:szCs w:val="18"/>
              </w:rPr>
            </w:pPr>
            <w:r>
              <w:rPr>
                <w:rFonts w:hint="eastAsia" w:ascii="宋体" w:hAnsi="宋体"/>
                <w:sz w:val="18"/>
                <w:szCs w:val="18"/>
                <w:lang w:val="en-US" w:eastAsia="zh-CN"/>
              </w:rPr>
              <w:t>4</w:t>
            </w:r>
            <w:r>
              <w:rPr>
                <w:rFonts w:hint="eastAsia" w:ascii="宋体" w:hAnsi="宋体"/>
                <w:sz w:val="18"/>
                <w:szCs w:val="18"/>
              </w:rPr>
              <w:t>.3</w:t>
            </w:r>
          </w:p>
        </w:tc>
      </w:tr>
      <w:tr w14:paraId="78A0D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46" w:type="dxa"/>
            <w:tcBorders>
              <w:top w:val="single" w:color="auto" w:sz="8" w:space="0"/>
            </w:tcBorders>
            <w:noWrap w:val="0"/>
            <w:vAlign w:val="center"/>
          </w:tcPr>
          <w:p w14:paraId="41CE3DB2">
            <w:pPr>
              <w:adjustRightInd w:val="0"/>
              <w:snapToGrid w:val="0"/>
              <w:jc w:val="center"/>
              <w:rPr>
                <w:rFonts w:ascii="宋体" w:hAnsi="宋体"/>
                <w:bCs/>
                <w:sz w:val="18"/>
                <w:szCs w:val="18"/>
              </w:rPr>
            </w:pPr>
            <w:r>
              <w:rPr>
                <w:rFonts w:hint="eastAsia" w:ascii="宋体" w:hAnsi="宋体"/>
                <w:sz w:val="18"/>
                <w:szCs w:val="18"/>
              </w:rPr>
              <w:t>3</w:t>
            </w:r>
            <w:r>
              <w:rPr>
                <w:rFonts w:ascii="宋体" w:hAnsi="宋体"/>
                <w:sz w:val="18"/>
                <w:szCs w:val="18"/>
              </w:rPr>
              <w:t>.1</w:t>
            </w:r>
          </w:p>
        </w:tc>
        <w:tc>
          <w:tcPr>
            <w:tcW w:w="6301" w:type="dxa"/>
            <w:tcBorders>
              <w:top w:val="single" w:color="auto" w:sz="8" w:space="0"/>
            </w:tcBorders>
            <w:noWrap w:val="0"/>
            <w:vAlign w:val="center"/>
          </w:tcPr>
          <w:p w14:paraId="486B5008">
            <w:pPr>
              <w:adjustRightInd w:val="0"/>
              <w:snapToGrid w:val="0"/>
              <w:rPr>
                <w:rFonts w:ascii="宋体" w:hAnsi="宋体"/>
                <w:bCs/>
                <w:sz w:val="18"/>
                <w:szCs w:val="18"/>
              </w:rPr>
            </w:pPr>
            <w:r>
              <w:rPr>
                <w:rFonts w:hint="eastAsia" w:ascii="宋体" w:hAnsi="宋体"/>
                <w:bCs/>
                <w:sz w:val="18"/>
                <w:szCs w:val="18"/>
              </w:rPr>
              <w:t>一般要求</w:t>
            </w:r>
          </w:p>
        </w:tc>
        <w:tc>
          <w:tcPr>
            <w:tcW w:w="605" w:type="dxa"/>
            <w:tcBorders>
              <w:top w:val="single" w:color="auto" w:sz="8" w:space="0"/>
            </w:tcBorders>
            <w:noWrap w:val="0"/>
            <w:vAlign w:val="center"/>
          </w:tcPr>
          <w:p w14:paraId="13D5574A">
            <w:pPr>
              <w:adjustRightInd w:val="0"/>
              <w:snapToGrid w:val="0"/>
              <w:jc w:val="center"/>
              <w:rPr>
                <w:rFonts w:ascii="宋体" w:hAnsi="宋体"/>
                <w:bCs/>
                <w:sz w:val="18"/>
                <w:szCs w:val="18"/>
              </w:rPr>
            </w:pPr>
          </w:p>
        </w:tc>
        <w:tc>
          <w:tcPr>
            <w:tcW w:w="599" w:type="dxa"/>
            <w:tcBorders>
              <w:top w:val="single" w:color="auto" w:sz="8" w:space="0"/>
            </w:tcBorders>
            <w:noWrap w:val="0"/>
            <w:vAlign w:val="center"/>
          </w:tcPr>
          <w:p w14:paraId="7642D7C0">
            <w:pPr>
              <w:adjustRightInd w:val="0"/>
              <w:snapToGrid w:val="0"/>
              <w:jc w:val="center"/>
              <w:rPr>
                <w:rFonts w:hint="default" w:ascii="宋体" w:hAnsi="宋体" w:eastAsia="宋体"/>
                <w:bCs/>
                <w:sz w:val="18"/>
                <w:szCs w:val="18"/>
                <w:lang w:val="en-US" w:eastAsia="zh-CN"/>
              </w:rPr>
            </w:pPr>
            <w:r>
              <w:rPr>
                <w:rFonts w:hint="eastAsia" w:ascii="宋体" w:hAnsi="宋体"/>
                <w:bCs/>
                <w:sz w:val="18"/>
                <w:szCs w:val="18"/>
                <w:lang w:val="en-US" w:eastAsia="zh-CN"/>
              </w:rPr>
              <w:t>20</w:t>
            </w:r>
          </w:p>
        </w:tc>
        <w:tc>
          <w:tcPr>
            <w:tcW w:w="648" w:type="dxa"/>
            <w:tcBorders>
              <w:top w:val="single" w:color="auto" w:sz="8" w:space="0"/>
            </w:tcBorders>
            <w:noWrap w:val="0"/>
            <w:vAlign w:val="center"/>
          </w:tcPr>
          <w:p w14:paraId="4B6E7C2D">
            <w:pPr>
              <w:adjustRightInd w:val="0"/>
              <w:snapToGrid w:val="0"/>
              <w:jc w:val="center"/>
              <w:rPr>
                <w:rFonts w:ascii="宋体" w:hAnsi="宋体"/>
                <w:bCs/>
                <w:sz w:val="18"/>
                <w:szCs w:val="18"/>
              </w:rPr>
            </w:pPr>
          </w:p>
        </w:tc>
        <w:tc>
          <w:tcPr>
            <w:tcW w:w="3000" w:type="dxa"/>
            <w:tcBorders>
              <w:top w:val="single" w:color="auto" w:sz="8" w:space="0"/>
            </w:tcBorders>
            <w:noWrap w:val="0"/>
            <w:vAlign w:val="center"/>
          </w:tcPr>
          <w:p w14:paraId="5648539A">
            <w:pPr>
              <w:adjustRightInd w:val="0"/>
              <w:snapToGrid w:val="0"/>
              <w:rPr>
                <w:rFonts w:ascii="宋体" w:hAnsi="宋体"/>
                <w:bCs/>
                <w:sz w:val="18"/>
                <w:szCs w:val="18"/>
              </w:rPr>
            </w:pPr>
          </w:p>
        </w:tc>
        <w:tc>
          <w:tcPr>
            <w:tcW w:w="599" w:type="dxa"/>
            <w:tcBorders>
              <w:top w:val="single" w:color="auto" w:sz="8" w:space="0"/>
            </w:tcBorders>
            <w:noWrap w:val="0"/>
            <w:vAlign w:val="center"/>
          </w:tcPr>
          <w:p w14:paraId="1E92D455">
            <w:pPr>
              <w:adjustRightInd w:val="0"/>
              <w:snapToGrid w:val="0"/>
              <w:jc w:val="center"/>
              <w:rPr>
                <w:rFonts w:ascii="宋体" w:hAnsi="宋体"/>
                <w:bCs/>
                <w:sz w:val="18"/>
                <w:szCs w:val="18"/>
              </w:rPr>
            </w:pPr>
          </w:p>
        </w:tc>
        <w:tc>
          <w:tcPr>
            <w:tcW w:w="599" w:type="dxa"/>
            <w:tcBorders>
              <w:top w:val="single" w:color="auto" w:sz="8" w:space="0"/>
            </w:tcBorders>
            <w:noWrap w:val="0"/>
            <w:vAlign w:val="center"/>
          </w:tcPr>
          <w:p w14:paraId="1E8957FA">
            <w:pPr>
              <w:adjustRightInd w:val="0"/>
              <w:snapToGrid w:val="0"/>
              <w:jc w:val="center"/>
              <w:rPr>
                <w:rFonts w:ascii="宋体" w:hAnsi="宋体"/>
                <w:bCs/>
                <w:sz w:val="18"/>
                <w:szCs w:val="18"/>
              </w:rPr>
            </w:pPr>
          </w:p>
        </w:tc>
        <w:tc>
          <w:tcPr>
            <w:tcW w:w="2156" w:type="dxa"/>
            <w:tcBorders>
              <w:top w:val="single" w:color="auto" w:sz="8" w:space="0"/>
            </w:tcBorders>
            <w:noWrap w:val="0"/>
            <w:vAlign w:val="center"/>
          </w:tcPr>
          <w:p w14:paraId="12BB5437">
            <w:pPr>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sz w:val="18"/>
                <w:szCs w:val="18"/>
                <w:lang w:val="en-US" w:eastAsia="zh-CN"/>
              </w:rPr>
              <w:t>4</w:t>
            </w:r>
            <w:r>
              <w:rPr>
                <w:rFonts w:hint="eastAsia" w:ascii="宋体" w:hAnsi="宋体"/>
                <w:sz w:val="18"/>
                <w:szCs w:val="18"/>
              </w:rPr>
              <w:t>.3.</w:t>
            </w:r>
            <w:r>
              <w:rPr>
                <w:rFonts w:ascii="宋体" w:hAnsi="宋体"/>
                <w:sz w:val="18"/>
                <w:szCs w:val="18"/>
              </w:rPr>
              <w:t>1</w:t>
            </w:r>
          </w:p>
        </w:tc>
      </w:tr>
      <w:tr w14:paraId="710B16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46" w:type="dxa"/>
            <w:noWrap w:val="0"/>
            <w:vAlign w:val="center"/>
          </w:tcPr>
          <w:p w14:paraId="53FEF673">
            <w:pPr>
              <w:adjustRightInd w:val="0"/>
              <w:snapToGrid w:val="0"/>
              <w:jc w:val="center"/>
              <w:rPr>
                <w:rFonts w:hint="eastAsia" w:ascii="宋体" w:hAnsi="宋体" w:eastAsia="宋体"/>
                <w:sz w:val="18"/>
                <w:szCs w:val="18"/>
                <w:lang w:eastAsia="zh-CN"/>
              </w:rPr>
            </w:pPr>
            <w:r>
              <w:rPr>
                <w:rFonts w:hint="eastAsia" w:ascii="宋体" w:hAnsi="宋体"/>
                <w:sz w:val="18"/>
                <w:szCs w:val="18"/>
              </w:rPr>
              <w:t>3</w:t>
            </w:r>
            <w:r>
              <w:rPr>
                <w:rFonts w:ascii="宋体" w:hAnsi="宋体"/>
                <w:sz w:val="18"/>
                <w:szCs w:val="18"/>
              </w:rPr>
              <w:t>.1.</w:t>
            </w:r>
            <w:r>
              <w:rPr>
                <w:rFonts w:hint="eastAsia" w:ascii="宋体" w:hAnsi="宋体"/>
                <w:sz w:val="18"/>
                <w:szCs w:val="18"/>
                <w:lang w:val="en-US" w:eastAsia="zh-CN"/>
              </w:rPr>
              <w:t>1</w:t>
            </w:r>
          </w:p>
        </w:tc>
        <w:tc>
          <w:tcPr>
            <w:tcW w:w="6301" w:type="dxa"/>
            <w:tcBorders>
              <w:top w:val="single" w:color="auto" w:sz="8" w:space="0"/>
              <w:bottom w:val="single" w:color="auto" w:sz="8" w:space="0"/>
            </w:tcBorders>
            <w:noWrap w:val="0"/>
            <w:vAlign w:val="center"/>
          </w:tcPr>
          <w:p w14:paraId="59586887">
            <w:pPr>
              <w:adjustRightInd w:val="0"/>
              <w:snapToGrid w:val="0"/>
              <w:jc w:val="left"/>
              <w:rPr>
                <w:rFonts w:ascii="宋体" w:hAnsi="宋体"/>
                <w:bCs/>
                <w:sz w:val="18"/>
                <w:szCs w:val="18"/>
              </w:rPr>
            </w:pPr>
            <w:r>
              <w:rPr>
                <w:rFonts w:hint="eastAsia" w:ascii="宋体" w:hAnsi="宋体"/>
                <w:bCs/>
                <w:sz w:val="18"/>
                <w:szCs w:val="18"/>
              </w:rPr>
              <w:t>钢直梯、钢斜梯应符合下列要求：</w:t>
            </w:r>
          </w:p>
          <w:p w14:paraId="00E857D1">
            <w:pPr>
              <w:adjustRightInd w:val="0"/>
              <w:snapToGrid w:val="0"/>
              <w:jc w:val="left"/>
              <w:rPr>
                <w:rFonts w:ascii="宋体" w:hAnsi="宋体"/>
                <w:bCs/>
                <w:sz w:val="18"/>
                <w:szCs w:val="18"/>
              </w:rPr>
            </w:pPr>
            <w:r>
              <w:rPr>
                <w:rFonts w:hint="eastAsia" w:ascii="宋体" w:hAnsi="宋体"/>
                <w:bCs/>
                <w:sz w:val="18"/>
                <w:szCs w:val="18"/>
              </w:rPr>
              <w:t>a）钢直梯踏棍的位置、距离、供踩踏表面的内侧净宽度等符合要求；梯段高度大于</w:t>
            </w:r>
            <w:r>
              <w:rPr>
                <w:rFonts w:ascii="宋体" w:hAnsi="宋体"/>
                <w:bCs/>
                <w:sz w:val="18"/>
                <w:szCs w:val="18"/>
              </w:rPr>
              <w:t>3 m</w:t>
            </w:r>
            <w:r>
              <w:rPr>
                <w:rFonts w:hint="eastAsia" w:ascii="宋体" w:hAnsi="宋体"/>
                <w:bCs/>
                <w:sz w:val="18"/>
                <w:szCs w:val="18"/>
              </w:rPr>
              <w:t>时，宜设置安全护笼；钢直梯单梯段高度大于</w:t>
            </w:r>
            <w:r>
              <w:rPr>
                <w:rFonts w:ascii="宋体" w:hAnsi="宋体"/>
                <w:bCs/>
                <w:sz w:val="18"/>
                <w:szCs w:val="18"/>
              </w:rPr>
              <w:t>7 m</w:t>
            </w:r>
            <w:r>
              <w:rPr>
                <w:rFonts w:hint="eastAsia" w:ascii="宋体" w:hAnsi="宋体"/>
                <w:bCs/>
                <w:sz w:val="18"/>
                <w:szCs w:val="18"/>
              </w:rPr>
              <w:t>时，应设置安全护笼；当攀登高度小于</w:t>
            </w:r>
            <w:r>
              <w:rPr>
                <w:rFonts w:ascii="宋体" w:hAnsi="宋体"/>
                <w:bCs/>
                <w:sz w:val="18"/>
                <w:szCs w:val="18"/>
              </w:rPr>
              <w:t>7 m</w:t>
            </w:r>
            <w:r>
              <w:rPr>
                <w:rFonts w:hint="eastAsia" w:ascii="宋体" w:hAnsi="宋体"/>
                <w:bCs/>
                <w:sz w:val="18"/>
                <w:szCs w:val="18"/>
              </w:rPr>
              <w:t>，但梯子顶部在地面、地板或屋顶之上高度大于</w:t>
            </w:r>
            <w:r>
              <w:rPr>
                <w:rFonts w:ascii="宋体" w:hAnsi="宋体"/>
                <w:bCs/>
                <w:sz w:val="18"/>
                <w:szCs w:val="18"/>
              </w:rPr>
              <w:t>7 m</w:t>
            </w:r>
            <w:r>
              <w:rPr>
                <w:rFonts w:hint="eastAsia" w:ascii="宋体" w:hAnsi="宋体"/>
                <w:bCs/>
                <w:sz w:val="18"/>
                <w:szCs w:val="18"/>
              </w:rPr>
              <w:t>时，也应设置安全护笼；</w:t>
            </w:r>
          </w:p>
          <w:p w14:paraId="24D3E427">
            <w:pPr>
              <w:adjustRightInd w:val="0"/>
              <w:snapToGrid w:val="0"/>
              <w:jc w:val="left"/>
              <w:rPr>
                <w:rFonts w:ascii="宋体" w:hAnsi="宋体"/>
                <w:bCs/>
                <w:sz w:val="18"/>
                <w:szCs w:val="18"/>
              </w:rPr>
            </w:pPr>
            <w:r>
              <w:rPr>
                <w:rFonts w:hint="eastAsia" w:ascii="宋体" w:hAnsi="宋体"/>
                <w:bCs/>
                <w:sz w:val="18"/>
                <w:szCs w:val="18"/>
              </w:rPr>
              <w:t>b）钢斜梯的扶手、中间栏杆、立柱等符合以下要求：梯宽不大于</w:t>
            </w:r>
            <w:r>
              <w:rPr>
                <w:rFonts w:ascii="宋体" w:hAnsi="宋体"/>
                <w:bCs/>
                <w:sz w:val="18"/>
                <w:szCs w:val="18"/>
              </w:rPr>
              <w:t>1100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：两侧封闭的斜梯，至少一侧装扶手；一侧敞开的斜梯，至少在敞开一侧装有扶手；两边敞开的斜梯，两侧均需装扶手；梯宽大于</w:t>
            </w:r>
            <w:r>
              <w:rPr>
                <w:rFonts w:ascii="宋体" w:hAnsi="宋体"/>
                <w:bCs/>
                <w:sz w:val="18"/>
                <w:szCs w:val="18"/>
              </w:rPr>
              <w:t>1100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，不大于</w:t>
            </w:r>
            <w:r>
              <w:rPr>
                <w:rFonts w:ascii="宋体" w:hAnsi="宋体"/>
                <w:bCs/>
                <w:sz w:val="18"/>
                <w:szCs w:val="18"/>
              </w:rPr>
              <w:t>2200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的斜梯，均需两侧装扶手；梯宽大于</w:t>
            </w:r>
            <w:r>
              <w:rPr>
                <w:rFonts w:ascii="宋体" w:hAnsi="宋体"/>
                <w:bCs/>
                <w:sz w:val="18"/>
                <w:szCs w:val="18"/>
              </w:rPr>
              <w:t>2200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，两侧应装扶手，梯子宽度中线处设置中间栏杆；梯子扶手中心线与梯子的倾角平行，封闭梯子扶手高度由踏板突缘到扶手上表面垂直距离不小于</w:t>
            </w:r>
            <w:r>
              <w:rPr>
                <w:rFonts w:ascii="宋体" w:hAnsi="宋体"/>
                <w:bCs/>
                <w:sz w:val="18"/>
                <w:szCs w:val="18"/>
              </w:rPr>
              <w:t>860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，不大于</w:t>
            </w:r>
            <w:r>
              <w:rPr>
                <w:rFonts w:ascii="宋体" w:hAnsi="宋体"/>
                <w:bCs/>
                <w:sz w:val="18"/>
                <w:szCs w:val="18"/>
              </w:rPr>
              <w:t>960</w:t>
            </w:r>
            <w:r>
              <w:rPr>
                <w:rFonts w:hint="eastAsia" w:ascii="宋体" w:hAnsi="宋体"/>
                <w:bCs/>
                <w:sz w:val="18"/>
                <w:szCs w:val="18"/>
              </w:rPr>
              <w:t xml:space="preserve"> </w:t>
            </w:r>
            <w:r>
              <w:rPr>
                <w:rFonts w:ascii="宋体" w:hAnsi="宋体"/>
                <w:bCs/>
                <w:sz w:val="18"/>
                <w:szCs w:val="18"/>
              </w:rPr>
              <w:t>mm</w:t>
            </w:r>
            <w:r>
              <w:rPr>
                <w:rFonts w:hint="eastAsia" w:ascii="宋体" w:hAnsi="宋体"/>
                <w:bCs/>
                <w:sz w:val="18"/>
                <w:szCs w:val="18"/>
              </w:rPr>
              <w:t>；敞开边扶手高度应符合走台、平台栏杆高度要求；</w:t>
            </w:r>
          </w:p>
          <w:p w14:paraId="257F3714">
            <w:pPr>
              <w:adjustRightInd w:val="0"/>
              <w:snapToGrid w:val="0"/>
              <w:jc w:val="left"/>
              <w:rPr>
                <w:rFonts w:ascii="宋体" w:hAnsi="宋体"/>
                <w:bCs/>
                <w:sz w:val="18"/>
                <w:szCs w:val="18"/>
              </w:rPr>
            </w:pPr>
            <w:r>
              <w:rPr>
                <w:rFonts w:hint="eastAsia" w:ascii="宋体" w:hAnsi="宋体"/>
                <w:bCs/>
                <w:sz w:val="18"/>
                <w:szCs w:val="18"/>
              </w:rPr>
              <w:t>c）钢斜梯踏板应采用花纹钢板或经防滑处理的钢板。</w:t>
            </w:r>
          </w:p>
        </w:tc>
        <w:tc>
          <w:tcPr>
            <w:tcW w:w="605" w:type="dxa"/>
            <w:tcBorders>
              <w:top w:val="single" w:color="auto" w:sz="8" w:space="0"/>
              <w:bottom w:val="single" w:color="auto" w:sz="8" w:space="0"/>
            </w:tcBorders>
            <w:noWrap w:val="0"/>
            <w:vAlign w:val="center"/>
          </w:tcPr>
          <w:p w14:paraId="1E4BBA11">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5B12D535">
            <w:pPr>
              <w:adjustRightInd w:val="0"/>
              <w:snapToGrid w:val="0"/>
              <w:jc w:val="center"/>
              <w:rPr>
                <w:rFonts w:ascii="宋体" w:hAnsi="宋体"/>
                <w:bCs/>
                <w:sz w:val="18"/>
                <w:szCs w:val="18"/>
              </w:rPr>
            </w:pPr>
          </w:p>
        </w:tc>
        <w:tc>
          <w:tcPr>
            <w:tcW w:w="648" w:type="dxa"/>
            <w:noWrap w:val="0"/>
            <w:vAlign w:val="center"/>
          </w:tcPr>
          <w:p w14:paraId="48FDD32E">
            <w:pPr>
              <w:adjustRightInd w:val="0"/>
              <w:snapToGrid w:val="0"/>
              <w:jc w:val="center"/>
              <w:rPr>
                <w:rFonts w:hint="eastAsia" w:ascii="宋体" w:hAnsi="宋体" w:eastAsia="宋体"/>
                <w:bCs/>
                <w:sz w:val="18"/>
                <w:szCs w:val="18"/>
                <w:lang w:eastAsia="zh-CN"/>
              </w:rPr>
            </w:pPr>
            <w:r>
              <w:rPr>
                <w:rFonts w:hint="eastAsia" w:ascii="宋体" w:hAnsi="宋体"/>
                <w:kern w:val="0"/>
                <w:sz w:val="18"/>
                <w:szCs w:val="18"/>
                <w:lang w:val="en-US" w:eastAsia="zh-CN"/>
              </w:rPr>
              <w:t>4</w:t>
            </w:r>
          </w:p>
        </w:tc>
        <w:tc>
          <w:tcPr>
            <w:tcW w:w="3000" w:type="dxa"/>
            <w:noWrap w:val="0"/>
            <w:vAlign w:val="center"/>
          </w:tcPr>
          <w:p w14:paraId="5F43CD41">
            <w:pPr>
              <w:adjustRightInd w:val="0"/>
              <w:snapToGrid w:val="0"/>
              <w:rPr>
                <w:rFonts w:ascii="宋体" w:hAnsi="宋体"/>
                <w:bCs/>
                <w:sz w:val="18"/>
                <w:szCs w:val="18"/>
              </w:rPr>
            </w:pPr>
            <w:r>
              <w:rPr>
                <w:rFonts w:hint="eastAsia" w:ascii="宋体" w:hAnsi="宋体"/>
                <w:kern w:val="0"/>
                <w:sz w:val="18"/>
                <w:szCs w:val="18"/>
              </w:rPr>
              <w:t>一处不符合扣</w:t>
            </w:r>
            <w:r>
              <w:rPr>
                <w:rFonts w:hint="eastAsia" w:ascii="宋体" w:hAnsi="宋体"/>
                <w:kern w:val="0"/>
                <w:sz w:val="18"/>
                <w:szCs w:val="18"/>
                <w:lang w:val="en-US" w:eastAsia="zh-CN"/>
              </w:rPr>
              <w:t>2</w:t>
            </w:r>
            <w:r>
              <w:rPr>
                <w:rFonts w:hint="eastAsia" w:ascii="宋体" w:hAnsi="宋体"/>
                <w:kern w:val="0"/>
                <w:sz w:val="18"/>
                <w:szCs w:val="18"/>
              </w:rPr>
              <w:t>分。</w:t>
            </w:r>
          </w:p>
        </w:tc>
        <w:tc>
          <w:tcPr>
            <w:tcW w:w="599" w:type="dxa"/>
            <w:tcBorders>
              <w:top w:val="single" w:color="auto" w:sz="8" w:space="0"/>
              <w:bottom w:val="single" w:color="auto" w:sz="8" w:space="0"/>
            </w:tcBorders>
            <w:noWrap w:val="0"/>
            <w:vAlign w:val="center"/>
          </w:tcPr>
          <w:p w14:paraId="625F9773">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481A0D15">
            <w:pPr>
              <w:adjustRightInd w:val="0"/>
              <w:snapToGrid w:val="0"/>
              <w:jc w:val="center"/>
              <w:rPr>
                <w:rFonts w:ascii="宋体" w:hAnsi="宋体"/>
                <w:bCs/>
                <w:sz w:val="18"/>
                <w:szCs w:val="18"/>
              </w:rPr>
            </w:pPr>
          </w:p>
        </w:tc>
        <w:tc>
          <w:tcPr>
            <w:tcW w:w="2156" w:type="dxa"/>
            <w:tcBorders>
              <w:top w:val="single" w:color="auto" w:sz="8" w:space="0"/>
              <w:bottom w:val="single" w:color="auto" w:sz="8" w:space="0"/>
            </w:tcBorders>
            <w:noWrap w:val="0"/>
            <w:vAlign w:val="center"/>
          </w:tcPr>
          <w:p w14:paraId="6B50B9AD">
            <w:pPr>
              <w:ind w:right="33" w:rightChars="16"/>
              <w:jc w:val="center"/>
              <w:rPr>
                <w:rFonts w:ascii="宋体" w:hAnsi="宋体"/>
                <w:sz w:val="18"/>
                <w:szCs w:val="18"/>
              </w:rPr>
            </w:pPr>
            <w:r>
              <w:rPr>
                <w:rFonts w:hint="eastAsia" w:ascii="宋体" w:hAnsi="宋体"/>
                <w:sz w:val="18"/>
                <w:szCs w:val="18"/>
                <w:lang w:val="en-US" w:eastAsia="zh-CN"/>
              </w:rPr>
              <w:t>4</w:t>
            </w:r>
            <w:r>
              <w:rPr>
                <w:rFonts w:hint="eastAsia" w:ascii="宋体" w:hAnsi="宋体"/>
                <w:sz w:val="18"/>
                <w:szCs w:val="18"/>
              </w:rPr>
              <w:t>.3.1.5</w:t>
            </w:r>
          </w:p>
        </w:tc>
      </w:tr>
      <w:tr w14:paraId="483259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46" w:type="dxa"/>
            <w:noWrap w:val="0"/>
            <w:vAlign w:val="center"/>
          </w:tcPr>
          <w:p w14:paraId="34657A70">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3</w:t>
            </w:r>
            <w:r>
              <w:rPr>
                <w:rFonts w:ascii="宋体" w:hAnsi="宋体"/>
                <w:sz w:val="18"/>
                <w:szCs w:val="18"/>
              </w:rPr>
              <w:t>.1.</w:t>
            </w:r>
            <w:r>
              <w:rPr>
                <w:rFonts w:hint="eastAsia" w:ascii="宋体" w:hAnsi="宋体"/>
                <w:sz w:val="18"/>
                <w:szCs w:val="18"/>
                <w:lang w:val="en-US" w:eastAsia="zh-CN"/>
              </w:rPr>
              <w:t>2</w:t>
            </w:r>
          </w:p>
        </w:tc>
        <w:tc>
          <w:tcPr>
            <w:tcW w:w="6301" w:type="dxa"/>
            <w:tcBorders>
              <w:top w:val="single" w:color="auto" w:sz="8" w:space="0"/>
            </w:tcBorders>
            <w:noWrap w:val="0"/>
            <w:vAlign w:val="center"/>
          </w:tcPr>
          <w:p w14:paraId="51E6D27B">
            <w:pPr>
              <w:adjustRightInd w:val="0"/>
              <w:snapToGrid w:val="0"/>
              <w:jc w:val="left"/>
              <w:rPr>
                <w:rFonts w:ascii="宋体" w:hAnsi="宋体"/>
                <w:bCs/>
                <w:sz w:val="18"/>
                <w:szCs w:val="18"/>
              </w:rPr>
            </w:pPr>
            <w:r>
              <w:rPr>
                <w:rFonts w:hint="eastAsia" w:ascii="宋体" w:hAnsi="宋体"/>
                <w:bCs/>
                <w:sz w:val="18"/>
                <w:szCs w:val="18"/>
              </w:rPr>
              <w:t>走台、平台应符合下列要求：</w:t>
            </w:r>
          </w:p>
          <w:p w14:paraId="2D08A5DB">
            <w:pPr>
              <w:adjustRightInd w:val="0"/>
              <w:snapToGrid w:val="0"/>
              <w:jc w:val="left"/>
              <w:rPr>
                <w:rFonts w:ascii="宋体" w:hAnsi="宋体"/>
                <w:bCs/>
                <w:sz w:val="18"/>
                <w:szCs w:val="18"/>
              </w:rPr>
            </w:pPr>
            <w:r>
              <w:rPr>
                <w:rFonts w:hint="eastAsia" w:ascii="宋体" w:hAnsi="宋体"/>
                <w:bCs/>
                <w:sz w:val="18"/>
                <w:szCs w:val="18"/>
              </w:rPr>
              <w:t>a）距下方相邻地板或地面</w:t>
            </w:r>
            <w:r>
              <w:rPr>
                <w:rFonts w:ascii="宋体" w:hAnsi="宋体"/>
                <w:bCs/>
                <w:sz w:val="18"/>
                <w:szCs w:val="18"/>
              </w:rPr>
              <w:t>1.2 m</w:t>
            </w:r>
            <w:r>
              <w:rPr>
                <w:rFonts w:hint="eastAsia" w:ascii="宋体" w:hAnsi="宋体"/>
                <w:bCs/>
                <w:sz w:val="18"/>
                <w:szCs w:val="18"/>
              </w:rPr>
              <w:t>及其以上的平台、通道或工作面的所有敞开边缘应设置防护栏杆；</w:t>
            </w:r>
          </w:p>
          <w:p w14:paraId="074E839B">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b）在平台、通道或工作面可能使用工具、机器部件或物品场合，应设置带踢脚板的防护栏杆；踢脚板顶部在平台地面之上高度应不小于</w:t>
            </w:r>
            <w:r>
              <w:rPr>
                <w:rFonts w:ascii="宋体" w:hAnsi="宋体"/>
                <w:bCs/>
                <w:sz w:val="18"/>
                <w:szCs w:val="18"/>
              </w:rPr>
              <w:t>100 mm</w:t>
            </w:r>
            <w:r>
              <w:rPr>
                <w:rFonts w:hint="eastAsia" w:ascii="宋体" w:hAnsi="宋体"/>
                <w:bCs/>
                <w:sz w:val="18"/>
                <w:szCs w:val="18"/>
              </w:rPr>
              <w:t>，其底部距</w:t>
            </w:r>
          </w:p>
        </w:tc>
        <w:tc>
          <w:tcPr>
            <w:tcW w:w="605" w:type="dxa"/>
            <w:tcBorders>
              <w:top w:val="single" w:color="auto" w:sz="8" w:space="0"/>
            </w:tcBorders>
            <w:noWrap w:val="0"/>
            <w:vAlign w:val="center"/>
          </w:tcPr>
          <w:p w14:paraId="220BE94E">
            <w:pPr>
              <w:adjustRightInd w:val="0"/>
              <w:snapToGrid w:val="0"/>
              <w:jc w:val="center"/>
              <w:rPr>
                <w:rFonts w:ascii="宋体" w:hAnsi="宋体" w:eastAsia="宋体" w:cs="Times New Roman"/>
                <w:bCs/>
                <w:kern w:val="2"/>
                <w:sz w:val="18"/>
                <w:szCs w:val="18"/>
                <w:lang w:val="en-US" w:eastAsia="zh-CN" w:bidi="ar-SA"/>
              </w:rPr>
            </w:pPr>
          </w:p>
        </w:tc>
        <w:tc>
          <w:tcPr>
            <w:tcW w:w="599" w:type="dxa"/>
            <w:tcBorders>
              <w:top w:val="single" w:color="auto" w:sz="8" w:space="0"/>
            </w:tcBorders>
            <w:noWrap w:val="0"/>
            <w:vAlign w:val="center"/>
          </w:tcPr>
          <w:p w14:paraId="1A08DDEC">
            <w:pPr>
              <w:adjustRightInd w:val="0"/>
              <w:snapToGrid w:val="0"/>
              <w:jc w:val="center"/>
              <w:rPr>
                <w:rFonts w:ascii="宋体" w:hAnsi="宋体" w:eastAsia="宋体" w:cs="Times New Roman"/>
                <w:bCs/>
                <w:kern w:val="2"/>
                <w:sz w:val="18"/>
                <w:szCs w:val="18"/>
                <w:lang w:val="en-US" w:eastAsia="zh-CN" w:bidi="ar-SA"/>
              </w:rPr>
            </w:pPr>
          </w:p>
        </w:tc>
        <w:tc>
          <w:tcPr>
            <w:tcW w:w="648" w:type="dxa"/>
            <w:noWrap w:val="0"/>
            <w:vAlign w:val="center"/>
          </w:tcPr>
          <w:p w14:paraId="5AA4D6E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lang w:val="en-US" w:eastAsia="zh-CN"/>
              </w:rPr>
              <w:t>4</w:t>
            </w:r>
          </w:p>
        </w:tc>
        <w:tc>
          <w:tcPr>
            <w:tcW w:w="3000" w:type="dxa"/>
            <w:noWrap w:val="0"/>
            <w:vAlign w:val="center"/>
          </w:tcPr>
          <w:p w14:paraId="2B132633">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599" w:type="dxa"/>
            <w:tcBorders>
              <w:top w:val="single" w:color="auto" w:sz="8" w:space="0"/>
            </w:tcBorders>
            <w:noWrap w:val="0"/>
            <w:vAlign w:val="center"/>
          </w:tcPr>
          <w:p w14:paraId="4D996BDD">
            <w:pPr>
              <w:adjustRightInd w:val="0"/>
              <w:snapToGrid w:val="0"/>
              <w:jc w:val="center"/>
              <w:rPr>
                <w:rFonts w:ascii="宋体" w:hAnsi="宋体" w:eastAsia="宋体" w:cs="Times New Roman"/>
                <w:bCs/>
                <w:kern w:val="2"/>
                <w:sz w:val="18"/>
                <w:szCs w:val="18"/>
                <w:lang w:val="en-US" w:eastAsia="zh-CN" w:bidi="ar-SA"/>
              </w:rPr>
            </w:pPr>
          </w:p>
        </w:tc>
        <w:tc>
          <w:tcPr>
            <w:tcW w:w="599" w:type="dxa"/>
            <w:tcBorders>
              <w:top w:val="single" w:color="auto" w:sz="8" w:space="0"/>
            </w:tcBorders>
            <w:noWrap w:val="0"/>
            <w:vAlign w:val="center"/>
          </w:tcPr>
          <w:p w14:paraId="12E2FEED">
            <w:pPr>
              <w:adjustRightInd w:val="0"/>
              <w:snapToGrid w:val="0"/>
              <w:jc w:val="center"/>
              <w:rPr>
                <w:rFonts w:ascii="宋体" w:hAnsi="宋体" w:eastAsia="宋体" w:cs="Times New Roman"/>
                <w:bCs/>
                <w:kern w:val="2"/>
                <w:sz w:val="18"/>
                <w:szCs w:val="18"/>
                <w:lang w:val="en-US" w:eastAsia="zh-CN" w:bidi="ar-SA"/>
              </w:rPr>
            </w:pPr>
          </w:p>
        </w:tc>
        <w:tc>
          <w:tcPr>
            <w:tcW w:w="2156" w:type="dxa"/>
            <w:tcBorders>
              <w:top w:val="single" w:color="auto" w:sz="8" w:space="0"/>
            </w:tcBorders>
            <w:noWrap w:val="0"/>
            <w:vAlign w:val="center"/>
          </w:tcPr>
          <w:p w14:paraId="6E0AABFB">
            <w:pPr>
              <w:adjustRightInd w:val="0"/>
              <w:snapToGrid w:val="0"/>
              <w:jc w:val="center"/>
              <w:rPr>
                <w:rFonts w:ascii="宋体" w:hAnsi="宋体" w:eastAsia="宋体" w:cs="Times New Roman"/>
                <w:bCs/>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.3.1.6</w:t>
            </w:r>
          </w:p>
        </w:tc>
      </w:tr>
    </w:tbl>
    <w:p w14:paraId="1F9A57A0">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1"/>
        <w:gridCol w:w="6279"/>
        <w:gridCol w:w="599"/>
        <w:gridCol w:w="599"/>
        <w:gridCol w:w="648"/>
        <w:gridCol w:w="3000"/>
        <w:gridCol w:w="599"/>
        <w:gridCol w:w="1259"/>
        <w:gridCol w:w="1489"/>
      </w:tblGrid>
      <w:tr w14:paraId="6AA0AA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511CC200">
            <w:pPr>
              <w:adjustRightInd w:val="0"/>
              <w:snapToGrid w:val="0"/>
              <w:jc w:val="center"/>
              <w:rPr>
                <w:rFonts w:ascii="宋体" w:hAnsi="宋体"/>
                <w:sz w:val="18"/>
                <w:szCs w:val="18"/>
              </w:rPr>
            </w:pPr>
            <w:r>
              <w:rPr>
                <w:rFonts w:ascii="宋体" w:hAnsi="宋体"/>
                <w:bCs/>
                <w:sz w:val="18"/>
                <w:szCs w:val="18"/>
              </w:rPr>
              <w:t>序号</w:t>
            </w:r>
          </w:p>
        </w:tc>
        <w:tc>
          <w:tcPr>
            <w:tcW w:w="6279" w:type="dxa"/>
            <w:tcBorders>
              <w:top w:val="single" w:color="auto" w:sz="8" w:space="0"/>
              <w:bottom w:val="single" w:color="auto" w:sz="8" w:space="0"/>
            </w:tcBorders>
            <w:noWrap w:val="0"/>
            <w:vAlign w:val="center"/>
          </w:tcPr>
          <w:p w14:paraId="2BDD5E00">
            <w:pPr>
              <w:adjustRightInd w:val="0"/>
              <w:snapToGrid w:val="0"/>
              <w:jc w:val="center"/>
              <w:rPr>
                <w:rFonts w:ascii="宋体" w:hAnsi="宋体"/>
                <w:sz w:val="18"/>
                <w:szCs w:val="18"/>
              </w:rPr>
            </w:pPr>
            <w:r>
              <w:rPr>
                <w:rFonts w:ascii="宋体" w:hAnsi="宋体"/>
                <w:bCs/>
                <w:sz w:val="18"/>
                <w:szCs w:val="18"/>
              </w:rPr>
              <w:t>评定内容</w:t>
            </w:r>
          </w:p>
        </w:tc>
        <w:tc>
          <w:tcPr>
            <w:tcW w:w="599" w:type="dxa"/>
            <w:tcBorders>
              <w:top w:val="single" w:color="auto" w:sz="8" w:space="0"/>
              <w:bottom w:val="single" w:color="auto" w:sz="8" w:space="0"/>
            </w:tcBorders>
            <w:noWrap w:val="0"/>
            <w:vAlign w:val="center"/>
          </w:tcPr>
          <w:p w14:paraId="64991F88">
            <w:pPr>
              <w:adjustRightInd w:val="0"/>
              <w:snapToGrid w:val="0"/>
              <w:jc w:val="center"/>
              <w:rPr>
                <w:rFonts w:ascii="宋体" w:hAnsi="宋体"/>
                <w:sz w:val="18"/>
                <w:szCs w:val="18"/>
              </w:rPr>
            </w:pPr>
            <w:r>
              <w:rPr>
                <w:rFonts w:ascii="宋体" w:hAnsi="宋体"/>
                <w:bCs/>
                <w:sz w:val="18"/>
                <w:szCs w:val="18"/>
              </w:rPr>
              <w:t>评定要素分值</w:t>
            </w:r>
          </w:p>
        </w:tc>
        <w:tc>
          <w:tcPr>
            <w:tcW w:w="599" w:type="dxa"/>
            <w:tcBorders>
              <w:top w:val="single" w:color="auto" w:sz="8" w:space="0"/>
              <w:bottom w:val="single" w:color="auto" w:sz="8" w:space="0"/>
            </w:tcBorders>
            <w:noWrap w:val="0"/>
            <w:vAlign w:val="center"/>
          </w:tcPr>
          <w:p w14:paraId="4EE79944">
            <w:pPr>
              <w:adjustRightInd w:val="0"/>
              <w:snapToGrid w:val="0"/>
              <w:jc w:val="center"/>
              <w:rPr>
                <w:rFonts w:ascii="宋体" w:hAnsi="宋体"/>
                <w:sz w:val="18"/>
                <w:szCs w:val="18"/>
              </w:rPr>
            </w:pPr>
            <w:r>
              <w:rPr>
                <w:rFonts w:ascii="宋体" w:hAnsi="宋体"/>
                <w:bCs/>
                <w:sz w:val="18"/>
                <w:szCs w:val="18"/>
              </w:rPr>
              <w:t>评定细项分值</w:t>
            </w:r>
          </w:p>
        </w:tc>
        <w:tc>
          <w:tcPr>
            <w:tcW w:w="648" w:type="dxa"/>
            <w:tcBorders>
              <w:top w:val="single" w:color="auto" w:sz="8" w:space="0"/>
              <w:bottom w:val="single" w:color="auto" w:sz="8" w:space="0"/>
            </w:tcBorders>
            <w:noWrap w:val="0"/>
            <w:vAlign w:val="center"/>
          </w:tcPr>
          <w:p w14:paraId="5E8D1D1D">
            <w:pPr>
              <w:adjustRightInd w:val="0"/>
              <w:snapToGrid w:val="0"/>
              <w:jc w:val="center"/>
              <w:rPr>
                <w:rFonts w:ascii="宋体" w:hAnsi="宋体"/>
                <w:sz w:val="18"/>
                <w:szCs w:val="18"/>
              </w:rPr>
            </w:pPr>
            <w:r>
              <w:rPr>
                <w:rFonts w:ascii="宋体" w:hAnsi="宋体"/>
                <w:bCs/>
                <w:sz w:val="18"/>
                <w:szCs w:val="18"/>
              </w:rPr>
              <w:t>评定条款分值</w:t>
            </w:r>
          </w:p>
        </w:tc>
        <w:tc>
          <w:tcPr>
            <w:tcW w:w="3000" w:type="dxa"/>
            <w:tcBorders>
              <w:top w:val="single" w:color="auto" w:sz="8" w:space="0"/>
              <w:bottom w:val="single" w:color="auto" w:sz="8" w:space="0"/>
            </w:tcBorders>
            <w:noWrap w:val="0"/>
            <w:vAlign w:val="center"/>
          </w:tcPr>
          <w:p w14:paraId="7B0AF768">
            <w:pPr>
              <w:adjustRightInd w:val="0"/>
              <w:snapToGrid w:val="0"/>
              <w:jc w:val="center"/>
              <w:rPr>
                <w:rFonts w:ascii="宋体" w:hAnsi="宋体"/>
                <w:sz w:val="18"/>
                <w:szCs w:val="18"/>
              </w:rPr>
            </w:pPr>
            <w:r>
              <w:rPr>
                <w:rFonts w:ascii="宋体" w:hAnsi="宋体"/>
                <w:bCs/>
                <w:sz w:val="18"/>
                <w:szCs w:val="18"/>
              </w:rPr>
              <w:t>评分标准</w:t>
            </w:r>
          </w:p>
        </w:tc>
        <w:tc>
          <w:tcPr>
            <w:tcW w:w="599" w:type="dxa"/>
            <w:tcBorders>
              <w:top w:val="single" w:color="auto" w:sz="8" w:space="0"/>
              <w:bottom w:val="single" w:color="auto" w:sz="8" w:space="0"/>
            </w:tcBorders>
            <w:noWrap w:val="0"/>
            <w:vAlign w:val="center"/>
          </w:tcPr>
          <w:p w14:paraId="4FC6F538">
            <w:pPr>
              <w:adjustRightInd w:val="0"/>
              <w:snapToGrid w:val="0"/>
              <w:jc w:val="center"/>
              <w:rPr>
                <w:rFonts w:ascii="宋体" w:hAnsi="宋体"/>
                <w:sz w:val="18"/>
                <w:szCs w:val="18"/>
              </w:rPr>
            </w:pPr>
            <w:r>
              <w:rPr>
                <w:rFonts w:ascii="宋体" w:hAnsi="宋体"/>
                <w:bCs/>
                <w:sz w:val="18"/>
                <w:szCs w:val="18"/>
              </w:rPr>
              <w:t>评定得分</w:t>
            </w:r>
          </w:p>
        </w:tc>
        <w:tc>
          <w:tcPr>
            <w:tcW w:w="1259" w:type="dxa"/>
            <w:tcBorders>
              <w:top w:val="single" w:color="auto" w:sz="8" w:space="0"/>
              <w:bottom w:val="single" w:color="auto" w:sz="8" w:space="0"/>
            </w:tcBorders>
            <w:noWrap w:val="0"/>
            <w:vAlign w:val="center"/>
          </w:tcPr>
          <w:p w14:paraId="574BE6C7">
            <w:pPr>
              <w:adjustRightInd w:val="0"/>
              <w:snapToGrid w:val="0"/>
              <w:jc w:val="center"/>
              <w:rPr>
                <w:rFonts w:ascii="宋体" w:hAnsi="宋体"/>
                <w:sz w:val="18"/>
                <w:szCs w:val="18"/>
              </w:rPr>
            </w:pPr>
            <w:r>
              <w:rPr>
                <w:rFonts w:ascii="宋体" w:hAnsi="宋体"/>
                <w:bCs/>
                <w:sz w:val="18"/>
                <w:szCs w:val="18"/>
              </w:rPr>
              <w:t>扣分说明</w:t>
            </w:r>
          </w:p>
        </w:tc>
        <w:tc>
          <w:tcPr>
            <w:tcW w:w="1489" w:type="dxa"/>
            <w:tcBorders>
              <w:top w:val="single" w:color="auto" w:sz="8" w:space="0"/>
              <w:bottom w:val="single" w:color="auto" w:sz="8" w:space="0"/>
            </w:tcBorders>
            <w:noWrap w:val="0"/>
            <w:vAlign w:val="center"/>
          </w:tcPr>
          <w:p w14:paraId="0995DED4">
            <w:pPr>
              <w:adjustRightInd w:val="0"/>
              <w:snapToGrid w:val="0"/>
              <w:jc w:val="center"/>
              <w:rPr>
                <w:rFonts w:ascii="宋体" w:hAnsi="宋体"/>
                <w:sz w:val="18"/>
                <w:szCs w:val="18"/>
              </w:rPr>
            </w:pPr>
            <w:r>
              <w:rPr>
                <w:rFonts w:ascii="宋体" w:hAnsi="宋体"/>
                <w:bCs/>
                <w:sz w:val="18"/>
                <w:szCs w:val="18"/>
              </w:rPr>
              <w:t>对应条款编号</w:t>
            </w:r>
          </w:p>
        </w:tc>
      </w:tr>
      <w:tr w14:paraId="6F4756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1C11D269">
            <w:pPr>
              <w:adjustRightInd w:val="0"/>
              <w:snapToGrid w:val="0"/>
              <w:jc w:val="center"/>
              <w:rPr>
                <w:rFonts w:ascii="宋体" w:hAnsi="宋体"/>
                <w:bCs/>
                <w:sz w:val="18"/>
                <w:szCs w:val="18"/>
              </w:rPr>
            </w:pPr>
          </w:p>
        </w:tc>
        <w:tc>
          <w:tcPr>
            <w:tcW w:w="6279" w:type="dxa"/>
            <w:tcBorders>
              <w:top w:val="single" w:color="auto" w:sz="8" w:space="0"/>
              <w:bottom w:val="single" w:color="auto" w:sz="8" w:space="0"/>
            </w:tcBorders>
            <w:noWrap w:val="0"/>
            <w:vAlign w:val="center"/>
          </w:tcPr>
          <w:p w14:paraId="59799AF5">
            <w:pPr>
              <w:adjustRightInd w:val="0"/>
              <w:snapToGrid w:val="0"/>
              <w:jc w:val="left"/>
              <w:rPr>
                <w:rFonts w:ascii="宋体" w:hAnsi="宋体"/>
                <w:bCs/>
                <w:sz w:val="18"/>
                <w:szCs w:val="18"/>
              </w:rPr>
            </w:pPr>
            <w:r>
              <w:rPr>
                <w:rFonts w:hint="eastAsia" w:ascii="宋体" w:hAnsi="宋体"/>
                <w:bCs/>
                <w:sz w:val="18"/>
                <w:szCs w:val="18"/>
              </w:rPr>
              <w:t>地面应不大于</w:t>
            </w:r>
            <w:r>
              <w:rPr>
                <w:rFonts w:ascii="宋体" w:hAnsi="宋体"/>
                <w:bCs/>
                <w:sz w:val="18"/>
                <w:szCs w:val="18"/>
              </w:rPr>
              <w:t>10 mm</w:t>
            </w:r>
            <w:r>
              <w:rPr>
                <w:rFonts w:hint="eastAsia" w:ascii="宋体" w:hAnsi="宋体"/>
                <w:bCs/>
                <w:sz w:val="18"/>
                <w:szCs w:val="18"/>
              </w:rPr>
              <w:t>；</w:t>
            </w:r>
          </w:p>
          <w:p w14:paraId="7669D8A8">
            <w:pPr>
              <w:adjustRightInd w:val="0"/>
              <w:snapToGrid w:val="0"/>
              <w:jc w:val="left"/>
              <w:rPr>
                <w:rFonts w:ascii="宋体" w:hAnsi="宋体"/>
                <w:bCs/>
                <w:sz w:val="18"/>
                <w:szCs w:val="18"/>
              </w:rPr>
            </w:pPr>
            <w:r>
              <w:rPr>
                <w:rFonts w:hint="eastAsia" w:ascii="宋体" w:hAnsi="宋体"/>
                <w:bCs/>
                <w:sz w:val="18"/>
                <w:szCs w:val="18"/>
              </w:rPr>
              <w:t>c）平台、通道的防护栏杆端部应设置立柱，立柱间距应不大于</w:t>
            </w:r>
            <w:r>
              <w:rPr>
                <w:rFonts w:ascii="宋体" w:hAnsi="宋体"/>
                <w:bCs/>
                <w:sz w:val="18"/>
                <w:szCs w:val="18"/>
              </w:rPr>
              <w:t>1 m</w:t>
            </w:r>
            <w:r>
              <w:rPr>
                <w:rFonts w:hint="eastAsia" w:ascii="宋体" w:hAnsi="宋体"/>
                <w:bCs/>
                <w:sz w:val="18"/>
                <w:szCs w:val="18"/>
              </w:rPr>
              <w:t>；在扶手与踢脚板之间应至少设置一道中间栏杆，其与上、下方构件的空隙间距应不大于</w:t>
            </w:r>
            <w:r>
              <w:rPr>
                <w:rFonts w:ascii="宋体" w:hAnsi="宋体"/>
                <w:bCs/>
                <w:sz w:val="18"/>
                <w:szCs w:val="18"/>
              </w:rPr>
              <w:t>500 mm</w:t>
            </w:r>
            <w:r>
              <w:rPr>
                <w:rFonts w:hint="eastAsia" w:ascii="宋体" w:hAnsi="宋体"/>
                <w:bCs/>
                <w:sz w:val="18"/>
                <w:szCs w:val="18"/>
              </w:rPr>
              <w:t>；</w:t>
            </w:r>
          </w:p>
          <w:p w14:paraId="42953699">
            <w:pPr>
              <w:adjustRightInd w:val="0"/>
              <w:snapToGrid w:val="0"/>
              <w:rPr>
                <w:rFonts w:hint="eastAsia" w:ascii="宋体" w:hAnsi="宋体"/>
                <w:bCs/>
                <w:sz w:val="18"/>
                <w:szCs w:val="18"/>
              </w:rPr>
            </w:pPr>
            <w:r>
              <w:rPr>
                <w:rFonts w:hint="eastAsia" w:ascii="宋体" w:hAnsi="宋体"/>
                <w:bCs/>
                <w:sz w:val="18"/>
                <w:szCs w:val="18"/>
              </w:rPr>
              <w:t>d）当平台距基准面高度小于</w:t>
            </w:r>
            <w:r>
              <w:rPr>
                <w:rFonts w:ascii="宋体" w:hAnsi="宋体"/>
                <w:bCs/>
                <w:sz w:val="18"/>
                <w:szCs w:val="18"/>
              </w:rPr>
              <w:t>2 m</w:t>
            </w:r>
            <w:r>
              <w:rPr>
                <w:rFonts w:hint="eastAsia" w:ascii="宋体" w:hAnsi="宋体"/>
                <w:bCs/>
                <w:sz w:val="18"/>
                <w:szCs w:val="18"/>
              </w:rPr>
              <w:t>时，防护栏杆高度应不低于</w:t>
            </w:r>
            <w:r>
              <w:rPr>
                <w:rFonts w:ascii="宋体" w:hAnsi="宋体"/>
                <w:bCs/>
                <w:sz w:val="18"/>
                <w:szCs w:val="18"/>
              </w:rPr>
              <w:t>900 mm</w:t>
            </w:r>
            <w:r>
              <w:rPr>
                <w:rFonts w:hint="eastAsia" w:ascii="宋体" w:hAnsi="宋体"/>
                <w:bCs/>
                <w:sz w:val="18"/>
                <w:szCs w:val="18"/>
              </w:rPr>
              <w:t>；距基准面高度大于等于</w:t>
            </w:r>
            <w:r>
              <w:rPr>
                <w:rFonts w:ascii="宋体" w:hAnsi="宋体"/>
                <w:bCs/>
                <w:sz w:val="18"/>
                <w:szCs w:val="18"/>
              </w:rPr>
              <w:t>2</w:t>
            </w:r>
            <w:r>
              <w:rPr>
                <w:rFonts w:hint="eastAsia" w:ascii="宋体" w:hAnsi="宋体"/>
                <w:bCs/>
                <w:sz w:val="18"/>
                <w:szCs w:val="18"/>
              </w:rPr>
              <w:t xml:space="preserve"> </w:t>
            </w:r>
            <w:r>
              <w:rPr>
                <w:rFonts w:ascii="宋体" w:hAnsi="宋体"/>
                <w:bCs/>
                <w:sz w:val="18"/>
                <w:szCs w:val="18"/>
              </w:rPr>
              <w:t>m</w:t>
            </w:r>
            <w:r>
              <w:rPr>
                <w:rFonts w:hint="eastAsia" w:ascii="宋体" w:hAnsi="宋体"/>
                <w:bCs/>
                <w:sz w:val="18"/>
                <w:szCs w:val="18"/>
              </w:rPr>
              <w:t>并小于</w:t>
            </w:r>
            <w:r>
              <w:rPr>
                <w:rFonts w:ascii="宋体" w:hAnsi="宋体"/>
                <w:bCs/>
                <w:sz w:val="18"/>
                <w:szCs w:val="18"/>
              </w:rPr>
              <w:t>20 m</w:t>
            </w:r>
            <w:r>
              <w:rPr>
                <w:rFonts w:hint="eastAsia" w:ascii="宋体" w:hAnsi="宋体"/>
                <w:bCs/>
                <w:sz w:val="18"/>
                <w:szCs w:val="18"/>
              </w:rPr>
              <w:t>时，防护栏杆高度应不低于</w:t>
            </w:r>
            <w:r>
              <w:rPr>
                <w:rFonts w:ascii="宋体" w:hAnsi="宋体"/>
                <w:bCs/>
                <w:sz w:val="18"/>
                <w:szCs w:val="18"/>
              </w:rPr>
              <w:t>1050 mm</w:t>
            </w:r>
            <w:r>
              <w:rPr>
                <w:rFonts w:hint="eastAsia" w:ascii="宋体" w:hAnsi="宋体"/>
                <w:bCs/>
                <w:sz w:val="18"/>
                <w:szCs w:val="18"/>
              </w:rPr>
              <w:t>；距基准面高度大于</w:t>
            </w:r>
            <w:r>
              <w:rPr>
                <w:rFonts w:ascii="宋体" w:hAnsi="宋体"/>
                <w:bCs/>
                <w:sz w:val="18"/>
                <w:szCs w:val="18"/>
              </w:rPr>
              <w:t>20 m</w:t>
            </w:r>
            <w:r>
              <w:rPr>
                <w:rFonts w:hint="eastAsia" w:ascii="宋体" w:hAnsi="宋体"/>
                <w:bCs/>
                <w:sz w:val="18"/>
                <w:szCs w:val="18"/>
              </w:rPr>
              <w:t>时，防护栏杆高度应不低于</w:t>
            </w:r>
            <w:r>
              <w:rPr>
                <w:rFonts w:ascii="宋体" w:hAnsi="宋体"/>
                <w:bCs/>
                <w:sz w:val="18"/>
                <w:szCs w:val="18"/>
              </w:rPr>
              <w:t>1200 mm</w:t>
            </w:r>
            <w:r>
              <w:rPr>
                <w:rFonts w:hint="eastAsia" w:ascii="宋体" w:hAnsi="宋体"/>
                <w:bCs/>
                <w:sz w:val="18"/>
                <w:szCs w:val="18"/>
              </w:rPr>
              <w:t>。</w:t>
            </w:r>
          </w:p>
        </w:tc>
        <w:tc>
          <w:tcPr>
            <w:tcW w:w="599" w:type="dxa"/>
            <w:tcBorders>
              <w:top w:val="single" w:color="auto" w:sz="8" w:space="0"/>
              <w:bottom w:val="single" w:color="auto" w:sz="8" w:space="0"/>
            </w:tcBorders>
            <w:noWrap w:val="0"/>
            <w:vAlign w:val="center"/>
          </w:tcPr>
          <w:p w14:paraId="05400EB4">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2FA6DE70">
            <w:pPr>
              <w:adjustRightInd w:val="0"/>
              <w:snapToGrid w:val="0"/>
              <w:jc w:val="center"/>
              <w:rPr>
                <w:rFonts w:ascii="宋体" w:hAnsi="宋体"/>
                <w:bCs/>
                <w:sz w:val="18"/>
                <w:szCs w:val="18"/>
              </w:rPr>
            </w:pPr>
          </w:p>
        </w:tc>
        <w:tc>
          <w:tcPr>
            <w:tcW w:w="648" w:type="dxa"/>
            <w:tcBorders>
              <w:top w:val="single" w:color="auto" w:sz="8" w:space="0"/>
              <w:bottom w:val="single" w:color="auto" w:sz="8" w:space="0"/>
            </w:tcBorders>
            <w:noWrap w:val="0"/>
            <w:vAlign w:val="center"/>
          </w:tcPr>
          <w:p w14:paraId="2C53E0D1">
            <w:pPr>
              <w:adjustRightInd w:val="0"/>
              <w:snapToGrid w:val="0"/>
              <w:jc w:val="center"/>
              <w:rPr>
                <w:rFonts w:ascii="宋体" w:hAnsi="宋体"/>
                <w:bCs/>
                <w:sz w:val="18"/>
                <w:szCs w:val="18"/>
              </w:rPr>
            </w:pPr>
          </w:p>
        </w:tc>
        <w:tc>
          <w:tcPr>
            <w:tcW w:w="3000" w:type="dxa"/>
            <w:tcBorders>
              <w:top w:val="single" w:color="auto" w:sz="8" w:space="0"/>
              <w:bottom w:val="single" w:color="auto" w:sz="8" w:space="0"/>
            </w:tcBorders>
            <w:noWrap w:val="0"/>
            <w:vAlign w:val="center"/>
          </w:tcPr>
          <w:p w14:paraId="6E0D2000">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4BDF61C5">
            <w:pPr>
              <w:adjustRightInd w:val="0"/>
              <w:snapToGrid w:val="0"/>
              <w:jc w:val="center"/>
              <w:rPr>
                <w:rFonts w:ascii="宋体" w:hAnsi="宋体"/>
                <w:bCs/>
                <w:sz w:val="18"/>
                <w:szCs w:val="18"/>
              </w:rPr>
            </w:pPr>
          </w:p>
        </w:tc>
        <w:tc>
          <w:tcPr>
            <w:tcW w:w="1259" w:type="dxa"/>
            <w:tcBorders>
              <w:top w:val="single" w:color="auto" w:sz="8" w:space="0"/>
              <w:bottom w:val="single" w:color="auto" w:sz="8" w:space="0"/>
            </w:tcBorders>
            <w:noWrap w:val="0"/>
            <w:vAlign w:val="center"/>
          </w:tcPr>
          <w:p w14:paraId="5580608F">
            <w:pPr>
              <w:adjustRightInd w:val="0"/>
              <w:snapToGrid w:val="0"/>
              <w:jc w:val="center"/>
              <w:rPr>
                <w:rFonts w:ascii="宋体" w:hAnsi="宋体"/>
                <w:bCs/>
                <w:sz w:val="18"/>
                <w:szCs w:val="18"/>
              </w:rPr>
            </w:pPr>
          </w:p>
        </w:tc>
        <w:tc>
          <w:tcPr>
            <w:tcW w:w="1489" w:type="dxa"/>
            <w:tcBorders>
              <w:top w:val="single" w:color="auto" w:sz="8" w:space="0"/>
              <w:bottom w:val="single" w:color="auto" w:sz="8" w:space="0"/>
            </w:tcBorders>
            <w:noWrap w:val="0"/>
            <w:vAlign w:val="center"/>
          </w:tcPr>
          <w:p w14:paraId="366F1E28">
            <w:pPr>
              <w:adjustRightInd w:val="0"/>
              <w:snapToGrid w:val="0"/>
              <w:jc w:val="center"/>
              <w:rPr>
                <w:rFonts w:ascii="宋体" w:hAnsi="宋体"/>
                <w:bCs/>
                <w:sz w:val="18"/>
                <w:szCs w:val="18"/>
              </w:rPr>
            </w:pPr>
          </w:p>
        </w:tc>
      </w:tr>
      <w:tr w14:paraId="6DBEB4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2036C0D7">
            <w:pPr>
              <w:ind w:right="33" w:rightChars="16"/>
              <w:jc w:val="center"/>
              <w:rPr>
                <w:rFonts w:hint="eastAsia" w:ascii="宋体" w:hAnsi="宋体"/>
                <w:sz w:val="18"/>
                <w:szCs w:val="18"/>
              </w:rPr>
            </w:pPr>
            <w:r>
              <w:rPr>
                <w:rFonts w:hint="eastAsia" w:ascii="宋体" w:hAnsi="宋体"/>
                <w:sz w:val="18"/>
                <w:szCs w:val="18"/>
              </w:rPr>
              <w:t>3</w:t>
            </w:r>
            <w:r>
              <w:rPr>
                <w:rFonts w:ascii="宋体" w:hAnsi="宋体"/>
                <w:sz w:val="18"/>
                <w:szCs w:val="18"/>
              </w:rPr>
              <w:t>.1.</w:t>
            </w:r>
            <w:r>
              <w:rPr>
                <w:rFonts w:hint="eastAsia" w:ascii="宋体" w:hAnsi="宋体"/>
                <w:sz w:val="18"/>
                <w:szCs w:val="18"/>
                <w:lang w:val="en-US" w:eastAsia="zh-CN"/>
              </w:rPr>
              <w:t>3</w:t>
            </w:r>
          </w:p>
        </w:tc>
        <w:tc>
          <w:tcPr>
            <w:tcW w:w="6279" w:type="dxa"/>
            <w:tcBorders>
              <w:top w:val="single" w:color="auto" w:sz="8" w:space="0"/>
              <w:bottom w:val="single" w:color="auto" w:sz="8" w:space="0"/>
            </w:tcBorders>
            <w:noWrap w:val="0"/>
            <w:vAlign w:val="center"/>
          </w:tcPr>
          <w:p w14:paraId="1138C46F">
            <w:pPr>
              <w:adjustRightInd w:val="0"/>
              <w:snapToGrid w:val="0"/>
              <w:jc w:val="left"/>
              <w:rPr>
                <w:rFonts w:hint="eastAsia" w:ascii="宋体" w:hAnsi="宋体"/>
                <w:bCs/>
                <w:sz w:val="18"/>
                <w:szCs w:val="18"/>
              </w:rPr>
            </w:pPr>
            <w:r>
              <w:rPr>
                <w:rFonts w:hint="eastAsia" w:ascii="宋体" w:hAnsi="宋体"/>
                <w:bCs/>
                <w:sz w:val="18"/>
                <w:szCs w:val="18"/>
              </w:rPr>
              <w:t>充电游览船、</w:t>
            </w:r>
            <w:r>
              <w:rPr>
                <w:rFonts w:hint="eastAsia" w:ascii="宋体" w:hAnsi="宋体"/>
                <w:bCs/>
                <w:sz w:val="18"/>
                <w:szCs w:val="18"/>
                <w:lang w:val="en-US" w:eastAsia="zh-CN"/>
              </w:rPr>
              <w:t>工程车辆</w:t>
            </w:r>
            <w:r>
              <w:rPr>
                <w:rFonts w:hint="eastAsia" w:ascii="宋体" w:hAnsi="宋体"/>
                <w:bCs/>
                <w:sz w:val="18"/>
                <w:szCs w:val="18"/>
              </w:rPr>
              <w:t>等充电设施应符合下列要求：</w:t>
            </w:r>
          </w:p>
          <w:p w14:paraId="52F4C21B">
            <w:pPr>
              <w:adjustRightInd w:val="0"/>
              <w:snapToGrid w:val="0"/>
              <w:jc w:val="left"/>
              <w:rPr>
                <w:rFonts w:hint="eastAsia" w:ascii="宋体" w:hAnsi="宋体"/>
                <w:bCs/>
                <w:sz w:val="18"/>
                <w:szCs w:val="18"/>
              </w:rPr>
            </w:pPr>
            <w:r>
              <w:rPr>
                <w:rFonts w:hint="eastAsia" w:ascii="宋体" w:hAnsi="宋体"/>
                <w:bCs/>
                <w:sz w:val="18"/>
                <w:szCs w:val="18"/>
              </w:rPr>
              <w:t>a）在车上充电时，蓄电池盖应按照车辆制造商的说明打开以用于通风，确保空气流动；</w:t>
            </w:r>
          </w:p>
          <w:p w14:paraId="733012DF">
            <w:pPr>
              <w:adjustRightInd w:val="0"/>
              <w:snapToGrid w:val="0"/>
              <w:jc w:val="left"/>
              <w:rPr>
                <w:rFonts w:hint="eastAsia" w:ascii="宋体" w:hAnsi="宋体"/>
                <w:bCs/>
                <w:sz w:val="18"/>
                <w:szCs w:val="18"/>
              </w:rPr>
            </w:pPr>
            <w:r>
              <w:rPr>
                <w:rFonts w:hint="eastAsia" w:ascii="宋体" w:hAnsi="宋体"/>
                <w:bCs/>
                <w:sz w:val="18"/>
                <w:szCs w:val="18"/>
              </w:rPr>
              <w:t>b）在指定区域充电时，充电区域应有足够的通风以防止氢气的聚集；</w:t>
            </w:r>
          </w:p>
          <w:p w14:paraId="400252E0">
            <w:pPr>
              <w:adjustRightInd w:val="0"/>
              <w:snapToGrid w:val="0"/>
              <w:jc w:val="left"/>
              <w:rPr>
                <w:rFonts w:hint="eastAsia" w:ascii="宋体" w:hAnsi="宋体"/>
                <w:bCs/>
                <w:sz w:val="18"/>
                <w:szCs w:val="18"/>
              </w:rPr>
            </w:pPr>
            <w:r>
              <w:rPr>
                <w:rFonts w:hint="eastAsia" w:ascii="宋体" w:hAnsi="宋体"/>
                <w:bCs/>
                <w:sz w:val="18"/>
                <w:szCs w:val="18"/>
              </w:rPr>
              <w:t>c）充电区域应设置禁止</w:t>
            </w:r>
            <w:r>
              <w:rPr>
                <w:rFonts w:hint="eastAsia" w:ascii="宋体" w:hAnsi="宋体"/>
                <w:bCs/>
                <w:sz w:val="18"/>
                <w:szCs w:val="18"/>
                <w:lang w:val="en-US" w:eastAsia="zh-CN"/>
              </w:rPr>
              <w:t>烟火等</w:t>
            </w:r>
            <w:r>
              <w:rPr>
                <w:rFonts w:hint="eastAsia" w:ascii="宋体" w:hAnsi="宋体"/>
                <w:bCs/>
                <w:sz w:val="18"/>
                <w:szCs w:val="18"/>
              </w:rPr>
              <w:t>安全警示标志并配备消防器材；</w:t>
            </w:r>
          </w:p>
          <w:p w14:paraId="7CECA578">
            <w:pPr>
              <w:adjustRightInd w:val="0"/>
              <w:snapToGrid w:val="0"/>
              <w:jc w:val="left"/>
              <w:rPr>
                <w:rFonts w:ascii="宋体" w:hAnsi="宋体"/>
                <w:bCs/>
                <w:sz w:val="18"/>
                <w:szCs w:val="18"/>
              </w:rPr>
            </w:pPr>
            <w:r>
              <w:rPr>
                <w:rFonts w:hint="eastAsia" w:ascii="宋体" w:hAnsi="宋体"/>
                <w:bCs/>
                <w:sz w:val="18"/>
                <w:szCs w:val="18"/>
              </w:rPr>
              <w:t>d）充电设备应保持清洁，无杂物。</w:t>
            </w:r>
          </w:p>
        </w:tc>
        <w:tc>
          <w:tcPr>
            <w:tcW w:w="599" w:type="dxa"/>
            <w:tcBorders>
              <w:top w:val="single" w:color="auto" w:sz="8" w:space="0"/>
              <w:bottom w:val="single" w:color="auto" w:sz="8" w:space="0"/>
            </w:tcBorders>
            <w:noWrap w:val="0"/>
            <w:vAlign w:val="center"/>
          </w:tcPr>
          <w:p w14:paraId="24ABAEF7">
            <w:pPr>
              <w:ind w:right="33" w:rightChars="16"/>
              <w:rPr>
                <w:rFonts w:ascii="宋体" w:hAnsi="宋体"/>
                <w:sz w:val="18"/>
                <w:szCs w:val="18"/>
              </w:rPr>
            </w:pPr>
          </w:p>
        </w:tc>
        <w:tc>
          <w:tcPr>
            <w:tcW w:w="599" w:type="dxa"/>
            <w:tcBorders>
              <w:top w:val="single" w:color="auto" w:sz="8" w:space="0"/>
              <w:bottom w:val="single" w:color="auto" w:sz="8" w:space="0"/>
            </w:tcBorders>
            <w:noWrap w:val="0"/>
            <w:vAlign w:val="center"/>
          </w:tcPr>
          <w:p w14:paraId="27D6E223">
            <w:pPr>
              <w:ind w:right="33" w:rightChars="16"/>
              <w:rPr>
                <w:rFonts w:ascii="宋体" w:hAnsi="宋体"/>
                <w:sz w:val="18"/>
                <w:szCs w:val="18"/>
              </w:rPr>
            </w:pPr>
          </w:p>
        </w:tc>
        <w:tc>
          <w:tcPr>
            <w:tcW w:w="648" w:type="dxa"/>
            <w:tcBorders>
              <w:top w:val="single" w:color="auto" w:sz="8" w:space="0"/>
              <w:bottom w:val="single" w:color="auto" w:sz="8" w:space="0"/>
            </w:tcBorders>
            <w:noWrap w:val="0"/>
            <w:vAlign w:val="center"/>
          </w:tcPr>
          <w:p w14:paraId="32615829">
            <w:pPr>
              <w:ind w:right="33" w:rightChars="16"/>
              <w:jc w:val="center"/>
              <w:rPr>
                <w:rFonts w:hint="eastAsia" w:ascii="宋体" w:hAnsi="宋体" w:eastAsia="宋体"/>
                <w:sz w:val="18"/>
                <w:szCs w:val="18"/>
                <w:lang w:eastAsia="zh-CN"/>
              </w:rPr>
            </w:pPr>
            <w:r>
              <w:rPr>
                <w:rFonts w:hint="eastAsia" w:ascii="宋体" w:hAnsi="宋体"/>
                <w:sz w:val="18"/>
                <w:szCs w:val="18"/>
                <w:lang w:val="en-US" w:eastAsia="zh-CN"/>
              </w:rPr>
              <w:t>6</w:t>
            </w:r>
          </w:p>
        </w:tc>
        <w:tc>
          <w:tcPr>
            <w:tcW w:w="3000" w:type="dxa"/>
            <w:tcBorders>
              <w:top w:val="single" w:color="auto" w:sz="8" w:space="0"/>
              <w:bottom w:val="single" w:color="auto" w:sz="8" w:space="0"/>
            </w:tcBorders>
            <w:noWrap w:val="0"/>
            <w:vAlign w:val="center"/>
          </w:tcPr>
          <w:p w14:paraId="1BB37527">
            <w:pPr>
              <w:ind w:right="33" w:rightChars="16"/>
              <w:jc w:val="left"/>
              <w:rPr>
                <w:rFonts w:ascii="宋体" w:hAnsi="宋体"/>
                <w:sz w:val="18"/>
                <w:szCs w:val="18"/>
              </w:rPr>
            </w:pPr>
            <w:r>
              <w:rPr>
                <w:rFonts w:hint="eastAsia" w:ascii="宋体" w:hAnsi="宋体"/>
                <w:sz w:val="18"/>
                <w:szCs w:val="18"/>
              </w:rPr>
              <w:t>一处不符合扣2分。</w:t>
            </w:r>
          </w:p>
        </w:tc>
        <w:tc>
          <w:tcPr>
            <w:tcW w:w="599" w:type="dxa"/>
            <w:tcBorders>
              <w:top w:val="single" w:color="auto" w:sz="8" w:space="0"/>
              <w:bottom w:val="single" w:color="auto" w:sz="8" w:space="0"/>
            </w:tcBorders>
            <w:noWrap w:val="0"/>
            <w:vAlign w:val="center"/>
          </w:tcPr>
          <w:p w14:paraId="5F03CFE0">
            <w:pPr>
              <w:ind w:right="33" w:rightChars="16"/>
              <w:rPr>
                <w:rFonts w:ascii="宋体" w:hAnsi="宋体"/>
                <w:sz w:val="18"/>
                <w:szCs w:val="18"/>
              </w:rPr>
            </w:pPr>
          </w:p>
        </w:tc>
        <w:tc>
          <w:tcPr>
            <w:tcW w:w="1259" w:type="dxa"/>
            <w:tcBorders>
              <w:top w:val="single" w:color="auto" w:sz="8" w:space="0"/>
              <w:bottom w:val="single" w:color="auto" w:sz="8" w:space="0"/>
            </w:tcBorders>
            <w:noWrap w:val="0"/>
            <w:vAlign w:val="center"/>
          </w:tcPr>
          <w:p w14:paraId="31F7A461">
            <w:pPr>
              <w:ind w:right="33" w:rightChars="16"/>
              <w:rPr>
                <w:rFonts w:ascii="宋体" w:hAnsi="宋体"/>
                <w:sz w:val="18"/>
                <w:szCs w:val="18"/>
              </w:rPr>
            </w:pPr>
          </w:p>
        </w:tc>
        <w:tc>
          <w:tcPr>
            <w:tcW w:w="1489" w:type="dxa"/>
            <w:tcBorders>
              <w:top w:val="single" w:color="auto" w:sz="8" w:space="0"/>
              <w:bottom w:val="single" w:color="auto" w:sz="8" w:space="0"/>
            </w:tcBorders>
            <w:noWrap w:val="0"/>
            <w:vAlign w:val="center"/>
          </w:tcPr>
          <w:p w14:paraId="67E24AB4">
            <w:pPr>
              <w:ind w:right="33" w:rightChars="16"/>
              <w:jc w:val="center"/>
              <w:rPr>
                <w:rFonts w:ascii="宋体" w:hAnsi="宋体"/>
                <w:sz w:val="18"/>
                <w:szCs w:val="18"/>
              </w:rPr>
            </w:pPr>
            <w:r>
              <w:rPr>
                <w:rFonts w:hint="eastAsia" w:ascii="宋体" w:hAnsi="宋体"/>
                <w:sz w:val="18"/>
                <w:szCs w:val="18"/>
                <w:lang w:eastAsia="zh-CN"/>
              </w:rPr>
              <w:t>4.3</w:t>
            </w:r>
            <w:r>
              <w:rPr>
                <w:rFonts w:hint="eastAsia" w:ascii="宋体" w:hAnsi="宋体"/>
                <w:sz w:val="18"/>
                <w:szCs w:val="18"/>
              </w:rPr>
              <w:t>.1.7</w:t>
            </w:r>
          </w:p>
        </w:tc>
      </w:tr>
      <w:tr w14:paraId="23E50A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72F2A9A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3.1.4</w:t>
            </w:r>
          </w:p>
        </w:tc>
        <w:tc>
          <w:tcPr>
            <w:tcW w:w="6279" w:type="dxa"/>
            <w:tcBorders>
              <w:top w:val="single" w:color="auto" w:sz="8" w:space="0"/>
              <w:bottom w:val="single" w:color="auto" w:sz="8" w:space="0"/>
            </w:tcBorders>
            <w:noWrap w:val="0"/>
            <w:vAlign w:val="center"/>
          </w:tcPr>
          <w:p w14:paraId="22E30C23">
            <w:pPr>
              <w:adjustRightInd w:val="0"/>
              <w:snapToGrid w:val="0"/>
              <w:rPr>
                <w:rFonts w:hint="default" w:ascii="宋体" w:hAnsi="宋体" w:eastAsia="宋体"/>
                <w:bCs/>
                <w:sz w:val="18"/>
                <w:szCs w:val="18"/>
                <w:lang w:val="en-US" w:eastAsia="zh-CN"/>
              </w:rPr>
            </w:pPr>
            <w:r>
              <w:rPr>
                <w:rFonts w:hint="eastAsia" w:ascii="宋体" w:hAnsi="宋体"/>
                <w:bCs/>
                <w:sz w:val="18"/>
                <w:szCs w:val="18"/>
                <w:lang w:val="en-US" w:eastAsia="zh-CN"/>
              </w:rPr>
              <w:t>游乐设施应符合下列通用要求：</w:t>
            </w:r>
          </w:p>
          <w:p w14:paraId="199430AB">
            <w:pPr>
              <w:adjustRightInd w:val="0"/>
              <w:snapToGrid w:val="0"/>
              <w:rPr>
                <w:rFonts w:hint="eastAsia" w:ascii="宋体" w:hAnsi="宋体"/>
                <w:bCs/>
                <w:sz w:val="18"/>
                <w:szCs w:val="18"/>
              </w:rPr>
            </w:pPr>
            <w:r>
              <w:rPr>
                <w:rFonts w:ascii="宋体" w:hAnsi="宋体"/>
                <w:bCs/>
                <w:sz w:val="18"/>
                <w:szCs w:val="18"/>
              </w:rPr>
              <w:t>a</w:t>
            </w:r>
            <w:r>
              <w:rPr>
                <w:rFonts w:hint="eastAsia" w:ascii="宋体" w:hAnsi="宋体"/>
                <w:bCs/>
                <w:sz w:val="18"/>
                <w:szCs w:val="18"/>
              </w:rPr>
              <w:t>）高度大于15米的游乐设施和滑索上、下站及钢丝绳等应设防雷装置</w:t>
            </w:r>
            <w:r>
              <w:rPr>
                <w:rFonts w:hint="eastAsia" w:ascii="宋体" w:hAnsi="宋体"/>
                <w:bCs/>
                <w:sz w:val="18"/>
                <w:szCs w:val="18"/>
                <w:lang w:eastAsia="zh-CN"/>
              </w:rPr>
              <w:t>；</w:t>
            </w:r>
          </w:p>
          <w:p w14:paraId="24A33F65">
            <w:pPr>
              <w:adjustRightInd w:val="0"/>
              <w:snapToGrid w:val="0"/>
              <w:rPr>
                <w:rFonts w:hint="eastAsia" w:ascii="宋体" w:hAnsi="宋体"/>
                <w:bCs/>
                <w:sz w:val="18"/>
                <w:szCs w:val="18"/>
              </w:rPr>
            </w:pPr>
            <w:r>
              <w:rPr>
                <w:rFonts w:hint="eastAsia" w:ascii="宋体" w:hAnsi="宋体"/>
                <w:bCs/>
                <w:sz w:val="18"/>
                <w:szCs w:val="18"/>
                <w:lang w:val="en-US" w:eastAsia="zh-CN"/>
              </w:rPr>
              <w:t>b</w:t>
            </w:r>
            <w:r>
              <w:rPr>
                <w:rFonts w:hint="eastAsia" w:ascii="宋体" w:hAnsi="宋体"/>
                <w:bCs/>
                <w:sz w:val="18"/>
                <w:szCs w:val="18"/>
              </w:rPr>
              <w:t>）乘人装置应明确标识额定乘员数量，不应超规超载运行；</w:t>
            </w:r>
          </w:p>
          <w:p w14:paraId="42E83851">
            <w:pPr>
              <w:adjustRightInd w:val="0"/>
              <w:snapToGrid w:val="0"/>
              <w:rPr>
                <w:rFonts w:hint="eastAsia" w:ascii="宋体" w:hAnsi="宋体"/>
                <w:bCs/>
                <w:sz w:val="18"/>
                <w:szCs w:val="18"/>
                <w:lang w:eastAsia="zh-CN"/>
              </w:rPr>
            </w:pPr>
            <w:r>
              <w:rPr>
                <w:rFonts w:hint="eastAsia" w:ascii="宋体" w:hAnsi="宋体"/>
                <w:bCs/>
                <w:sz w:val="18"/>
                <w:szCs w:val="18"/>
                <w:lang w:val="en-US" w:eastAsia="zh-CN"/>
              </w:rPr>
              <w:t>c</w:t>
            </w:r>
            <w:r>
              <w:rPr>
                <w:rFonts w:hint="eastAsia" w:ascii="宋体" w:hAnsi="宋体"/>
                <w:bCs/>
                <w:sz w:val="18"/>
                <w:szCs w:val="18"/>
              </w:rPr>
              <w:t>）凡乘客可触及之处,不应有外露的锐边、尖角、毛刺和危险突出物等</w:t>
            </w:r>
            <w:r>
              <w:rPr>
                <w:rFonts w:hint="eastAsia" w:ascii="宋体" w:hAnsi="宋体"/>
                <w:bCs/>
                <w:sz w:val="18"/>
                <w:szCs w:val="18"/>
                <w:lang w:eastAsia="zh-CN"/>
              </w:rPr>
              <w:t>；</w:t>
            </w:r>
          </w:p>
          <w:p w14:paraId="0170DB7B">
            <w:pPr>
              <w:adjustRightInd w:val="0"/>
              <w:snapToGrid w:val="0"/>
              <w:rPr>
                <w:rFonts w:hint="eastAsia" w:ascii="宋体" w:hAnsi="宋体"/>
                <w:bCs/>
                <w:sz w:val="18"/>
                <w:szCs w:val="18"/>
                <w:lang w:eastAsia="zh-CN"/>
              </w:rPr>
            </w:pPr>
            <w:r>
              <w:rPr>
                <w:rFonts w:hint="eastAsia" w:ascii="宋体" w:hAnsi="宋体"/>
                <w:bCs/>
                <w:sz w:val="18"/>
                <w:szCs w:val="18"/>
                <w:lang w:val="en-US" w:eastAsia="zh-CN"/>
              </w:rPr>
              <w:t>d</w:t>
            </w:r>
            <w:r>
              <w:rPr>
                <w:rFonts w:hint="eastAsia" w:ascii="宋体" w:hAnsi="宋体"/>
                <w:bCs/>
                <w:sz w:val="18"/>
                <w:szCs w:val="18"/>
              </w:rPr>
              <w:t>）当游乐设施运行时,乘客有可能在乘人装置内移动、碰撞或者甩出、滑出时,应设有乘客束缚装置</w:t>
            </w:r>
            <w:r>
              <w:rPr>
                <w:rFonts w:hint="eastAsia" w:ascii="宋体" w:hAnsi="宋体"/>
                <w:bCs/>
                <w:sz w:val="18"/>
                <w:szCs w:val="18"/>
                <w:lang w:eastAsia="zh-CN"/>
              </w:rPr>
              <w:t>；</w:t>
            </w:r>
          </w:p>
          <w:p w14:paraId="6035F6AB">
            <w:pPr>
              <w:adjustRightInd w:val="0"/>
              <w:snapToGrid w:val="0"/>
              <w:rPr>
                <w:rFonts w:hint="eastAsia" w:ascii="宋体" w:hAnsi="宋体"/>
                <w:bCs/>
                <w:sz w:val="18"/>
                <w:szCs w:val="18"/>
                <w:lang w:eastAsia="zh-CN"/>
              </w:rPr>
            </w:pPr>
            <w:r>
              <w:rPr>
                <w:rFonts w:hint="eastAsia" w:ascii="宋体" w:hAnsi="宋体"/>
                <w:bCs/>
                <w:sz w:val="18"/>
                <w:szCs w:val="18"/>
                <w:lang w:val="en-US" w:eastAsia="zh-CN"/>
              </w:rPr>
              <w:t>e</w:t>
            </w:r>
            <w:r>
              <w:rPr>
                <w:rFonts w:hint="eastAsia" w:ascii="宋体" w:hAnsi="宋体"/>
                <w:bCs/>
                <w:sz w:val="18"/>
                <w:szCs w:val="18"/>
              </w:rPr>
              <w:t>）游乐设施应有有效的隔离措施，防止人员误人，并分别设有进、出口</w:t>
            </w:r>
            <w:r>
              <w:rPr>
                <w:rFonts w:hint="eastAsia" w:ascii="宋体" w:hAnsi="宋体"/>
                <w:bCs/>
                <w:sz w:val="18"/>
                <w:szCs w:val="18"/>
                <w:lang w:eastAsia="zh-CN"/>
              </w:rPr>
              <w:t>；</w:t>
            </w:r>
          </w:p>
          <w:p w14:paraId="58450896">
            <w:pPr>
              <w:adjustRightInd w:val="0"/>
              <w:snapToGrid w:val="0"/>
              <w:rPr>
                <w:rFonts w:hint="eastAsia" w:ascii="宋体" w:hAnsi="宋体"/>
                <w:bCs/>
                <w:sz w:val="18"/>
                <w:szCs w:val="18"/>
              </w:rPr>
            </w:pPr>
            <w:r>
              <w:rPr>
                <w:rFonts w:hint="eastAsia" w:ascii="宋体" w:hAnsi="宋体"/>
                <w:bCs/>
                <w:sz w:val="18"/>
                <w:szCs w:val="18"/>
                <w:lang w:val="en-US" w:eastAsia="zh-CN"/>
              </w:rPr>
              <w:t>f</w:t>
            </w:r>
            <w:r>
              <w:rPr>
                <w:rFonts w:hint="eastAsia" w:ascii="宋体" w:hAnsi="宋体"/>
                <w:bCs/>
                <w:sz w:val="18"/>
                <w:szCs w:val="18"/>
              </w:rPr>
              <w:t>）游乐设施周围及高出地面500mm以上的站台，应设置安全栅栏或其他有效的隔离设施。室外安全栅栏高度应不低于1100mm，室内儿童娱乐项目,安全栅栏高度应不低于650mm。栅栏的间隙和距离地面的间隙应不大于120mm。安全栅栏应设置为儿童不易攀爬的结构（工作人员专用通道或平台的栅栏除外）</w:t>
            </w:r>
            <w:r>
              <w:rPr>
                <w:rFonts w:hint="eastAsia" w:ascii="宋体" w:hAnsi="宋体"/>
                <w:bCs/>
                <w:sz w:val="18"/>
                <w:szCs w:val="18"/>
                <w:lang w:eastAsia="zh-CN"/>
              </w:rPr>
              <w:t>；</w:t>
            </w:r>
          </w:p>
          <w:p w14:paraId="230D25D3">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g</w:t>
            </w:r>
            <w:r>
              <w:rPr>
                <w:rFonts w:hint="eastAsia" w:ascii="宋体" w:hAnsi="宋体"/>
                <w:bCs/>
                <w:sz w:val="18"/>
                <w:szCs w:val="18"/>
              </w:rPr>
              <w:t>）安全栅栏应分别设进、出口，站台应有防滑措施</w:t>
            </w:r>
            <w:r>
              <w:rPr>
                <w:rFonts w:hint="eastAsia" w:ascii="宋体" w:hAnsi="宋体"/>
                <w:bCs/>
                <w:sz w:val="18"/>
                <w:szCs w:val="18"/>
                <w:lang w:eastAsia="zh-CN"/>
              </w:rPr>
              <w:t>；</w:t>
            </w:r>
            <w:r>
              <w:rPr>
                <w:rFonts w:hint="eastAsia" w:ascii="宋体" w:hAnsi="宋体"/>
                <w:bCs/>
                <w:sz w:val="18"/>
                <w:szCs w:val="18"/>
              </w:rPr>
              <w:t xml:space="preserve"> </w:t>
            </w:r>
          </w:p>
        </w:tc>
        <w:tc>
          <w:tcPr>
            <w:tcW w:w="599" w:type="dxa"/>
            <w:tcBorders>
              <w:top w:val="single" w:color="auto" w:sz="8" w:space="0"/>
              <w:bottom w:val="single" w:color="auto" w:sz="8" w:space="0"/>
            </w:tcBorders>
            <w:noWrap w:val="0"/>
            <w:vAlign w:val="center"/>
          </w:tcPr>
          <w:p w14:paraId="1603CA52">
            <w:pPr>
              <w:adjustRightInd w:val="0"/>
              <w:snapToGrid w:val="0"/>
              <w:jc w:val="center"/>
              <w:rPr>
                <w:rFonts w:ascii="宋体" w:hAnsi="宋体" w:eastAsia="宋体" w:cs="Times New Roman"/>
                <w:bCs/>
                <w:kern w:val="2"/>
                <w:sz w:val="18"/>
                <w:szCs w:val="18"/>
                <w:lang w:val="en-US" w:eastAsia="zh-CN" w:bidi="ar-SA"/>
              </w:rPr>
            </w:pPr>
          </w:p>
        </w:tc>
        <w:tc>
          <w:tcPr>
            <w:tcW w:w="599" w:type="dxa"/>
            <w:tcBorders>
              <w:top w:val="single" w:color="auto" w:sz="8" w:space="0"/>
              <w:bottom w:val="single" w:color="auto" w:sz="8" w:space="0"/>
            </w:tcBorders>
            <w:noWrap w:val="0"/>
            <w:vAlign w:val="center"/>
          </w:tcPr>
          <w:p w14:paraId="46015DAB">
            <w:pPr>
              <w:adjustRightInd w:val="0"/>
              <w:snapToGrid w:val="0"/>
              <w:jc w:val="center"/>
              <w:rPr>
                <w:rFonts w:ascii="宋体" w:hAnsi="宋体" w:eastAsia="宋体" w:cs="Times New Roman"/>
                <w:bCs/>
                <w:kern w:val="2"/>
                <w:sz w:val="18"/>
                <w:szCs w:val="18"/>
                <w:lang w:val="en-US" w:eastAsia="zh-CN" w:bidi="ar-SA"/>
              </w:rPr>
            </w:pPr>
          </w:p>
        </w:tc>
        <w:tc>
          <w:tcPr>
            <w:tcW w:w="648" w:type="dxa"/>
            <w:tcBorders>
              <w:top w:val="single" w:color="auto" w:sz="8" w:space="0"/>
              <w:bottom w:val="single" w:color="auto" w:sz="8" w:space="0"/>
            </w:tcBorders>
            <w:noWrap w:val="0"/>
            <w:vAlign w:val="center"/>
          </w:tcPr>
          <w:p w14:paraId="192E2FC6">
            <w:pPr>
              <w:ind w:right="33" w:rightChars="16"/>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6</w:t>
            </w:r>
          </w:p>
        </w:tc>
        <w:tc>
          <w:tcPr>
            <w:tcW w:w="3000" w:type="dxa"/>
            <w:tcBorders>
              <w:top w:val="single" w:color="auto" w:sz="8" w:space="0"/>
              <w:bottom w:val="single" w:color="auto" w:sz="8" w:space="0"/>
            </w:tcBorders>
            <w:noWrap w:val="0"/>
            <w:vAlign w:val="center"/>
          </w:tcPr>
          <w:p w14:paraId="1BD99D81">
            <w:pPr>
              <w:ind w:right="33" w:rightChars="16"/>
              <w:jc w:val="left"/>
              <w:rPr>
                <w:rFonts w:hint="eastAsia" w:ascii="宋体" w:hAnsi="宋体" w:eastAsia="宋体" w:cs="Times New Roman"/>
                <w:kern w:val="2"/>
                <w:sz w:val="18"/>
                <w:szCs w:val="18"/>
                <w:lang w:val="en-US" w:eastAsia="zh-CN" w:bidi="ar-SA"/>
              </w:rPr>
            </w:pPr>
            <w:r>
              <w:rPr>
                <w:rFonts w:hint="eastAsia" w:ascii="宋体" w:hAnsi="宋体"/>
                <w:sz w:val="18"/>
                <w:szCs w:val="18"/>
              </w:rPr>
              <w:t>一处不符合扣2分。</w:t>
            </w:r>
          </w:p>
        </w:tc>
        <w:tc>
          <w:tcPr>
            <w:tcW w:w="599" w:type="dxa"/>
            <w:tcBorders>
              <w:top w:val="single" w:color="auto" w:sz="8" w:space="0"/>
              <w:bottom w:val="single" w:color="auto" w:sz="8" w:space="0"/>
            </w:tcBorders>
            <w:noWrap w:val="0"/>
            <w:vAlign w:val="center"/>
          </w:tcPr>
          <w:p w14:paraId="46E66C58">
            <w:pPr>
              <w:adjustRightInd w:val="0"/>
              <w:snapToGrid w:val="0"/>
              <w:jc w:val="center"/>
              <w:rPr>
                <w:rFonts w:ascii="宋体" w:hAnsi="宋体" w:eastAsia="宋体" w:cs="Times New Roman"/>
                <w:bCs/>
                <w:kern w:val="2"/>
                <w:sz w:val="18"/>
                <w:szCs w:val="18"/>
                <w:lang w:val="en-US" w:eastAsia="zh-CN" w:bidi="ar-SA"/>
              </w:rPr>
            </w:pPr>
          </w:p>
        </w:tc>
        <w:tc>
          <w:tcPr>
            <w:tcW w:w="1259" w:type="dxa"/>
            <w:tcBorders>
              <w:top w:val="single" w:color="auto" w:sz="8" w:space="0"/>
              <w:bottom w:val="single" w:color="auto" w:sz="8" w:space="0"/>
            </w:tcBorders>
            <w:noWrap w:val="0"/>
            <w:vAlign w:val="center"/>
          </w:tcPr>
          <w:p w14:paraId="7BB327D5">
            <w:pPr>
              <w:adjustRightInd w:val="0"/>
              <w:snapToGrid w:val="0"/>
              <w:jc w:val="center"/>
              <w:rPr>
                <w:rFonts w:ascii="宋体" w:hAnsi="宋体" w:eastAsia="宋体" w:cs="Times New Roman"/>
                <w:bCs/>
                <w:kern w:val="2"/>
                <w:sz w:val="18"/>
                <w:szCs w:val="18"/>
                <w:lang w:val="en-US" w:eastAsia="zh-CN" w:bidi="ar-SA"/>
              </w:rPr>
            </w:pPr>
          </w:p>
        </w:tc>
        <w:tc>
          <w:tcPr>
            <w:tcW w:w="1489" w:type="dxa"/>
            <w:tcBorders>
              <w:top w:val="single" w:color="auto" w:sz="8" w:space="0"/>
              <w:bottom w:val="single" w:color="auto" w:sz="8" w:space="0"/>
            </w:tcBorders>
            <w:noWrap w:val="0"/>
            <w:vAlign w:val="center"/>
          </w:tcPr>
          <w:p w14:paraId="0CB97FA8">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lang w:eastAsia="zh-CN"/>
              </w:rPr>
              <w:t>4.3</w:t>
            </w:r>
            <w:r>
              <w:rPr>
                <w:rFonts w:hint="eastAsia" w:ascii="宋体" w:hAnsi="宋体"/>
                <w:sz w:val="18"/>
                <w:szCs w:val="18"/>
              </w:rPr>
              <w:t>.1.</w:t>
            </w:r>
            <w:r>
              <w:rPr>
                <w:rFonts w:hint="eastAsia" w:ascii="宋体" w:hAnsi="宋体"/>
                <w:sz w:val="18"/>
                <w:szCs w:val="18"/>
                <w:lang w:val="en-US" w:eastAsia="zh-CN"/>
              </w:rPr>
              <w:t>8</w:t>
            </w:r>
          </w:p>
        </w:tc>
      </w:tr>
    </w:tbl>
    <w:p w14:paraId="13D48A05">
      <w:pPr>
        <w:widowControl/>
        <w:spacing w:before="156" w:after="156"/>
        <w:ind w:left="567"/>
      </w:pPr>
      <w:r>
        <w:br w:type="page"/>
      </w:r>
    </w:p>
    <w:p w14:paraId="6A4F9916">
      <w:pPr>
        <w:pStyle w:val="168"/>
        <w:widowControl/>
        <w:numPr>
          <w:ilvl w:val="0"/>
          <w:numId w:val="0"/>
        </w:numPr>
        <w:spacing w:before="156" w:after="156"/>
        <w:ind w:left="567" w:hanging="567"/>
      </w:pP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1"/>
        <w:gridCol w:w="6279"/>
        <w:gridCol w:w="599"/>
        <w:gridCol w:w="599"/>
        <w:gridCol w:w="590"/>
        <w:gridCol w:w="3058"/>
        <w:gridCol w:w="599"/>
        <w:gridCol w:w="1259"/>
        <w:gridCol w:w="1489"/>
      </w:tblGrid>
      <w:tr w14:paraId="335979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5CCBF96B">
            <w:pPr>
              <w:adjustRightInd w:val="0"/>
              <w:snapToGrid w:val="0"/>
              <w:jc w:val="center"/>
              <w:rPr>
                <w:rFonts w:ascii="宋体" w:hAnsi="宋体"/>
                <w:sz w:val="18"/>
                <w:szCs w:val="18"/>
              </w:rPr>
            </w:pPr>
            <w:r>
              <w:rPr>
                <w:rFonts w:ascii="宋体" w:hAnsi="宋体"/>
                <w:bCs/>
                <w:sz w:val="18"/>
                <w:szCs w:val="18"/>
              </w:rPr>
              <w:t>序号</w:t>
            </w:r>
          </w:p>
        </w:tc>
        <w:tc>
          <w:tcPr>
            <w:tcW w:w="6279" w:type="dxa"/>
            <w:tcBorders>
              <w:top w:val="single" w:color="auto" w:sz="8" w:space="0"/>
              <w:bottom w:val="single" w:color="auto" w:sz="8" w:space="0"/>
            </w:tcBorders>
            <w:noWrap w:val="0"/>
            <w:vAlign w:val="center"/>
          </w:tcPr>
          <w:p w14:paraId="75B52EF1">
            <w:pPr>
              <w:adjustRightInd w:val="0"/>
              <w:snapToGrid w:val="0"/>
              <w:jc w:val="center"/>
              <w:rPr>
                <w:rFonts w:ascii="宋体" w:hAnsi="宋体"/>
                <w:sz w:val="18"/>
                <w:szCs w:val="18"/>
              </w:rPr>
            </w:pPr>
            <w:r>
              <w:rPr>
                <w:rFonts w:ascii="宋体" w:hAnsi="宋体"/>
                <w:bCs/>
                <w:sz w:val="18"/>
                <w:szCs w:val="18"/>
              </w:rPr>
              <w:t>评定内容</w:t>
            </w:r>
          </w:p>
        </w:tc>
        <w:tc>
          <w:tcPr>
            <w:tcW w:w="599" w:type="dxa"/>
            <w:tcBorders>
              <w:top w:val="single" w:color="auto" w:sz="8" w:space="0"/>
              <w:bottom w:val="single" w:color="auto" w:sz="8" w:space="0"/>
            </w:tcBorders>
            <w:noWrap w:val="0"/>
            <w:vAlign w:val="center"/>
          </w:tcPr>
          <w:p w14:paraId="1576B92D">
            <w:pPr>
              <w:adjustRightInd w:val="0"/>
              <w:snapToGrid w:val="0"/>
              <w:jc w:val="center"/>
              <w:rPr>
                <w:rFonts w:ascii="宋体" w:hAnsi="宋体"/>
                <w:sz w:val="18"/>
                <w:szCs w:val="18"/>
              </w:rPr>
            </w:pPr>
            <w:r>
              <w:rPr>
                <w:rFonts w:ascii="宋体" w:hAnsi="宋体"/>
                <w:bCs/>
                <w:sz w:val="18"/>
                <w:szCs w:val="18"/>
              </w:rPr>
              <w:t>评定要素分值</w:t>
            </w:r>
          </w:p>
        </w:tc>
        <w:tc>
          <w:tcPr>
            <w:tcW w:w="599" w:type="dxa"/>
            <w:tcBorders>
              <w:top w:val="single" w:color="auto" w:sz="8" w:space="0"/>
              <w:bottom w:val="single" w:color="auto" w:sz="8" w:space="0"/>
            </w:tcBorders>
            <w:noWrap w:val="0"/>
            <w:vAlign w:val="center"/>
          </w:tcPr>
          <w:p w14:paraId="4863891E">
            <w:pPr>
              <w:adjustRightInd w:val="0"/>
              <w:snapToGrid w:val="0"/>
              <w:jc w:val="center"/>
              <w:rPr>
                <w:rFonts w:ascii="宋体" w:hAnsi="宋体"/>
                <w:sz w:val="18"/>
                <w:szCs w:val="18"/>
              </w:rPr>
            </w:pPr>
            <w:r>
              <w:rPr>
                <w:rFonts w:ascii="宋体" w:hAnsi="宋体"/>
                <w:bCs/>
                <w:sz w:val="18"/>
                <w:szCs w:val="18"/>
              </w:rPr>
              <w:t>评定细项分值</w:t>
            </w:r>
          </w:p>
        </w:tc>
        <w:tc>
          <w:tcPr>
            <w:tcW w:w="590" w:type="dxa"/>
            <w:tcBorders>
              <w:top w:val="single" w:color="auto" w:sz="8" w:space="0"/>
              <w:bottom w:val="single" w:color="auto" w:sz="8" w:space="0"/>
            </w:tcBorders>
            <w:noWrap w:val="0"/>
            <w:vAlign w:val="center"/>
          </w:tcPr>
          <w:p w14:paraId="08F7C690">
            <w:pPr>
              <w:adjustRightInd w:val="0"/>
              <w:snapToGrid w:val="0"/>
              <w:jc w:val="center"/>
              <w:rPr>
                <w:rFonts w:ascii="宋体" w:hAnsi="宋体"/>
                <w:sz w:val="18"/>
                <w:szCs w:val="18"/>
              </w:rPr>
            </w:pPr>
            <w:r>
              <w:rPr>
                <w:rFonts w:ascii="宋体" w:hAnsi="宋体"/>
                <w:bCs/>
                <w:sz w:val="18"/>
                <w:szCs w:val="18"/>
              </w:rPr>
              <w:t>评定条款分值</w:t>
            </w:r>
          </w:p>
        </w:tc>
        <w:tc>
          <w:tcPr>
            <w:tcW w:w="3058" w:type="dxa"/>
            <w:tcBorders>
              <w:top w:val="single" w:color="auto" w:sz="8" w:space="0"/>
              <w:bottom w:val="single" w:color="auto" w:sz="8" w:space="0"/>
            </w:tcBorders>
            <w:noWrap w:val="0"/>
            <w:vAlign w:val="center"/>
          </w:tcPr>
          <w:p w14:paraId="13F2D000">
            <w:pPr>
              <w:adjustRightInd w:val="0"/>
              <w:snapToGrid w:val="0"/>
              <w:jc w:val="center"/>
              <w:rPr>
                <w:rFonts w:ascii="宋体" w:hAnsi="宋体"/>
                <w:sz w:val="18"/>
                <w:szCs w:val="18"/>
              </w:rPr>
            </w:pPr>
            <w:r>
              <w:rPr>
                <w:rFonts w:ascii="宋体" w:hAnsi="宋体"/>
                <w:bCs/>
                <w:sz w:val="18"/>
                <w:szCs w:val="18"/>
              </w:rPr>
              <w:t>评分标准</w:t>
            </w:r>
          </w:p>
        </w:tc>
        <w:tc>
          <w:tcPr>
            <w:tcW w:w="599" w:type="dxa"/>
            <w:tcBorders>
              <w:top w:val="single" w:color="auto" w:sz="8" w:space="0"/>
              <w:bottom w:val="single" w:color="auto" w:sz="8" w:space="0"/>
            </w:tcBorders>
            <w:noWrap w:val="0"/>
            <w:vAlign w:val="center"/>
          </w:tcPr>
          <w:p w14:paraId="63B30CCD">
            <w:pPr>
              <w:adjustRightInd w:val="0"/>
              <w:snapToGrid w:val="0"/>
              <w:jc w:val="center"/>
              <w:rPr>
                <w:rFonts w:ascii="宋体" w:hAnsi="宋体"/>
                <w:sz w:val="18"/>
                <w:szCs w:val="18"/>
              </w:rPr>
            </w:pPr>
            <w:r>
              <w:rPr>
                <w:rFonts w:ascii="宋体" w:hAnsi="宋体"/>
                <w:bCs/>
                <w:sz w:val="18"/>
                <w:szCs w:val="18"/>
              </w:rPr>
              <w:t>评定得分</w:t>
            </w:r>
          </w:p>
        </w:tc>
        <w:tc>
          <w:tcPr>
            <w:tcW w:w="1259" w:type="dxa"/>
            <w:tcBorders>
              <w:top w:val="single" w:color="auto" w:sz="8" w:space="0"/>
              <w:bottom w:val="single" w:color="auto" w:sz="8" w:space="0"/>
            </w:tcBorders>
            <w:noWrap w:val="0"/>
            <w:vAlign w:val="center"/>
          </w:tcPr>
          <w:p w14:paraId="28FEDE1C">
            <w:pPr>
              <w:adjustRightInd w:val="0"/>
              <w:snapToGrid w:val="0"/>
              <w:jc w:val="center"/>
              <w:rPr>
                <w:rFonts w:ascii="宋体" w:hAnsi="宋体"/>
                <w:sz w:val="18"/>
                <w:szCs w:val="18"/>
              </w:rPr>
            </w:pPr>
            <w:r>
              <w:rPr>
                <w:rFonts w:ascii="宋体" w:hAnsi="宋体"/>
                <w:bCs/>
                <w:sz w:val="18"/>
                <w:szCs w:val="18"/>
              </w:rPr>
              <w:t>扣分说明</w:t>
            </w:r>
          </w:p>
        </w:tc>
        <w:tc>
          <w:tcPr>
            <w:tcW w:w="1489" w:type="dxa"/>
            <w:tcBorders>
              <w:top w:val="single" w:color="auto" w:sz="8" w:space="0"/>
              <w:bottom w:val="single" w:color="auto" w:sz="8" w:space="0"/>
            </w:tcBorders>
            <w:noWrap w:val="0"/>
            <w:vAlign w:val="center"/>
          </w:tcPr>
          <w:p w14:paraId="5ACE7EF0">
            <w:pPr>
              <w:adjustRightInd w:val="0"/>
              <w:snapToGrid w:val="0"/>
              <w:jc w:val="center"/>
              <w:rPr>
                <w:rFonts w:ascii="宋体" w:hAnsi="宋体"/>
                <w:sz w:val="18"/>
                <w:szCs w:val="18"/>
              </w:rPr>
            </w:pPr>
            <w:r>
              <w:rPr>
                <w:rFonts w:ascii="宋体" w:hAnsi="宋体"/>
                <w:bCs/>
                <w:sz w:val="18"/>
                <w:szCs w:val="18"/>
              </w:rPr>
              <w:t>对应条款编号</w:t>
            </w:r>
          </w:p>
        </w:tc>
      </w:tr>
      <w:tr w14:paraId="73CD1F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52DA90DF">
            <w:pPr>
              <w:adjustRightInd w:val="0"/>
              <w:snapToGrid w:val="0"/>
              <w:jc w:val="center"/>
              <w:rPr>
                <w:rFonts w:hint="default" w:ascii="宋体" w:hAnsi="宋体" w:eastAsia="宋体"/>
                <w:bCs/>
                <w:sz w:val="18"/>
                <w:szCs w:val="18"/>
                <w:lang w:val="en-US" w:eastAsia="zh-CN"/>
              </w:rPr>
            </w:pPr>
          </w:p>
        </w:tc>
        <w:tc>
          <w:tcPr>
            <w:tcW w:w="6279" w:type="dxa"/>
            <w:tcBorders>
              <w:top w:val="single" w:color="auto" w:sz="8" w:space="0"/>
              <w:bottom w:val="single" w:color="auto" w:sz="8" w:space="0"/>
            </w:tcBorders>
            <w:noWrap w:val="0"/>
            <w:vAlign w:val="center"/>
          </w:tcPr>
          <w:p w14:paraId="42AE7831">
            <w:pPr>
              <w:adjustRightInd w:val="0"/>
              <w:snapToGrid w:val="0"/>
              <w:rPr>
                <w:rFonts w:hint="eastAsia" w:ascii="宋体" w:hAnsi="宋体"/>
                <w:bCs/>
                <w:sz w:val="18"/>
                <w:szCs w:val="18"/>
                <w:lang w:eastAsia="zh-CN"/>
              </w:rPr>
            </w:pPr>
            <w:r>
              <w:rPr>
                <w:rFonts w:hint="eastAsia" w:ascii="宋体" w:hAnsi="宋体"/>
                <w:bCs/>
                <w:sz w:val="18"/>
                <w:szCs w:val="18"/>
                <w:lang w:val="en-US" w:eastAsia="zh-CN"/>
              </w:rPr>
              <w:t>h</w:t>
            </w:r>
            <w:r>
              <w:rPr>
                <w:rFonts w:hint="eastAsia" w:ascii="宋体" w:hAnsi="宋体"/>
                <w:bCs/>
                <w:sz w:val="18"/>
                <w:szCs w:val="18"/>
              </w:rPr>
              <w:t>）沿斜坡提升段或架空轨道高空处应设置安全通道，安全通道固可靠</w:t>
            </w:r>
            <w:r>
              <w:rPr>
                <w:rFonts w:hint="eastAsia" w:ascii="宋体" w:hAnsi="宋体"/>
                <w:bCs/>
                <w:sz w:val="18"/>
                <w:szCs w:val="18"/>
                <w:lang w:eastAsia="zh-CN"/>
              </w:rPr>
              <w:t>；</w:t>
            </w:r>
          </w:p>
          <w:p w14:paraId="60361E08">
            <w:pPr>
              <w:adjustRightInd w:val="0"/>
              <w:snapToGrid w:val="0"/>
              <w:rPr>
                <w:rFonts w:hint="eastAsia" w:ascii="宋体" w:hAnsi="宋体"/>
                <w:bCs/>
                <w:sz w:val="18"/>
                <w:szCs w:val="18"/>
              </w:rPr>
            </w:pPr>
            <w:r>
              <w:rPr>
                <w:rFonts w:hint="eastAsia" w:ascii="宋体" w:hAnsi="宋体"/>
                <w:bCs/>
                <w:sz w:val="18"/>
                <w:szCs w:val="18"/>
                <w:lang w:val="en-US" w:eastAsia="zh-CN"/>
              </w:rPr>
              <w:t>i</w:t>
            </w:r>
            <w:r>
              <w:rPr>
                <w:rFonts w:hint="eastAsia" w:ascii="宋体" w:hAnsi="宋体"/>
                <w:bCs/>
                <w:sz w:val="18"/>
                <w:szCs w:val="18"/>
              </w:rPr>
              <w:t>）在有可能导致人体、物体落而造成伤害的地方</w:t>
            </w:r>
            <w:r>
              <w:rPr>
                <w:rFonts w:hint="eastAsia" w:ascii="宋体" w:hAnsi="宋体"/>
                <w:bCs/>
                <w:sz w:val="18"/>
                <w:szCs w:val="18"/>
                <w:lang w:eastAsia="zh-CN"/>
              </w:rPr>
              <w:t>，</w:t>
            </w:r>
            <w:r>
              <w:rPr>
                <w:rFonts w:hint="eastAsia" w:ascii="宋体" w:hAnsi="宋体"/>
                <w:bCs/>
                <w:sz w:val="18"/>
                <w:szCs w:val="18"/>
              </w:rPr>
              <w:t>应设置安全网</w:t>
            </w:r>
            <w:r>
              <w:rPr>
                <w:rFonts w:hint="eastAsia" w:ascii="宋体" w:hAnsi="宋体"/>
                <w:bCs/>
                <w:sz w:val="18"/>
                <w:szCs w:val="18"/>
                <w:lang w:eastAsia="zh-CN"/>
              </w:rPr>
              <w:t>，</w:t>
            </w:r>
            <w:r>
              <w:rPr>
                <w:rFonts w:hint="eastAsia" w:ascii="宋体" w:hAnsi="宋体"/>
                <w:bCs/>
                <w:sz w:val="18"/>
                <w:szCs w:val="18"/>
              </w:rPr>
              <w:t>安全网的联接应可靠；</w:t>
            </w:r>
          </w:p>
          <w:p w14:paraId="545FE5DB">
            <w:pPr>
              <w:adjustRightInd w:val="0"/>
              <w:snapToGrid w:val="0"/>
              <w:rPr>
                <w:rFonts w:hint="eastAsia" w:ascii="宋体" w:hAnsi="宋体"/>
                <w:bCs/>
                <w:sz w:val="18"/>
                <w:szCs w:val="18"/>
              </w:rPr>
            </w:pPr>
            <w:r>
              <w:rPr>
                <w:rFonts w:hint="eastAsia" w:ascii="宋体" w:hAnsi="宋体"/>
                <w:bCs/>
                <w:sz w:val="18"/>
                <w:szCs w:val="18"/>
                <w:lang w:val="en-US" w:eastAsia="zh-CN"/>
              </w:rPr>
              <w:t>j</w:t>
            </w:r>
            <w:r>
              <w:rPr>
                <w:rFonts w:hint="eastAsia" w:ascii="宋体" w:hAnsi="宋体"/>
                <w:bCs/>
                <w:sz w:val="18"/>
                <w:szCs w:val="18"/>
              </w:rPr>
              <w:t>）用于检查维修用的爬梯、通道、平台应牢固可靠</w:t>
            </w:r>
            <w:r>
              <w:rPr>
                <w:rFonts w:hint="eastAsia" w:ascii="宋体" w:hAnsi="宋体"/>
                <w:bCs/>
                <w:sz w:val="18"/>
                <w:szCs w:val="18"/>
                <w:lang w:eastAsia="zh-CN"/>
              </w:rPr>
              <w:t>，</w:t>
            </w:r>
            <w:r>
              <w:rPr>
                <w:rFonts w:hint="eastAsia" w:ascii="宋体" w:hAnsi="宋体"/>
                <w:bCs/>
                <w:sz w:val="18"/>
                <w:szCs w:val="18"/>
              </w:rPr>
              <w:t>高于3</w:t>
            </w:r>
            <w:r>
              <w:rPr>
                <w:rFonts w:hint="eastAsia" w:ascii="宋体" w:hAnsi="宋体"/>
                <w:bCs/>
                <w:sz w:val="18"/>
                <w:szCs w:val="18"/>
                <w:lang w:val="en-US" w:eastAsia="zh-CN"/>
              </w:rPr>
              <w:t xml:space="preserve"> </w:t>
            </w:r>
            <w:r>
              <w:rPr>
                <w:rFonts w:hint="eastAsia" w:ascii="宋体" w:hAnsi="宋体"/>
                <w:bCs/>
                <w:sz w:val="18"/>
                <w:szCs w:val="18"/>
              </w:rPr>
              <w:t>m的爬梯应有防护装置或设有安全带挂接装置</w:t>
            </w:r>
            <w:r>
              <w:rPr>
                <w:rFonts w:hint="eastAsia" w:ascii="宋体" w:hAnsi="宋体"/>
                <w:bCs/>
                <w:sz w:val="18"/>
                <w:szCs w:val="18"/>
                <w:lang w:eastAsia="zh-CN"/>
              </w:rPr>
              <w:t>；</w:t>
            </w:r>
            <w:r>
              <w:rPr>
                <w:rFonts w:hint="eastAsia" w:ascii="宋体" w:hAnsi="宋体"/>
                <w:bCs/>
                <w:sz w:val="18"/>
                <w:szCs w:val="18"/>
              </w:rPr>
              <w:t xml:space="preserve"> </w:t>
            </w:r>
          </w:p>
          <w:p w14:paraId="39B7D87E">
            <w:pPr>
              <w:adjustRightInd w:val="0"/>
              <w:snapToGrid w:val="0"/>
              <w:rPr>
                <w:rFonts w:hint="eastAsia" w:ascii="宋体" w:hAnsi="宋体"/>
                <w:bCs/>
                <w:sz w:val="18"/>
                <w:szCs w:val="18"/>
              </w:rPr>
            </w:pPr>
            <w:r>
              <w:rPr>
                <w:rFonts w:hint="eastAsia" w:ascii="宋体" w:hAnsi="宋体"/>
                <w:bCs/>
                <w:sz w:val="18"/>
                <w:szCs w:val="18"/>
                <w:lang w:val="en-US" w:eastAsia="zh-CN"/>
              </w:rPr>
              <w:t>k</w:t>
            </w:r>
            <w:r>
              <w:rPr>
                <w:rFonts w:hint="eastAsia" w:ascii="宋体" w:hAnsi="宋体"/>
                <w:bCs/>
                <w:sz w:val="18"/>
                <w:szCs w:val="18"/>
              </w:rPr>
              <w:t>）应在游乐设施明显位置张贴安全警示</w:t>
            </w:r>
            <w:r>
              <w:rPr>
                <w:rFonts w:hint="eastAsia" w:ascii="宋体" w:hAnsi="宋体"/>
                <w:bCs/>
                <w:sz w:val="18"/>
                <w:szCs w:val="18"/>
                <w:lang w:val="en-US" w:eastAsia="zh-CN"/>
              </w:rPr>
              <w:t>标志</w:t>
            </w:r>
            <w:r>
              <w:rPr>
                <w:rFonts w:hint="eastAsia" w:ascii="宋体" w:hAnsi="宋体"/>
                <w:bCs/>
                <w:sz w:val="18"/>
                <w:szCs w:val="18"/>
              </w:rPr>
              <w:t>。</w:t>
            </w:r>
          </w:p>
        </w:tc>
        <w:tc>
          <w:tcPr>
            <w:tcW w:w="599" w:type="dxa"/>
            <w:tcBorders>
              <w:top w:val="single" w:color="auto" w:sz="8" w:space="0"/>
              <w:bottom w:val="single" w:color="auto" w:sz="8" w:space="0"/>
            </w:tcBorders>
            <w:noWrap w:val="0"/>
            <w:vAlign w:val="center"/>
          </w:tcPr>
          <w:p w14:paraId="6ACEE4D2">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055120A2">
            <w:pPr>
              <w:adjustRightInd w:val="0"/>
              <w:snapToGrid w:val="0"/>
              <w:jc w:val="center"/>
              <w:rPr>
                <w:rFonts w:ascii="宋体" w:hAnsi="宋体"/>
                <w:bCs/>
                <w:sz w:val="18"/>
                <w:szCs w:val="18"/>
              </w:rPr>
            </w:pPr>
          </w:p>
        </w:tc>
        <w:tc>
          <w:tcPr>
            <w:tcW w:w="590" w:type="dxa"/>
            <w:tcBorders>
              <w:top w:val="single" w:color="auto" w:sz="8" w:space="0"/>
              <w:bottom w:val="single" w:color="auto" w:sz="8" w:space="0"/>
            </w:tcBorders>
            <w:noWrap w:val="0"/>
            <w:vAlign w:val="center"/>
          </w:tcPr>
          <w:p w14:paraId="095A0828">
            <w:pPr>
              <w:ind w:right="33" w:rightChars="16"/>
              <w:jc w:val="center"/>
              <w:rPr>
                <w:rFonts w:hint="eastAsia" w:ascii="宋体" w:hAnsi="宋体" w:eastAsia="宋体" w:cs="Times New Roman"/>
                <w:kern w:val="2"/>
                <w:sz w:val="18"/>
                <w:szCs w:val="18"/>
                <w:lang w:val="en-US" w:eastAsia="zh-CN" w:bidi="ar-SA"/>
              </w:rPr>
            </w:pPr>
          </w:p>
        </w:tc>
        <w:tc>
          <w:tcPr>
            <w:tcW w:w="3058" w:type="dxa"/>
            <w:tcBorders>
              <w:top w:val="single" w:color="auto" w:sz="8" w:space="0"/>
              <w:bottom w:val="single" w:color="auto" w:sz="8" w:space="0"/>
            </w:tcBorders>
            <w:noWrap w:val="0"/>
            <w:vAlign w:val="center"/>
          </w:tcPr>
          <w:p w14:paraId="3EDFC8AE">
            <w:pPr>
              <w:ind w:right="33" w:rightChars="16"/>
              <w:jc w:val="left"/>
              <w:rPr>
                <w:rFonts w:ascii="宋体" w:hAnsi="宋体" w:eastAsia="宋体" w:cs="Times New Roman"/>
                <w:kern w:val="2"/>
                <w:sz w:val="18"/>
                <w:szCs w:val="18"/>
                <w:lang w:val="en-US" w:eastAsia="zh-CN" w:bidi="ar-SA"/>
              </w:rPr>
            </w:pPr>
          </w:p>
        </w:tc>
        <w:tc>
          <w:tcPr>
            <w:tcW w:w="599" w:type="dxa"/>
            <w:tcBorders>
              <w:top w:val="single" w:color="auto" w:sz="8" w:space="0"/>
              <w:bottom w:val="single" w:color="auto" w:sz="8" w:space="0"/>
            </w:tcBorders>
            <w:noWrap w:val="0"/>
            <w:vAlign w:val="center"/>
          </w:tcPr>
          <w:p w14:paraId="06998477">
            <w:pPr>
              <w:adjustRightInd w:val="0"/>
              <w:snapToGrid w:val="0"/>
              <w:jc w:val="center"/>
              <w:rPr>
                <w:rFonts w:ascii="宋体" w:hAnsi="宋体"/>
                <w:bCs/>
                <w:sz w:val="18"/>
                <w:szCs w:val="18"/>
              </w:rPr>
            </w:pPr>
          </w:p>
        </w:tc>
        <w:tc>
          <w:tcPr>
            <w:tcW w:w="1259" w:type="dxa"/>
            <w:tcBorders>
              <w:top w:val="single" w:color="auto" w:sz="8" w:space="0"/>
              <w:bottom w:val="single" w:color="auto" w:sz="8" w:space="0"/>
            </w:tcBorders>
            <w:noWrap w:val="0"/>
            <w:vAlign w:val="center"/>
          </w:tcPr>
          <w:p w14:paraId="4A1C4F38">
            <w:pPr>
              <w:adjustRightInd w:val="0"/>
              <w:snapToGrid w:val="0"/>
              <w:jc w:val="center"/>
              <w:rPr>
                <w:rFonts w:ascii="宋体" w:hAnsi="宋体"/>
                <w:bCs/>
                <w:sz w:val="18"/>
                <w:szCs w:val="18"/>
              </w:rPr>
            </w:pPr>
          </w:p>
        </w:tc>
        <w:tc>
          <w:tcPr>
            <w:tcW w:w="1489" w:type="dxa"/>
            <w:tcBorders>
              <w:top w:val="single" w:color="auto" w:sz="8" w:space="0"/>
              <w:bottom w:val="single" w:color="auto" w:sz="8" w:space="0"/>
            </w:tcBorders>
            <w:noWrap w:val="0"/>
            <w:vAlign w:val="center"/>
          </w:tcPr>
          <w:p w14:paraId="15B7E801">
            <w:pPr>
              <w:adjustRightInd w:val="0"/>
              <w:snapToGrid w:val="0"/>
              <w:jc w:val="center"/>
              <w:rPr>
                <w:rFonts w:hint="eastAsia" w:ascii="宋体" w:hAnsi="宋体" w:eastAsia="宋体"/>
                <w:bCs/>
                <w:sz w:val="18"/>
                <w:szCs w:val="18"/>
                <w:lang w:val="en-US" w:eastAsia="zh-CN"/>
              </w:rPr>
            </w:pPr>
          </w:p>
        </w:tc>
      </w:tr>
      <w:tr w14:paraId="08EA18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top"/>
          </w:tcPr>
          <w:p w14:paraId="7D039D28">
            <w:pPr>
              <w:adjustRightInd w:val="0"/>
              <w:snapToGrid w:val="0"/>
              <w:jc w:val="center"/>
              <w:rPr>
                <w:rFonts w:hint="eastAsia" w:ascii="宋体" w:hAnsi="宋体"/>
                <w:bCs/>
                <w:sz w:val="18"/>
                <w:szCs w:val="18"/>
              </w:rPr>
            </w:pPr>
            <w:r>
              <w:rPr>
                <w:rFonts w:hint="eastAsia" w:ascii="宋体" w:hAnsi="宋体"/>
                <w:bCs/>
                <w:sz w:val="18"/>
                <w:szCs w:val="18"/>
              </w:rPr>
              <w:t>3.2</w:t>
            </w:r>
          </w:p>
        </w:tc>
        <w:tc>
          <w:tcPr>
            <w:tcW w:w="6279" w:type="dxa"/>
            <w:tcBorders>
              <w:top w:val="single" w:color="auto" w:sz="8" w:space="0"/>
              <w:bottom w:val="single" w:color="auto" w:sz="8" w:space="0"/>
            </w:tcBorders>
            <w:noWrap w:val="0"/>
            <w:vAlign w:val="center"/>
          </w:tcPr>
          <w:p w14:paraId="1A64C890">
            <w:pPr>
              <w:adjustRightInd w:val="0"/>
              <w:snapToGrid w:val="0"/>
              <w:rPr>
                <w:rFonts w:ascii="宋体" w:hAnsi="宋体"/>
                <w:bCs/>
                <w:sz w:val="18"/>
                <w:szCs w:val="18"/>
              </w:rPr>
            </w:pPr>
            <w:r>
              <w:rPr>
                <w:rFonts w:hint="eastAsia" w:ascii="宋体" w:hAnsi="宋体"/>
                <w:bCs/>
                <w:sz w:val="18"/>
                <w:szCs w:val="18"/>
              </w:rPr>
              <w:t>餐饮设备设施</w:t>
            </w:r>
          </w:p>
        </w:tc>
        <w:tc>
          <w:tcPr>
            <w:tcW w:w="599" w:type="dxa"/>
            <w:tcBorders>
              <w:top w:val="single" w:color="auto" w:sz="8" w:space="0"/>
              <w:bottom w:val="single" w:color="auto" w:sz="8" w:space="0"/>
            </w:tcBorders>
            <w:noWrap w:val="0"/>
            <w:vAlign w:val="center"/>
          </w:tcPr>
          <w:p w14:paraId="7BEDAD05">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46DAE01D">
            <w:pPr>
              <w:adjustRightInd w:val="0"/>
              <w:snapToGrid w:val="0"/>
              <w:jc w:val="center"/>
              <w:rPr>
                <w:rFonts w:hint="eastAsia" w:ascii="宋体" w:hAnsi="宋体"/>
                <w:bCs/>
                <w:sz w:val="18"/>
                <w:szCs w:val="18"/>
              </w:rPr>
            </w:pPr>
            <w:r>
              <w:rPr>
                <w:rFonts w:hint="eastAsia" w:ascii="宋体" w:hAnsi="宋体"/>
                <w:bCs/>
                <w:sz w:val="18"/>
                <w:szCs w:val="18"/>
              </w:rPr>
              <w:t>20</w:t>
            </w:r>
          </w:p>
        </w:tc>
        <w:tc>
          <w:tcPr>
            <w:tcW w:w="590" w:type="dxa"/>
            <w:tcBorders>
              <w:top w:val="single" w:color="auto" w:sz="8" w:space="0"/>
              <w:bottom w:val="single" w:color="auto" w:sz="8" w:space="0"/>
            </w:tcBorders>
            <w:noWrap w:val="0"/>
            <w:vAlign w:val="center"/>
          </w:tcPr>
          <w:p w14:paraId="7BF2A199">
            <w:pPr>
              <w:ind w:firstLine="180" w:firstLineChars="100"/>
              <w:rPr>
                <w:rFonts w:hint="eastAsia" w:ascii="宋体" w:hAnsi="宋体" w:cs="宋体"/>
                <w:sz w:val="18"/>
                <w:szCs w:val="18"/>
              </w:rPr>
            </w:pPr>
          </w:p>
        </w:tc>
        <w:tc>
          <w:tcPr>
            <w:tcW w:w="3058" w:type="dxa"/>
            <w:tcBorders>
              <w:top w:val="single" w:color="auto" w:sz="8" w:space="0"/>
              <w:bottom w:val="single" w:color="auto" w:sz="8" w:space="0"/>
            </w:tcBorders>
            <w:noWrap w:val="0"/>
            <w:vAlign w:val="center"/>
          </w:tcPr>
          <w:p w14:paraId="152D8B74">
            <w:pPr>
              <w:adjustRightInd w:val="0"/>
              <w:snapToGrid w:val="0"/>
              <w:rPr>
                <w:rFonts w:ascii="宋体" w:hAnsi="宋体"/>
                <w:bCs/>
                <w:sz w:val="18"/>
                <w:szCs w:val="18"/>
              </w:rPr>
            </w:pPr>
          </w:p>
        </w:tc>
        <w:tc>
          <w:tcPr>
            <w:tcW w:w="599" w:type="dxa"/>
            <w:tcBorders>
              <w:top w:val="single" w:color="auto" w:sz="8" w:space="0"/>
              <w:bottom w:val="single" w:color="auto" w:sz="8" w:space="0"/>
            </w:tcBorders>
            <w:noWrap w:val="0"/>
            <w:vAlign w:val="center"/>
          </w:tcPr>
          <w:p w14:paraId="380B581F">
            <w:pPr>
              <w:adjustRightInd w:val="0"/>
              <w:snapToGrid w:val="0"/>
              <w:jc w:val="center"/>
              <w:rPr>
                <w:rFonts w:ascii="宋体" w:hAnsi="宋体"/>
                <w:bCs/>
                <w:sz w:val="18"/>
                <w:szCs w:val="18"/>
              </w:rPr>
            </w:pPr>
          </w:p>
        </w:tc>
        <w:tc>
          <w:tcPr>
            <w:tcW w:w="1259" w:type="dxa"/>
            <w:tcBorders>
              <w:top w:val="single" w:color="auto" w:sz="8" w:space="0"/>
              <w:bottom w:val="single" w:color="auto" w:sz="8" w:space="0"/>
            </w:tcBorders>
            <w:noWrap w:val="0"/>
            <w:vAlign w:val="center"/>
          </w:tcPr>
          <w:p w14:paraId="41EF357B">
            <w:pPr>
              <w:adjustRightInd w:val="0"/>
              <w:snapToGrid w:val="0"/>
              <w:jc w:val="center"/>
              <w:rPr>
                <w:rFonts w:ascii="宋体" w:hAnsi="宋体"/>
                <w:bCs/>
                <w:sz w:val="18"/>
                <w:szCs w:val="18"/>
              </w:rPr>
            </w:pPr>
          </w:p>
        </w:tc>
        <w:tc>
          <w:tcPr>
            <w:tcW w:w="1489" w:type="dxa"/>
            <w:tcBorders>
              <w:top w:val="single" w:color="auto" w:sz="8" w:space="0"/>
              <w:bottom w:val="single" w:color="auto" w:sz="8" w:space="0"/>
            </w:tcBorders>
            <w:noWrap w:val="0"/>
            <w:vAlign w:val="top"/>
          </w:tcPr>
          <w:p w14:paraId="58D290B9">
            <w:pPr>
              <w:widowControl/>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bCs/>
                <w:sz w:val="18"/>
                <w:szCs w:val="18"/>
                <w:lang w:eastAsia="zh-CN"/>
              </w:rPr>
              <w:t>4.3</w:t>
            </w:r>
            <w:r>
              <w:rPr>
                <w:rFonts w:hint="eastAsia" w:ascii="宋体" w:hAnsi="宋体"/>
                <w:bCs/>
                <w:sz w:val="18"/>
                <w:szCs w:val="18"/>
              </w:rPr>
              <w:t>.2</w:t>
            </w:r>
          </w:p>
        </w:tc>
      </w:tr>
      <w:tr w14:paraId="3BCCF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6B511F19">
            <w:pPr>
              <w:adjustRightInd w:val="0"/>
              <w:snapToGrid w:val="0"/>
              <w:jc w:val="center"/>
              <w:rPr>
                <w:rFonts w:hint="eastAsia" w:ascii="宋体" w:hAnsi="宋体"/>
                <w:bCs/>
                <w:sz w:val="18"/>
                <w:szCs w:val="18"/>
              </w:rPr>
            </w:pPr>
            <w:r>
              <w:rPr>
                <w:rFonts w:hint="eastAsia" w:ascii="宋体" w:hAnsi="宋体"/>
                <w:bCs/>
                <w:sz w:val="18"/>
                <w:szCs w:val="18"/>
              </w:rPr>
              <w:t>3.2.1</w:t>
            </w:r>
          </w:p>
        </w:tc>
        <w:tc>
          <w:tcPr>
            <w:tcW w:w="6279" w:type="dxa"/>
            <w:tcBorders>
              <w:top w:val="single" w:color="auto" w:sz="8" w:space="0"/>
              <w:bottom w:val="single" w:color="auto" w:sz="8" w:space="0"/>
            </w:tcBorders>
            <w:noWrap w:val="0"/>
            <w:vAlign w:val="center"/>
          </w:tcPr>
          <w:p w14:paraId="794809C3">
            <w:pPr>
              <w:numPr>
                <w:ilvl w:val="-1"/>
                <w:numId w:val="0"/>
              </w:numPr>
              <w:adjustRightInd w:val="0"/>
              <w:snapToGrid w:val="0"/>
              <w:jc w:val="left"/>
              <w:rPr>
                <w:rFonts w:ascii="宋体" w:hAnsi="宋体"/>
                <w:bCs/>
                <w:sz w:val="18"/>
                <w:szCs w:val="18"/>
              </w:rPr>
            </w:pPr>
            <w:r>
              <w:rPr>
                <w:rFonts w:hint="eastAsia" w:ascii="宋体" w:hAnsi="宋体"/>
                <w:bCs/>
                <w:sz w:val="18"/>
                <w:szCs w:val="18"/>
                <w:lang w:val="en-US" w:eastAsia="zh-CN"/>
              </w:rPr>
              <w:t>瓶装液化石油气</w:t>
            </w:r>
            <w:r>
              <w:rPr>
                <w:rFonts w:hint="eastAsia" w:ascii="宋体" w:hAnsi="宋体"/>
                <w:bCs/>
                <w:sz w:val="18"/>
                <w:szCs w:val="18"/>
              </w:rPr>
              <w:t>使用一般要求应符合下列要求：</w:t>
            </w:r>
          </w:p>
          <w:p w14:paraId="30E78E8F">
            <w:pPr>
              <w:numPr>
                <w:ilvl w:val="0"/>
                <w:numId w:val="51"/>
              </w:numPr>
              <w:adjustRightInd w:val="0"/>
              <w:snapToGrid w:val="0"/>
              <w:jc w:val="left"/>
              <w:rPr>
                <w:rFonts w:hint="eastAsia" w:ascii="宋体" w:hAnsi="宋体"/>
                <w:bCs/>
                <w:sz w:val="18"/>
                <w:szCs w:val="18"/>
              </w:rPr>
            </w:pPr>
            <w:r>
              <w:rPr>
                <w:rFonts w:hint="eastAsia" w:ascii="宋体" w:hAnsi="宋体"/>
                <w:bCs/>
                <w:sz w:val="18"/>
                <w:szCs w:val="18"/>
              </w:rPr>
              <w:t>应安排专人每天对供气系统和用气设备进行巡视和检查。每次换气后，应对供气系统与气瓶连接处进行测漏检查并记录检查结果。管护方式为托管的，受托方应按照协议对供气系统和用气设备进行检查，检查后双方应在检查记录上签字确认；</w:t>
            </w:r>
          </w:p>
          <w:p w14:paraId="34D499BD">
            <w:pPr>
              <w:numPr>
                <w:ilvl w:val="0"/>
                <w:numId w:val="51"/>
              </w:numPr>
              <w:adjustRightInd w:val="0"/>
              <w:snapToGrid w:val="0"/>
              <w:jc w:val="left"/>
              <w:rPr>
                <w:rFonts w:hint="eastAsia" w:ascii="宋体" w:hAnsi="宋体"/>
                <w:bCs/>
                <w:sz w:val="18"/>
                <w:szCs w:val="18"/>
              </w:rPr>
            </w:pPr>
            <w:r>
              <w:rPr>
                <w:rFonts w:hint="eastAsia" w:ascii="宋体" w:hAnsi="宋体"/>
                <w:bCs/>
                <w:sz w:val="18"/>
                <w:szCs w:val="18"/>
              </w:rPr>
              <w:t>应在</w:t>
            </w:r>
            <w:r>
              <w:rPr>
                <w:rFonts w:hint="eastAsia" w:ascii="宋体" w:hAnsi="宋体"/>
                <w:bCs/>
                <w:sz w:val="18"/>
                <w:szCs w:val="18"/>
                <w:lang w:val="en-US" w:eastAsia="zh-CN"/>
              </w:rPr>
              <w:t>餐厅</w:t>
            </w:r>
            <w:r>
              <w:rPr>
                <w:rFonts w:hint="eastAsia" w:ascii="宋体" w:hAnsi="宋体"/>
                <w:bCs/>
                <w:sz w:val="18"/>
                <w:szCs w:val="18"/>
              </w:rPr>
              <w:t>显著位置设立燃气安全信息公示栏。公示信息内容应包括：瓶装液化石油气安全负责人照片、姓名，安全承诺书，供气</w:t>
            </w:r>
            <w:r>
              <w:rPr>
                <w:rFonts w:hint="eastAsia" w:ascii="宋体" w:hAnsi="宋体"/>
                <w:sz w:val="18"/>
                <w:szCs w:val="18"/>
                <w:lang w:val="en-US" w:eastAsia="zh-CN"/>
              </w:rPr>
              <w:t>单位</w:t>
            </w:r>
            <w:r>
              <w:rPr>
                <w:rFonts w:hint="eastAsia" w:ascii="宋体" w:hAnsi="宋体"/>
                <w:bCs/>
                <w:sz w:val="18"/>
                <w:szCs w:val="18"/>
              </w:rPr>
              <w:t>信息，安全检查记录等；</w:t>
            </w:r>
          </w:p>
          <w:p w14:paraId="7A2A88F1">
            <w:pPr>
              <w:numPr>
                <w:ilvl w:val="0"/>
                <w:numId w:val="51"/>
              </w:numPr>
              <w:adjustRightInd w:val="0"/>
              <w:snapToGrid w:val="0"/>
              <w:jc w:val="left"/>
              <w:rPr>
                <w:rFonts w:hint="eastAsia" w:ascii="宋体" w:hAnsi="宋体"/>
                <w:bCs/>
                <w:sz w:val="18"/>
                <w:szCs w:val="18"/>
              </w:rPr>
            </w:pPr>
            <w:r>
              <w:rPr>
                <w:rFonts w:hint="eastAsia" w:ascii="宋体" w:hAnsi="宋体"/>
                <w:bCs/>
                <w:sz w:val="18"/>
                <w:szCs w:val="18"/>
              </w:rPr>
              <w:t>不应在用餐场所储存和使用液化石油气气瓶和气体卡式炉。</w:t>
            </w:r>
          </w:p>
        </w:tc>
        <w:tc>
          <w:tcPr>
            <w:tcW w:w="599" w:type="dxa"/>
            <w:tcBorders>
              <w:top w:val="single" w:color="auto" w:sz="8" w:space="0"/>
              <w:bottom w:val="single" w:color="auto" w:sz="8" w:space="0"/>
            </w:tcBorders>
            <w:noWrap w:val="0"/>
            <w:vAlign w:val="center"/>
          </w:tcPr>
          <w:p w14:paraId="3EBBD6D2">
            <w:pPr>
              <w:adjustRightInd w:val="0"/>
              <w:snapToGrid w:val="0"/>
              <w:jc w:val="center"/>
              <w:rPr>
                <w:rFonts w:ascii="宋体" w:hAnsi="宋体"/>
                <w:bCs/>
                <w:sz w:val="18"/>
                <w:szCs w:val="18"/>
              </w:rPr>
            </w:pPr>
          </w:p>
        </w:tc>
        <w:tc>
          <w:tcPr>
            <w:tcW w:w="599" w:type="dxa"/>
            <w:tcBorders>
              <w:top w:val="single" w:color="auto" w:sz="8" w:space="0"/>
              <w:bottom w:val="single" w:color="auto" w:sz="8" w:space="0"/>
            </w:tcBorders>
            <w:noWrap w:val="0"/>
            <w:vAlign w:val="center"/>
          </w:tcPr>
          <w:p w14:paraId="0E6A9209">
            <w:pPr>
              <w:adjustRightInd w:val="0"/>
              <w:snapToGrid w:val="0"/>
              <w:jc w:val="center"/>
              <w:rPr>
                <w:rFonts w:ascii="宋体" w:hAnsi="宋体"/>
                <w:bCs/>
                <w:sz w:val="18"/>
                <w:szCs w:val="18"/>
              </w:rPr>
            </w:pPr>
          </w:p>
        </w:tc>
        <w:tc>
          <w:tcPr>
            <w:tcW w:w="590" w:type="dxa"/>
            <w:tcBorders>
              <w:top w:val="single" w:color="auto" w:sz="8" w:space="0"/>
              <w:bottom w:val="single" w:color="auto" w:sz="8" w:space="0"/>
            </w:tcBorders>
            <w:noWrap w:val="0"/>
            <w:vAlign w:val="center"/>
          </w:tcPr>
          <w:p w14:paraId="2BE5D07B">
            <w:pPr>
              <w:pStyle w:val="207"/>
              <w:numPr>
                <w:ilvl w:val="3"/>
                <w:numId w:val="0"/>
              </w:numPr>
              <w:adjustRightInd w:val="0"/>
              <w:snapToGrid w:val="0"/>
              <w:ind w:right="-105"/>
              <w:jc w:val="center"/>
              <w:rPr>
                <w:rFonts w:hint="eastAsia" w:ascii="宋体" w:hAnsi="宋体" w:eastAsia="宋体"/>
                <w:spacing w:val="0"/>
                <w:kern w:val="2"/>
                <w:sz w:val="18"/>
                <w:szCs w:val="18"/>
              </w:rPr>
            </w:pPr>
            <w:r>
              <w:rPr>
                <w:rFonts w:hint="eastAsia" w:ascii="宋体" w:hAnsi="宋体" w:eastAsia="宋体" w:cs="宋体"/>
                <w:sz w:val="18"/>
                <w:szCs w:val="18"/>
              </w:rPr>
              <w:t>2</w:t>
            </w:r>
          </w:p>
        </w:tc>
        <w:tc>
          <w:tcPr>
            <w:tcW w:w="3058" w:type="dxa"/>
            <w:tcBorders>
              <w:top w:val="single" w:color="auto" w:sz="8" w:space="0"/>
              <w:bottom w:val="single" w:color="auto" w:sz="8" w:space="0"/>
            </w:tcBorders>
            <w:noWrap w:val="0"/>
            <w:vAlign w:val="center"/>
          </w:tcPr>
          <w:p w14:paraId="4CC12D7B">
            <w:pPr>
              <w:pStyle w:val="207"/>
              <w:numPr>
                <w:ilvl w:val="3"/>
                <w:numId w:val="0"/>
              </w:numPr>
              <w:adjustRightInd w:val="0"/>
              <w:snapToGrid w:val="0"/>
              <w:ind w:right="-105"/>
              <w:rPr>
                <w:rFonts w:ascii="宋体" w:hAnsi="宋体" w:eastAsia="宋体"/>
                <w:bCs/>
                <w:sz w:val="18"/>
                <w:szCs w:val="18"/>
              </w:rPr>
            </w:pPr>
            <w:r>
              <w:rPr>
                <w:rFonts w:ascii="宋体" w:hAnsi="宋体" w:eastAsia="宋体"/>
                <w:bCs/>
                <w:sz w:val="18"/>
                <w:szCs w:val="18"/>
              </w:rPr>
              <w:t>一</w:t>
            </w:r>
            <w:r>
              <w:rPr>
                <w:rFonts w:hint="eastAsia" w:ascii="宋体" w:hAnsi="宋体" w:eastAsia="宋体"/>
                <w:bCs/>
                <w:sz w:val="18"/>
                <w:szCs w:val="18"/>
              </w:rPr>
              <w:t>处</w:t>
            </w:r>
            <w:r>
              <w:rPr>
                <w:rFonts w:ascii="宋体" w:hAnsi="宋体" w:eastAsia="宋体"/>
                <w:bCs/>
                <w:sz w:val="18"/>
                <w:szCs w:val="18"/>
              </w:rPr>
              <w:t>不符合扣</w:t>
            </w:r>
            <w:r>
              <w:rPr>
                <w:rFonts w:hint="eastAsia" w:ascii="宋体" w:hAnsi="宋体" w:eastAsia="宋体"/>
                <w:bCs/>
                <w:sz w:val="18"/>
                <w:szCs w:val="18"/>
              </w:rPr>
              <w:t>1分。</w:t>
            </w:r>
          </w:p>
        </w:tc>
        <w:tc>
          <w:tcPr>
            <w:tcW w:w="599" w:type="dxa"/>
            <w:tcBorders>
              <w:top w:val="single" w:color="auto" w:sz="8" w:space="0"/>
              <w:bottom w:val="single" w:color="auto" w:sz="8" w:space="0"/>
            </w:tcBorders>
            <w:noWrap w:val="0"/>
            <w:vAlign w:val="center"/>
          </w:tcPr>
          <w:p w14:paraId="24798C24">
            <w:pPr>
              <w:adjustRightInd w:val="0"/>
              <w:snapToGrid w:val="0"/>
              <w:jc w:val="center"/>
              <w:rPr>
                <w:rFonts w:ascii="宋体" w:hAnsi="宋体"/>
                <w:bCs/>
                <w:sz w:val="18"/>
                <w:szCs w:val="18"/>
              </w:rPr>
            </w:pPr>
          </w:p>
        </w:tc>
        <w:tc>
          <w:tcPr>
            <w:tcW w:w="1259" w:type="dxa"/>
            <w:tcBorders>
              <w:top w:val="single" w:color="auto" w:sz="8" w:space="0"/>
              <w:bottom w:val="single" w:color="auto" w:sz="8" w:space="0"/>
            </w:tcBorders>
            <w:noWrap w:val="0"/>
            <w:vAlign w:val="center"/>
          </w:tcPr>
          <w:p w14:paraId="282AD7DC">
            <w:pPr>
              <w:adjustRightInd w:val="0"/>
              <w:snapToGrid w:val="0"/>
              <w:jc w:val="center"/>
              <w:rPr>
                <w:rFonts w:ascii="宋体" w:hAnsi="宋体"/>
                <w:bCs/>
                <w:sz w:val="18"/>
                <w:szCs w:val="18"/>
              </w:rPr>
            </w:pPr>
          </w:p>
        </w:tc>
        <w:tc>
          <w:tcPr>
            <w:tcW w:w="1489" w:type="dxa"/>
            <w:tcBorders>
              <w:top w:val="single" w:color="auto" w:sz="8" w:space="0"/>
              <w:bottom w:val="single" w:color="auto" w:sz="8" w:space="0"/>
            </w:tcBorders>
            <w:noWrap w:val="0"/>
            <w:vAlign w:val="center"/>
          </w:tcPr>
          <w:p w14:paraId="6E739A2A">
            <w:pPr>
              <w:ind w:right="33" w:rightChars="16"/>
              <w:jc w:val="center"/>
              <w:rPr>
                <w:rFonts w:ascii="宋体" w:hAnsi="宋体"/>
                <w:sz w:val="18"/>
                <w:szCs w:val="18"/>
              </w:rPr>
            </w:pPr>
            <w:r>
              <w:rPr>
                <w:rFonts w:hint="eastAsia" w:ascii="宋体" w:hAnsi="宋体"/>
                <w:bCs/>
                <w:sz w:val="18"/>
                <w:szCs w:val="18"/>
                <w:lang w:eastAsia="zh-CN"/>
              </w:rPr>
              <w:t>4.3</w:t>
            </w:r>
            <w:r>
              <w:rPr>
                <w:rFonts w:hint="eastAsia" w:ascii="宋体" w:hAnsi="宋体"/>
                <w:bCs/>
                <w:sz w:val="18"/>
                <w:szCs w:val="18"/>
              </w:rPr>
              <w:t>.2.1</w:t>
            </w:r>
          </w:p>
        </w:tc>
      </w:tr>
      <w:tr w14:paraId="22989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81" w:type="dxa"/>
            <w:tcBorders>
              <w:top w:val="single" w:color="auto" w:sz="8" w:space="0"/>
              <w:bottom w:val="single" w:color="auto" w:sz="8" w:space="0"/>
            </w:tcBorders>
            <w:noWrap w:val="0"/>
            <w:vAlign w:val="center"/>
          </w:tcPr>
          <w:p w14:paraId="6C2D604E">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3.2.2</w:t>
            </w:r>
          </w:p>
        </w:tc>
        <w:tc>
          <w:tcPr>
            <w:tcW w:w="6279" w:type="dxa"/>
            <w:tcBorders>
              <w:top w:val="single" w:color="auto" w:sz="8" w:space="0"/>
              <w:bottom w:val="single" w:color="auto" w:sz="8" w:space="0"/>
            </w:tcBorders>
            <w:noWrap w:val="0"/>
            <w:vAlign w:val="center"/>
          </w:tcPr>
          <w:p w14:paraId="1C757886">
            <w:pPr>
              <w:adjustRightInd w:val="0"/>
              <w:snapToGrid w:val="0"/>
              <w:rPr>
                <w:rFonts w:hint="eastAsia" w:ascii="宋体" w:hAnsi="宋体"/>
                <w:bCs/>
                <w:sz w:val="18"/>
                <w:szCs w:val="18"/>
              </w:rPr>
            </w:pPr>
            <w:r>
              <w:rPr>
                <w:rFonts w:ascii="宋体" w:hAnsi="宋体"/>
                <w:bCs/>
                <w:sz w:val="18"/>
                <w:szCs w:val="18"/>
              </w:rPr>
              <w:t>炊事机械及其作业</w:t>
            </w:r>
            <w:r>
              <w:rPr>
                <w:rFonts w:hint="eastAsia" w:ascii="宋体" w:hAnsi="宋体"/>
                <w:bCs/>
                <w:sz w:val="18"/>
                <w:szCs w:val="18"/>
              </w:rPr>
              <w:t>应符合下列要求：</w:t>
            </w:r>
          </w:p>
          <w:p w14:paraId="59E055C8">
            <w:pPr>
              <w:adjustRightInd w:val="0"/>
              <w:snapToGrid w:val="0"/>
              <w:rPr>
                <w:rFonts w:hint="eastAsia" w:ascii="宋体" w:hAnsi="宋体"/>
                <w:bCs/>
                <w:sz w:val="18"/>
                <w:szCs w:val="18"/>
              </w:rPr>
            </w:pPr>
            <w:r>
              <w:rPr>
                <w:rFonts w:hint="eastAsia" w:ascii="宋体" w:hAnsi="宋体"/>
                <w:bCs/>
                <w:sz w:val="18"/>
                <w:szCs w:val="18"/>
              </w:rPr>
              <w:t>a）</w:t>
            </w:r>
            <w:r>
              <w:rPr>
                <w:rFonts w:ascii="宋体" w:hAnsi="宋体"/>
                <w:bCs/>
                <w:sz w:val="18"/>
                <w:szCs w:val="18"/>
              </w:rPr>
              <w:t>炊事机械电源线路应敷设在无泡浸、无高温和无压砸的沿墙壁面</w:t>
            </w:r>
            <w:r>
              <w:rPr>
                <w:rFonts w:hint="eastAsia" w:ascii="宋体" w:hAnsi="宋体"/>
                <w:bCs/>
                <w:sz w:val="18"/>
                <w:szCs w:val="18"/>
              </w:rPr>
              <w:t>；</w:t>
            </w:r>
          </w:p>
          <w:p w14:paraId="20589872">
            <w:pPr>
              <w:widowControl/>
              <w:tabs>
                <w:tab w:val="center" w:pos="4201"/>
                <w:tab w:val="right" w:leader="dot" w:pos="9298"/>
              </w:tabs>
              <w:autoSpaceDE w:val="0"/>
              <w:autoSpaceDN w:val="0"/>
              <w:snapToGrid w:val="0"/>
              <w:ind w:right="33" w:rightChars="16"/>
              <w:jc w:val="left"/>
              <w:rPr>
                <w:rFonts w:hint="eastAsia" w:ascii="宋体" w:hAnsi="宋体"/>
                <w:bCs/>
                <w:sz w:val="18"/>
                <w:szCs w:val="18"/>
              </w:rPr>
            </w:pPr>
            <w:r>
              <w:rPr>
                <w:rFonts w:hint="eastAsia" w:ascii="宋体" w:hAnsi="宋体"/>
                <w:bCs/>
                <w:sz w:val="18"/>
                <w:szCs w:val="18"/>
              </w:rPr>
              <w:t>b）炊事机械电源控制开关应单机单设，且使用额定漏电动作电流不大于</w:t>
            </w:r>
            <w:r>
              <w:rPr>
                <w:rFonts w:ascii="宋体" w:hAnsi="宋体"/>
                <w:bCs/>
                <w:sz w:val="18"/>
                <w:szCs w:val="18"/>
              </w:rPr>
              <w:t>30</w:t>
            </w:r>
            <w:r>
              <w:rPr>
                <w:rFonts w:hint="eastAsia" w:ascii="宋体" w:hAnsi="宋体"/>
                <w:bCs/>
                <w:sz w:val="18"/>
                <w:szCs w:val="18"/>
              </w:rPr>
              <w:t xml:space="preserve"> </w:t>
            </w:r>
            <w:r>
              <w:rPr>
                <w:rFonts w:ascii="宋体" w:hAnsi="宋体"/>
                <w:bCs/>
                <w:sz w:val="18"/>
                <w:szCs w:val="18"/>
              </w:rPr>
              <w:t>mA</w:t>
            </w:r>
            <w:r>
              <w:rPr>
                <w:rFonts w:hint="eastAsia" w:ascii="宋体" w:hAnsi="宋体"/>
                <w:bCs/>
                <w:sz w:val="18"/>
                <w:szCs w:val="18"/>
              </w:rPr>
              <w:t>的剩余电流动作保护装置。对于受烟尘、雾水等因素影响较大的控制开关应有防护装置；</w:t>
            </w:r>
          </w:p>
          <w:p w14:paraId="1C83C6FC">
            <w:pPr>
              <w:adjustRightInd w:val="0"/>
              <w:snapToGrid w:val="0"/>
              <w:rPr>
                <w:rFonts w:ascii="宋体" w:hAnsi="宋体"/>
                <w:bCs/>
                <w:sz w:val="18"/>
                <w:szCs w:val="18"/>
              </w:rPr>
            </w:pPr>
            <w:r>
              <w:rPr>
                <w:rFonts w:hint="eastAsia" w:ascii="宋体" w:hAnsi="宋体"/>
                <w:bCs/>
                <w:sz w:val="18"/>
                <w:szCs w:val="18"/>
              </w:rPr>
              <w:t>c）灶台照明应</w:t>
            </w:r>
            <w:r>
              <w:rPr>
                <w:rFonts w:hint="eastAsia" w:ascii="宋体" w:hAnsi="宋体"/>
                <w:bCs/>
                <w:sz w:val="18"/>
                <w:szCs w:val="18"/>
                <w:lang w:val="en-US" w:eastAsia="zh-CN"/>
              </w:rPr>
              <w:t>具有</w:t>
            </w:r>
            <w:r>
              <w:rPr>
                <w:rFonts w:hint="eastAsia" w:ascii="宋体" w:hAnsi="宋体"/>
                <w:bCs/>
                <w:sz w:val="18"/>
                <w:szCs w:val="18"/>
              </w:rPr>
              <w:t>防潮</w:t>
            </w:r>
            <w:r>
              <w:rPr>
                <w:rFonts w:hint="eastAsia" w:ascii="宋体" w:hAnsi="宋体"/>
                <w:bCs/>
                <w:sz w:val="18"/>
                <w:szCs w:val="18"/>
                <w:lang w:val="en-US" w:eastAsia="zh-CN"/>
              </w:rPr>
              <w:t>措施</w:t>
            </w:r>
            <w:r>
              <w:rPr>
                <w:rFonts w:hint="eastAsia" w:ascii="宋体" w:hAnsi="宋体"/>
                <w:bCs/>
                <w:sz w:val="18"/>
                <w:szCs w:val="18"/>
              </w:rPr>
              <w:t>；</w:t>
            </w:r>
          </w:p>
          <w:p w14:paraId="4C1D6115">
            <w:pPr>
              <w:adjustRightInd w:val="0"/>
              <w:snapToGrid w:val="0"/>
              <w:rPr>
                <w:rFonts w:hint="eastAsia" w:ascii="宋体" w:hAnsi="宋体"/>
                <w:bCs/>
                <w:sz w:val="18"/>
                <w:szCs w:val="18"/>
              </w:rPr>
            </w:pPr>
            <w:r>
              <w:rPr>
                <w:rFonts w:hint="eastAsia" w:ascii="宋体" w:hAnsi="宋体"/>
                <w:bCs/>
                <w:sz w:val="18"/>
                <w:szCs w:val="18"/>
              </w:rPr>
              <w:t>d）</w:t>
            </w:r>
            <w:r>
              <w:rPr>
                <w:rFonts w:ascii="宋体" w:hAnsi="宋体"/>
                <w:bCs/>
                <w:sz w:val="18"/>
                <w:szCs w:val="18"/>
              </w:rPr>
              <w:t>搅拌操作的容器应加盖，且</w:t>
            </w:r>
            <w:r>
              <w:rPr>
                <w:rFonts w:hint="eastAsia" w:ascii="宋体" w:hAnsi="宋体"/>
                <w:bCs/>
                <w:sz w:val="18"/>
                <w:szCs w:val="18"/>
              </w:rPr>
              <w:t>应</w:t>
            </w:r>
            <w:r>
              <w:rPr>
                <w:rFonts w:ascii="宋体" w:hAnsi="宋体"/>
                <w:bCs/>
                <w:sz w:val="18"/>
                <w:szCs w:val="18"/>
              </w:rPr>
              <w:t>设置盖机联锁</w:t>
            </w:r>
            <w:r>
              <w:rPr>
                <w:rFonts w:hint="eastAsia" w:ascii="宋体" w:hAnsi="宋体"/>
                <w:bCs/>
                <w:sz w:val="18"/>
                <w:szCs w:val="18"/>
                <w:lang w:val="en-US" w:eastAsia="zh-CN"/>
              </w:rPr>
              <w:t>并</w:t>
            </w:r>
            <w:r>
              <w:rPr>
                <w:rFonts w:ascii="宋体" w:hAnsi="宋体"/>
                <w:bCs/>
                <w:sz w:val="18"/>
                <w:szCs w:val="18"/>
              </w:rPr>
              <w:t>完好有效</w:t>
            </w:r>
            <w:r>
              <w:rPr>
                <w:rFonts w:hint="eastAsia" w:ascii="宋体" w:hAnsi="宋体"/>
                <w:bCs/>
                <w:sz w:val="18"/>
                <w:szCs w:val="18"/>
              </w:rPr>
              <w:t>；</w:t>
            </w:r>
          </w:p>
          <w:p w14:paraId="755467A6">
            <w:pPr>
              <w:adjustRightInd w:val="0"/>
              <w:snapToGrid w:val="0"/>
              <w:rPr>
                <w:rFonts w:hint="eastAsia" w:ascii="宋体" w:hAnsi="宋体"/>
                <w:bCs/>
                <w:sz w:val="18"/>
                <w:szCs w:val="18"/>
              </w:rPr>
            </w:pPr>
            <w:r>
              <w:rPr>
                <w:rFonts w:hint="eastAsia" w:ascii="宋体" w:hAnsi="宋体"/>
                <w:bCs/>
                <w:sz w:val="18"/>
                <w:szCs w:val="18"/>
              </w:rPr>
              <w:t>e）</w:t>
            </w:r>
            <w:r>
              <w:rPr>
                <w:rFonts w:ascii="宋体" w:hAnsi="宋体"/>
                <w:bCs/>
                <w:sz w:val="18"/>
                <w:szCs w:val="18"/>
              </w:rPr>
              <w:t>绞肉机加料口应确保操作人员手指不能触及刀口或螺旋部位，并备有送料的辅助工具</w:t>
            </w:r>
            <w:r>
              <w:rPr>
                <w:rFonts w:hint="eastAsia" w:ascii="宋体" w:hAnsi="宋体"/>
                <w:bCs/>
                <w:sz w:val="18"/>
                <w:szCs w:val="18"/>
              </w:rPr>
              <w:t>；</w:t>
            </w:r>
          </w:p>
          <w:p w14:paraId="5252E301">
            <w:pPr>
              <w:adjustRightInd w:val="0"/>
              <w:snapToGrid w:val="0"/>
              <w:rPr>
                <w:rFonts w:hint="eastAsia" w:ascii="宋体" w:hAnsi="宋体"/>
                <w:bCs/>
                <w:sz w:val="18"/>
                <w:szCs w:val="18"/>
              </w:rPr>
            </w:pPr>
            <w:r>
              <w:rPr>
                <w:rFonts w:hint="eastAsia" w:ascii="宋体" w:hAnsi="宋体"/>
                <w:bCs/>
                <w:sz w:val="18"/>
                <w:szCs w:val="18"/>
              </w:rPr>
              <w:t>f）</w:t>
            </w:r>
            <w:r>
              <w:rPr>
                <w:rFonts w:ascii="宋体" w:hAnsi="宋体"/>
                <w:bCs/>
                <w:sz w:val="18"/>
                <w:szCs w:val="18"/>
              </w:rPr>
              <w:t>压面机等其它面食加工机械，加料处应有防护装置</w:t>
            </w:r>
            <w:r>
              <w:rPr>
                <w:rFonts w:hint="eastAsia" w:ascii="宋体" w:hAnsi="宋体"/>
                <w:bCs/>
                <w:sz w:val="18"/>
                <w:szCs w:val="18"/>
              </w:rPr>
              <w:t>；</w:t>
            </w:r>
          </w:p>
          <w:p w14:paraId="28923E01">
            <w:pPr>
              <w:widowControl/>
              <w:tabs>
                <w:tab w:val="center" w:pos="4201"/>
                <w:tab w:val="right" w:leader="dot" w:pos="9298"/>
              </w:tabs>
              <w:autoSpaceDE w:val="0"/>
              <w:autoSpaceDN w:val="0"/>
              <w:snapToGrid w:val="0"/>
              <w:ind w:right="33" w:rightChars="16"/>
              <w:jc w:val="left"/>
              <w:rPr>
                <w:rFonts w:ascii="宋体" w:hAnsi="宋体" w:eastAsia="宋体" w:cs="Times New Roman"/>
                <w:bCs/>
                <w:kern w:val="2"/>
                <w:sz w:val="18"/>
                <w:szCs w:val="18"/>
                <w:lang w:val="en-US" w:eastAsia="zh-CN" w:bidi="ar-SA"/>
              </w:rPr>
            </w:pPr>
            <w:r>
              <w:rPr>
                <w:rFonts w:hint="eastAsia" w:ascii="宋体" w:hAnsi="宋体"/>
                <w:bCs/>
                <w:sz w:val="18"/>
                <w:szCs w:val="18"/>
              </w:rPr>
              <w:t>g）灶台附近应配备灭火毯、灭火器等消防器材</w:t>
            </w:r>
            <w:r>
              <w:rPr>
                <w:rFonts w:ascii="宋体" w:hAnsi="宋体"/>
                <w:bCs/>
                <w:sz w:val="18"/>
                <w:szCs w:val="18"/>
              </w:rPr>
              <w:t>。</w:t>
            </w:r>
          </w:p>
        </w:tc>
        <w:tc>
          <w:tcPr>
            <w:tcW w:w="599" w:type="dxa"/>
            <w:tcBorders>
              <w:top w:val="single" w:color="auto" w:sz="8" w:space="0"/>
              <w:bottom w:val="single" w:color="auto" w:sz="8" w:space="0"/>
            </w:tcBorders>
            <w:noWrap w:val="0"/>
            <w:vAlign w:val="center"/>
          </w:tcPr>
          <w:p w14:paraId="1A210235">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599" w:type="dxa"/>
            <w:tcBorders>
              <w:top w:val="single" w:color="auto" w:sz="8" w:space="0"/>
              <w:bottom w:val="single" w:color="auto" w:sz="8" w:space="0"/>
            </w:tcBorders>
            <w:noWrap w:val="0"/>
            <w:vAlign w:val="center"/>
          </w:tcPr>
          <w:p w14:paraId="0ED51866">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590" w:type="dxa"/>
            <w:tcBorders>
              <w:top w:val="single" w:color="auto" w:sz="8" w:space="0"/>
              <w:bottom w:val="single" w:color="auto" w:sz="8" w:space="0"/>
            </w:tcBorders>
            <w:noWrap w:val="0"/>
            <w:vAlign w:val="center"/>
          </w:tcPr>
          <w:p w14:paraId="76CF1C23">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rPr>
              <w:t>5</w:t>
            </w:r>
          </w:p>
        </w:tc>
        <w:tc>
          <w:tcPr>
            <w:tcW w:w="3058" w:type="dxa"/>
            <w:tcBorders>
              <w:top w:val="single" w:color="auto" w:sz="8" w:space="0"/>
              <w:bottom w:val="single" w:color="auto" w:sz="8" w:space="0"/>
            </w:tcBorders>
            <w:noWrap w:val="0"/>
            <w:vAlign w:val="center"/>
          </w:tcPr>
          <w:p w14:paraId="61251807">
            <w:pPr>
              <w:widowControl/>
              <w:jc w:val="left"/>
              <w:rPr>
                <w:rFonts w:ascii="宋体" w:hAnsi="宋体" w:eastAsia="宋体" w:cs="宋体"/>
                <w:kern w:val="0"/>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599" w:type="dxa"/>
            <w:tcBorders>
              <w:top w:val="single" w:color="auto" w:sz="8" w:space="0"/>
              <w:bottom w:val="single" w:color="auto" w:sz="8" w:space="0"/>
            </w:tcBorders>
            <w:noWrap w:val="0"/>
            <w:vAlign w:val="center"/>
          </w:tcPr>
          <w:p w14:paraId="23421D8C">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59" w:type="dxa"/>
            <w:tcBorders>
              <w:top w:val="single" w:color="auto" w:sz="8" w:space="0"/>
              <w:bottom w:val="single" w:color="auto" w:sz="8" w:space="0"/>
            </w:tcBorders>
            <w:noWrap w:val="0"/>
            <w:vAlign w:val="center"/>
          </w:tcPr>
          <w:p w14:paraId="523A520C">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489" w:type="dxa"/>
            <w:tcBorders>
              <w:top w:val="single" w:color="auto" w:sz="8" w:space="0"/>
              <w:bottom w:val="single" w:color="auto" w:sz="8" w:space="0"/>
            </w:tcBorders>
            <w:noWrap w:val="0"/>
            <w:vAlign w:val="center"/>
          </w:tcPr>
          <w:p w14:paraId="5FBF0242">
            <w:pPr>
              <w:ind w:right="-41" w:rightChars="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.2.2</w:t>
            </w:r>
          </w:p>
        </w:tc>
      </w:tr>
      <w:tr w14:paraId="248AA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4548181">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3.2.3</w:t>
            </w:r>
          </w:p>
        </w:tc>
        <w:tc>
          <w:tcPr>
            <w:tcW w:w="0" w:type="auto"/>
            <w:vAlign w:val="center"/>
          </w:tcPr>
          <w:p w14:paraId="3DD133FC">
            <w:pPr>
              <w:widowControl/>
              <w:tabs>
                <w:tab w:val="center" w:pos="4201"/>
                <w:tab w:val="right" w:leader="dot" w:pos="9298"/>
              </w:tabs>
              <w:autoSpaceDE w:val="0"/>
              <w:autoSpaceDN w:val="0"/>
              <w:ind w:right="33" w:rightChars="16"/>
              <w:jc w:val="left"/>
              <w:rPr>
                <w:rFonts w:ascii="宋体" w:hAnsi="宋体" w:eastAsia="宋体" w:cs="Times New Roman"/>
                <w:bCs/>
                <w:kern w:val="2"/>
                <w:sz w:val="18"/>
                <w:szCs w:val="18"/>
                <w:lang w:val="en-US" w:eastAsia="zh-CN" w:bidi="ar-SA"/>
              </w:rPr>
            </w:pPr>
            <w:r>
              <w:rPr>
                <w:rFonts w:ascii="宋体" w:hAnsi="宋体"/>
                <w:bCs/>
                <w:sz w:val="18"/>
                <w:szCs w:val="18"/>
              </w:rPr>
              <w:t>燃气设施及其作业</w:t>
            </w:r>
          </w:p>
        </w:tc>
        <w:tc>
          <w:tcPr>
            <w:tcW w:w="0" w:type="auto"/>
            <w:vAlign w:val="center"/>
          </w:tcPr>
          <w:p w14:paraId="2C5BF288">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0" w:type="auto"/>
            <w:vAlign w:val="center"/>
          </w:tcPr>
          <w:p w14:paraId="2632E05E">
            <w:pPr>
              <w:pStyle w:val="207"/>
              <w:numPr>
                <w:ilvl w:val="3"/>
                <w:numId w:val="0"/>
              </w:numPr>
              <w:adjustRightInd w:val="0"/>
              <w:snapToGrid w:val="0"/>
              <w:ind w:left="0" w:leftChars="0" w:right="-105" w:rightChars="0" w:firstLine="0" w:firstLineChars="0"/>
              <w:jc w:val="center"/>
              <w:outlineLvl w:val="9"/>
              <w:rPr>
                <w:rFonts w:hint="eastAsia" w:ascii="宋体" w:hAnsi="宋体" w:eastAsia="宋体" w:cs="Times New Roman"/>
                <w:spacing w:val="0"/>
                <w:kern w:val="2"/>
                <w:sz w:val="18"/>
                <w:szCs w:val="18"/>
                <w:lang w:val="en-US" w:eastAsia="zh-CN" w:bidi="ar-SA"/>
              </w:rPr>
            </w:pPr>
          </w:p>
        </w:tc>
        <w:tc>
          <w:tcPr>
            <w:tcW w:w="0" w:type="auto"/>
            <w:vAlign w:val="center"/>
          </w:tcPr>
          <w:p w14:paraId="0D24BDA5">
            <w:pPr>
              <w:widowControl/>
              <w:jc w:val="center"/>
              <w:rPr>
                <w:rFonts w:hint="eastAsia" w:ascii="宋体" w:hAnsi="宋体" w:eastAsia="宋体" w:cs="宋体"/>
                <w:kern w:val="0"/>
                <w:sz w:val="18"/>
                <w:szCs w:val="18"/>
                <w:lang w:val="en-US" w:eastAsia="zh-CN" w:bidi="ar-SA"/>
              </w:rPr>
            </w:pPr>
          </w:p>
        </w:tc>
        <w:tc>
          <w:tcPr>
            <w:tcW w:w="0" w:type="auto"/>
            <w:vAlign w:val="center"/>
          </w:tcPr>
          <w:p w14:paraId="691D9082">
            <w:pPr>
              <w:widowControl/>
              <w:jc w:val="left"/>
              <w:rPr>
                <w:rFonts w:ascii="宋体" w:hAnsi="宋体" w:eastAsia="宋体" w:cs="宋体"/>
                <w:kern w:val="0"/>
                <w:sz w:val="18"/>
                <w:szCs w:val="18"/>
                <w:lang w:val="en-US" w:eastAsia="zh-CN" w:bidi="ar-SA"/>
              </w:rPr>
            </w:pPr>
          </w:p>
        </w:tc>
        <w:tc>
          <w:tcPr>
            <w:tcW w:w="0" w:type="auto"/>
            <w:vAlign w:val="center"/>
          </w:tcPr>
          <w:p w14:paraId="5C8F9A2C">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0" w:type="auto"/>
            <w:vAlign w:val="center"/>
          </w:tcPr>
          <w:p w14:paraId="4461BFB9">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0" w:type="auto"/>
            <w:vAlign w:val="center"/>
          </w:tcPr>
          <w:p w14:paraId="2295BFF9">
            <w:pPr>
              <w:widowControl/>
              <w:jc w:val="center"/>
              <w:rPr>
                <w:rFonts w:ascii="宋体" w:hAnsi="宋体" w:eastAsia="宋体" w:cs="宋体"/>
                <w:kern w:val="0"/>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.2.3</w:t>
            </w:r>
          </w:p>
        </w:tc>
      </w:tr>
    </w:tbl>
    <w:p w14:paraId="39F6252D">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339"/>
        <w:gridCol w:w="602"/>
        <w:gridCol w:w="602"/>
        <w:gridCol w:w="651"/>
        <w:gridCol w:w="3025"/>
        <w:gridCol w:w="602"/>
        <w:gridCol w:w="1274"/>
        <w:gridCol w:w="1406"/>
      </w:tblGrid>
      <w:tr w14:paraId="4295C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52" w:type="dxa"/>
            <w:tcBorders>
              <w:top w:val="single" w:color="auto" w:sz="8" w:space="0"/>
              <w:bottom w:val="single" w:color="auto" w:sz="8" w:space="0"/>
            </w:tcBorders>
            <w:noWrap w:val="0"/>
            <w:vAlign w:val="center"/>
          </w:tcPr>
          <w:p w14:paraId="2132493E">
            <w:pPr>
              <w:adjustRightInd w:val="0"/>
              <w:snapToGrid w:val="0"/>
              <w:jc w:val="center"/>
              <w:rPr>
                <w:rFonts w:ascii="宋体" w:hAnsi="宋体"/>
                <w:sz w:val="18"/>
                <w:szCs w:val="18"/>
              </w:rPr>
            </w:pPr>
            <w:r>
              <w:rPr>
                <w:rFonts w:ascii="宋体" w:hAnsi="宋体"/>
                <w:bCs/>
                <w:sz w:val="18"/>
                <w:szCs w:val="18"/>
              </w:rPr>
              <w:t>序号</w:t>
            </w:r>
          </w:p>
        </w:tc>
        <w:tc>
          <w:tcPr>
            <w:tcW w:w="6339" w:type="dxa"/>
            <w:tcBorders>
              <w:top w:val="single" w:color="auto" w:sz="8" w:space="0"/>
              <w:bottom w:val="single" w:color="auto" w:sz="8" w:space="0"/>
            </w:tcBorders>
            <w:noWrap w:val="0"/>
            <w:vAlign w:val="center"/>
          </w:tcPr>
          <w:p w14:paraId="49F9E7BE">
            <w:pPr>
              <w:adjustRightInd w:val="0"/>
              <w:snapToGrid w:val="0"/>
              <w:jc w:val="center"/>
              <w:rPr>
                <w:rFonts w:ascii="宋体" w:hAnsi="宋体"/>
                <w:sz w:val="18"/>
                <w:szCs w:val="18"/>
              </w:rPr>
            </w:pPr>
            <w:r>
              <w:rPr>
                <w:rFonts w:ascii="宋体" w:hAnsi="宋体"/>
                <w:bCs/>
                <w:sz w:val="18"/>
                <w:szCs w:val="18"/>
              </w:rPr>
              <w:t>评定内容</w:t>
            </w:r>
          </w:p>
        </w:tc>
        <w:tc>
          <w:tcPr>
            <w:tcW w:w="602" w:type="dxa"/>
            <w:tcBorders>
              <w:top w:val="single" w:color="auto" w:sz="8" w:space="0"/>
              <w:bottom w:val="single" w:color="auto" w:sz="8" w:space="0"/>
            </w:tcBorders>
            <w:noWrap w:val="0"/>
            <w:vAlign w:val="center"/>
          </w:tcPr>
          <w:p w14:paraId="1D614B0F">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4DEE409F">
            <w:pPr>
              <w:adjustRightInd w:val="0"/>
              <w:snapToGrid w:val="0"/>
              <w:jc w:val="center"/>
              <w:rPr>
                <w:rFonts w:ascii="宋体" w:hAnsi="宋体"/>
                <w:sz w:val="18"/>
                <w:szCs w:val="18"/>
              </w:rPr>
            </w:pPr>
            <w:r>
              <w:rPr>
                <w:rFonts w:ascii="宋体" w:hAnsi="宋体"/>
                <w:bCs/>
                <w:sz w:val="18"/>
                <w:szCs w:val="18"/>
              </w:rPr>
              <w:t>评定细项分值</w:t>
            </w:r>
          </w:p>
        </w:tc>
        <w:tc>
          <w:tcPr>
            <w:tcW w:w="651" w:type="dxa"/>
            <w:tcBorders>
              <w:top w:val="single" w:color="auto" w:sz="8" w:space="0"/>
              <w:bottom w:val="single" w:color="auto" w:sz="8" w:space="0"/>
            </w:tcBorders>
            <w:noWrap w:val="0"/>
            <w:vAlign w:val="center"/>
          </w:tcPr>
          <w:p w14:paraId="38EDC6A3">
            <w:pPr>
              <w:adjustRightInd w:val="0"/>
              <w:snapToGrid w:val="0"/>
              <w:jc w:val="center"/>
              <w:rPr>
                <w:rFonts w:ascii="宋体" w:hAnsi="宋体"/>
                <w:sz w:val="18"/>
                <w:szCs w:val="18"/>
              </w:rPr>
            </w:pPr>
            <w:r>
              <w:rPr>
                <w:rFonts w:ascii="宋体" w:hAnsi="宋体"/>
                <w:bCs/>
                <w:sz w:val="18"/>
                <w:szCs w:val="18"/>
              </w:rPr>
              <w:t>评定条款分值</w:t>
            </w:r>
          </w:p>
        </w:tc>
        <w:tc>
          <w:tcPr>
            <w:tcW w:w="3025" w:type="dxa"/>
            <w:tcBorders>
              <w:top w:val="single" w:color="auto" w:sz="8" w:space="0"/>
              <w:bottom w:val="single" w:color="auto" w:sz="8" w:space="0"/>
            </w:tcBorders>
            <w:noWrap w:val="0"/>
            <w:vAlign w:val="center"/>
          </w:tcPr>
          <w:p w14:paraId="20FE5AD8">
            <w:pPr>
              <w:adjustRightInd w:val="0"/>
              <w:snapToGrid w:val="0"/>
              <w:jc w:val="center"/>
              <w:rPr>
                <w:rFonts w:ascii="宋体" w:hAnsi="宋体"/>
                <w:sz w:val="18"/>
                <w:szCs w:val="18"/>
              </w:rPr>
            </w:pPr>
            <w:r>
              <w:rPr>
                <w:rFonts w:ascii="宋体" w:hAnsi="宋体"/>
                <w:bCs/>
                <w:sz w:val="18"/>
                <w:szCs w:val="18"/>
              </w:rPr>
              <w:t>评分标准</w:t>
            </w:r>
          </w:p>
        </w:tc>
        <w:tc>
          <w:tcPr>
            <w:tcW w:w="602" w:type="dxa"/>
            <w:tcBorders>
              <w:top w:val="single" w:color="auto" w:sz="8" w:space="0"/>
              <w:bottom w:val="single" w:color="auto" w:sz="8" w:space="0"/>
            </w:tcBorders>
            <w:noWrap w:val="0"/>
            <w:vAlign w:val="center"/>
          </w:tcPr>
          <w:p w14:paraId="629C77DE">
            <w:pPr>
              <w:adjustRightInd w:val="0"/>
              <w:snapToGrid w:val="0"/>
              <w:jc w:val="center"/>
              <w:rPr>
                <w:rFonts w:ascii="宋体" w:hAnsi="宋体"/>
                <w:sz w:val="18"/>
                <w:szCs w:val="18"/>
              </w:rPr>
            </w:pPr>
            <w:r>
              <w:rPr>
                <w:rFonts w:ascii="宋体" w:hAnsi="宋体"/>
                <w:bCs/>
                <w:sz w:val="18"/>
                <w:szCs w:val="18"/>
              </w:rPr>
              <w:t>评定得分</w:t>
            </w:r>
          </w:p>
        </w:tc>
        <w:tc>
          <w:tcPr>
            <w:tcW w:w="1274" w:type="dxa"/>
            <w:tcBorders>
              <w:top w:val="single" w:color="auto" w:sz="8" w:space="0"/>
              <w:bottom w:val="single" w:color="auto" w:sz="8" w:space="0"/>
            </w:tcBorders>
            <w:noWrap w:val="0"/>
            <w:vAlign w:val="center"/>
          </w:tcPr>
          <w:p w14:paraId="329C797B">
            <w:pPr>
              <w:adjustRightInd w:val="0"/>
              <w:snapToGrid w:val="0"/>
              <w:jc w:val="center"/>
              <w:rPr>
                <w:rFonts w:ascii="宋体" w:hAnsi="宋体"/>
                <w:sz w:val="18"/>
                <w:szCs w:val="18"/>
              </w:rPr>
            </w:pPr>
            <w:r>
              <w:rPr>
                <w:rFonts w:ascii="宋体" w:hAnsi="宋体"/>
                <w:bCs/>
                <w:sz w:val="18"/>
                <w:szCs w:val="18"/>
              </w:rPr>
              <w:t>扣分说明</w:t>
            </w:r>
          </w:p>
        </w:tc>
        <w:tc>
          <w:tcPr>
            <w:tcW w:w="1406" w:type="dxa"/>
            <w:tcBorders>
              <w:top w:val="single" w:color="auto" w:sz="8" w:space="0"/>
              <w:bottom w:val="single" w:color="auto" w:sz="8" w:space="0"/>
            </w:tcBorders>
            <w:noWrap w:val="0"/>
            <w:vAlign w:val="center"/>
          </w:tcPr>
          <w:p w14:paraId="4E476483">
            <w:pPr>
              <w:adjustRightInd w:val="0"/>
              <w:snapToGrid w:val="0"/>
              <w:jc w:val="center"/>
              <w:rPr>
                <w:rFonts w:ascii="宋体" w:hAnsi="宋体"/>
                <w:sz w:val="18"/>
                <w:szCs w:val="18"/>
              </w:rPr>
            </w:pPr>
            <w:r>
              <w:rPr>
                <w:rFonts w:ascii="宋体" w:hAnsi="宋体"/>
                <w:bCs/>
                <w:sz w:val="18"/>
                <w:szCs w:val="18"/>
              </w:rPr>
              <w:t>对应条款编号</w:t>
            </w:r>
          </w:p>
        </w:tc>
      </w:tr>
      <w:tr w14:paraId="597F14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bottom w:val="single" w:color="auto" w:sz="8" w:space="0"/>
            </w:tcBorders>
            <w:noWrap w:val="0"/>
            <w:vAlign w:val="center"/>
          </w:tcPr>
          <w:p w14:paraId="6EA7EF74">
            <w:pPr>
              <w:adjustRightInd w:val="0"/>
              <w:snapToGrid w:val="0"/>
              <w:jc w:val="center"/>
              <w:rPr>
                <w:rFonts w:hint="eastAsia" w:ascii="宋体" w:hAnsi="宋体"/>
                <w:sz w:val="18"/>
                <w:szCs w:val="18"/>
              </w:rPr>
            </w:pPr>
            <w:r>
              <w:rPr>
                <w:rFonts w:hint="eastAsia" w:ascii="宋体" w:hAnsi="宋体"/>
                <w:sz w:val="18"/>
                <w:szCs w:val="18"/>
              </w:rPr>
              <w:t>3.2.3.1</w:t>
            </w:r>
          </w:p>
        </w:tc>
        <w:tc>
          <w:tcPr>
            <w:tcW w:w="6339" w:type="dxa"/>
            <w:tcBorders>
              <w:top w:val="single" w:color="auto" w:sz="8" w:space="0"/>
              <w:bottom w:val="single" w:color="auto" w:sz="8" w:space="0"/>
            </w:tcBorders>
            <w:noWrap w:val="0"/>
            <w:vAlign w:val="top"/>
          </w:tcPr>
          <w:p w14:paraId="3C18068B">
            <w:pPr>
              <w:adjustRightInd w:val="0"/>
              <w:snapToGrid w:val="0"/>
              <w:rPr>
                <w:rFonts w:hint="eastAsia" w:ascii="宋体" w:hAnsi="宋体"/>
                <w:bCs/>
                <w:sz w:val="18"/>
                <w:szCs w:val="18"/>
              </w:rPr>
            </w:pPr>
            <w:r>
              <w:rPr>
                <w:rFonts w:hint="eastAsia" w:ascii="宋体" w:hAnsi="宋体"/>
                <w:bCs/>
                <w:sz w:val="18"/>
                <w:szCs w:val="18"/>
              </w:rPr>
              <w:t>管道天然气设施应符合下列要求：</w:t>
            </w:r>
          </w:p>
          <w:p w14:paraId="782AE13C">
            <w:pPr>
              <w:numPr>
                <w:ilvl w:val="0"/>
                <w:numId w:val="52"/>
              </w:numPr>
              <w:adjustRightInd w:val="0"/>
              <w:snapToGrid w:val="0"/>
              <w:rPr>
                <w:rFonts w:hint="eastAsia" w:ascii="宋体" w:hAnsi="宋体"/>
                <w:bCs/>
                <w:sz w:val="18"/>
                <w:szCs w:val="18"/>
              </w:rPr>
            </w:pPr>
            <w:r>
              <w:rPr>
                <w:rFonts w:hint="eastAsia" w:ascii="宋体" w:hAnsi="宋体"/>
                <w:bCs/>
                <w:sz w:val="18"/>
                <w:szCs w:val="18"/>
              </w:rPr>
              <w:t>专用的封闭式燃气调压、计量间、用气场所应设置燃气泄漏报警装置，报警装置应与消防控制室或值班室联网，或将报警器设置在有人值班的场所；</w:t>
            </w:r>
          </w:p>
          <w:p w14:paraId="6A9CE91D">
            <w:pPr>
              <w:numPr>
                <w:ilvl w:val="0"/>
                <w:numId w:val="52"/>
              </w:numPr>
              <w:adjustRightInd w:val="0"/>
              <w:snapToGrid w:val="0"/>
              <w:ind w:left="0" w:leftChars="0" w:firstLine="0" w:firstLineChars="0"/>
              <w:rPr>
                <w:rFonts w:hint="eastAsia" w:ascii="宋体" w:hAnsi="宋体"/>
                <w:bCs/>
                <w:sz w:val="18"/>
                <w:szCs w:val="18"/>
              </w:rPr>
            </w:pPr>
            <w:r>
              <w:rPr>
                <w:rFonts w:hint="eastAsia" w:ascii="宋体" w:hAnsi="宋体"/>
                <w:bCs/>
                <w:sz w:val="18"/>
                <w:szCs w:val="18"/>
              </w:rPr>
              <w:t>燃气引入管不得敷设在卫生间、配电间、变电室、计算机房、电缆沟、暖气沟、烟道和垃圾道等地方；</w:t>
            </w:r>
          </w:p>
          <w:p w14:paraId="7EBBE3E8">
            <w:pPr>
              <w:numPr>
                <w:ilvl w:val="0"/>
                <w:numId w:val="52"/>
              </w:numPr>
              <w:adjustRightInd w:val="0"/>
              <w:snapToGrid w:val="0"/>
              <w:ind w:left="0" w:leftChars="0" w:firstLine="0" w:firstLineChars="0"/>
              <w:rPr>
                <w:rFonts w:hint="eastAsia" w:ascii="宋体" w:hAnsi="宋体"/>
                <w:bCs/>
                <w:sz w:val="18"/>
                <w:szCs w:val="18"/>
              </w:rPr>
            </w:pPr>
            <w:r>
              <w:rPr>
                <w:rFonts w:hint="eastAsia" w:ascii="宋体" w:hAnsi="宋体"/>
                <w:bCs/>
                <w:sz w:val="18"/>
                <w:szCs w:val="18"/>
              </w:rPr>
              <w:t>软管与燃具连接时，其长度不应超过2m，并不得有接口，不应存在弯折、拉伸、龟裂、老化等现象；</w:t>
            </w:r>
          </w:p>
          <w:p w14:paraId="19C9DE2D">
            <w:pPr>
              <w:numPr>
                <w:ilvl w:val="0"/>
                <w:numId w:val="52"/>
              </w:numPr>
              <w:adjustRightInd w:val="0"/>
              <w:snapToGrid w:val="0"/>
              <w:ind w:left="0" w:leftChars="0" w:firstLine="0" w:firstLineChars="0"/>
              <w:rPr>
                <w:rFonts w:hint="eastAsia" w:ascii="宋体" w:hAnsi="宋体"/>
                <w:bCs/>
                <w:sz w:val="18"/>
                <w:szCs w:val="18"/>
              </w:rPr>
            </w:pPr>
            <w:r>
              <w:rPr>
                <w:rFonts w:hint="eastAsia" w:ascii="宋体" w:hAnsi="宋体"/>
                <w:bCs/>
                <w:sz w:val="18"/>
                <w:szCs w:val="18"/>
              </w:rPr>
              <w:t>橡胶软管不得穿墙、顶棚、地面、窗和门；</w:t>
            </w:r>
          </w:p>
          <w:p w14:paraId="21CB1152">
            <w:pPr>
              <w:numPr>
                <w:ilvl w:val="0"/>
                <w:numId w:val="52"/>
              </w:numPr>
              <w:adjustRightInd w:val="0"/>
              <w:snapToGrid w:val="0"/>
              <w:ind w:left="0" w:leftChars="0" w:firstLine="0" w:firstLineChars="0"/>
              <w:rPr>
                <w:rFonts w:hint="eastAsia" w:ascii="宋体" w:hAnsi="宋体"/>
                <w:bCs/>
                <w:sz w:val="18"/>
                <w:szCs w:val="18"/>
              </w:rPr>
            </w:pPr>
            <w:r>
              <w:rPr>
                <w:rFonts w:hint="eastAsia" w:ascii="宋体" w:hAnsi="宋体"/>
                <w:bCs/>
                <w:sz w:val="18"/>
                <w:szCs w:val="18"/>
              </w:rPr>
              <w:t>用气设备应安装在通风良好的专用房间内，不应设置在兼做卧室的值班室、人防工程等处；</w:t>
            </w:r>
          </w:p>
          <w:p w14:paraId="0E0297DE">
            <w:pPr>
              <w:numPr>
                <w:ilvl w:val="0"/>
                <w:numId w:val="52"/>
              </w:numPr>
              <w:adjustRightInd w:val="0"/>
              <w:snapToGrid w:val="0"/>
              <w:ind w:left="0" w:leftChars="0" w:firstLine="0" w:firstLineChars="0"/>
              <w:rPr>
                <w:rFonts w:hint="eastAsia" w:ascii="宋体" w:hAnsi="宋体"/>
                <w:bCs/>
                <w:sz w:val="18"/>
                <w:szCs w:val="18"/>
              </w:rPr>
            </w:pPr>
            <w:r>
              <w:rPr>
                <w:rFonts w:hint="eastAsia" w:ascii="宋体" w:hAnsi="宋体"/>
                <w:bCs/>
                <w:sz w:val="18"/>
                <w:szCs w:val="18"/>
              </w:rPr>
              <w:t>地下室、半地下室、设备层和地上密闭房间敷设燃气管道时，应设置独立的机械送排风系统，应有固定的防爆照明设备，地下室内燃气管道末端应设放散管，并应引出地上，燃气引入管应设手动快速切断阀和紧急自动切断阀，紧急自动切断阀停电时必须处于关闭状态（常开型）；</w:t>
            </w:r>
          </w:p>
          <w:p w14:paraId="55B485E1">
            <w:pPr>
              <w:numPr>
                <w:ilvl w:val="0"/>
                <w:numId w:val="0"/>
              </w:numPr>
              <w:adjustRightInd w:val="0"/>
              <w:snapToGrid w:val="0"/>
              <w:ind w:leftChars="0"/>
              <w:rPr>
                <w:rFonts w:hint="eastAsia" w:ascii="宋体" w:hAnsi="宋体"/>
                <w:bCs/>
                <w:sz w:val="18"/>
                <w:szCs w:val="18"/>
              </w:rPr>
            </w:pPr>
            <w:r>
              <w:rPr>
                <w:rFonts w:hint="eastAsia" w:ascii="宋体" w:hAnsi="宋体"/>
                <w:bCs/>
                <w:sz w:val="18"/>
                <w:szCs w:val="18"/>
                <w:lang w:val="en-US" w:eastAsia="zh-CN"/>
              </w:rPr>
              <w:t>g</w:t>
            </w:r>
            <w:r>
              <w:rPr>
                <w:rFonts w:hint="eastAsia" w:ascii="宋体" w:hAnsi="宋体"/>
                <w:bCs/>
                <w:sz w:val="18"/>
                <w:szCs w:val="18"/>
              </w:rPr>
              <w:t>）燃气管道应涂黄色防腐识别漆；</w:t>
            </w:r>
          </w:p>
          <w:p w14:paraId="59C815D2">
            <w:pPr>
              <w:adjustRightInd w:val="0"/>
              <w:snapToGrid w:val="0"/>
              <w:rPr>
                <w:rFonts w:hint="eastAsia" w:ascii="宋体" w:hAnsi="宋体"/>
                <w:bCs/>
                <w:sz w:val="18"/>
                <w:szCs w:val="18"/>
              </w:rPr>
            </w:pPr>
            <w:r>
              <w:rPr>
                <w:rFonts w:hint="eastAsia" w:ascii="宋体" w:hAnsi="宋体"/>
                <w:bCs/>
                <w:sz w:val="18"/>
                <w:szCs w:val="18"/>
                <w:lang w:val="en-US" w:eastAsia="zh-CN"/>
              </w:rPr>
              <w:t>h</w:t>
            </w:r>
            <w:r>
              <w:rPr>
                <w:rFonts w:hint="eastAsia" w:ascii="宋体" w:hAnsi="宋体"/>
                <w:bCs/>
                <w:sz w:val="18"/>
                <w:szCs w:val="18"/>
              </w:rPr>
              <w:t>）燃气用气设备应有熄火保护装置。</w:t>
            </w:r>
          </w:p>
        </w:tc>
        <w:tc>
          <w:tcPr>
            <w:tcW w:w="602" w:type="dxa"/>
            <w:tcBorders>
              <w:top w:val="single" w:color="auto" w:sz="8" w:space="0"/>
              <w:bottom w:val="single" w:color="auto" w:sz="8" w:space="0"/>
            </w:tcBorders>
            <w:noWrap w:val="0"/>
            <w:vAlign w:val="center"/>
          </w:tcPr>
          <w:p w14:paraId="08A8848E">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02" w:type="dxa"/>
            <w:tcBorders>
              <w:top w:val="single" w:color="auto" w:sz="8" w:space="0"/>
              <w:bottom w:val="single" w:color="auto" w:sz="8" w:space="0"/>
            </w:tcBorders>
            <w:noWrap w:val="0"/>
            <w:vAlign w:val="center"/>
          </w:tcPr>
          <w:p w14:paraId="27F7D69A">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51" w:type="dxa"/>
            <w:tcBorders>
              <w:top w:val="single" w:color="auto" w:sz="8" w:space="0"/>
              <w:bottom w:val="single" w:color="auto" w:sz="8" w:space="0"/>
            </w:tcBorders>
            <w:noWrap w:val="0"/>
            <w:vAlign w:val="center"/>
          </w:tcPr>
          <w:p w14:paraId="364A66B4">
            <w:pPr>
              <w:pStyle w:val="207"/>
              <w:numPr>
                <w:ilvl w:val="3"/>
                <w:numId w:val="0"/>
              </w:numPr>
              <w:adjustRightInd w:val="0"/>
              <w:snapToGrid w:val="0"/>
              <w:ind w:right="-105"/>
              <w:jc w:val="center"/>
              <w:rPr>
                <w:rFonts w:hint="eastAsia" w:ascii="宋体" w:hAnsi="宋体" w:eastAsia="宋体"/>
                <w:spacing w:val="0"/>
                <w:kern w:val="2"/>
                <w:sz w:val="18"/>
                <w:szCs w:val="18"/>
                <w:lang w:eastAsia="zh-CN"/>
              </w:rPr>
            </w:pPr>
            <w:r>
              <w:rPr>
                <w:rFonts w:hint="eastAsia" w:ascii="宋体" w:hAnsi="宋体" w:eastAsia="宋体" w:cs="宋体"/>
                <w:sz w:val="18"/>
                <w:szCs w:val="18"/>
                <w:lang w:val="en-US" w:eastAsia="zh-CN"/>
              </w:rPr>
              <w:t>3</w:t>
            </w:r>
          </w:p>
        </w:tc>
        <w:tc>
          <w:tcPr>
            <w:tcW w:w="3025" w:type="dxa"/>
            <w:tcBorders>
              <w:top w:val="single" w:color="auto" w:sz="8" w:space="0"/>
              <w:bottom w:val="single" w:color="auto" w:sz="8" w:space="0"/>
            </w:tcBorders>
            <w:noWrap w:val="0"/>
            <w:vAlign w:val="center"/>
          </w:tcPr>
          <w:p w14:paraId="52DDB330">
            <w:pPr>
              <w:pStyle w:val="207"/>
              <w:numPr>
                <w:ilvl w:val="3"/>
                <w:numId w:val="0"/>
              </w:numPr>
              <w:adjustRightInd w:val="0"/>
              <w:snapToGrid w:val="0"/>
              <w:ind w:right="-105"/>
              <w:rPr>
                <w:rFonts w:ascii="宋体" w:hAnsi="宋体" w:eastAsia="宋体"/>
                <w:spacing w:val="0"/>
                <w:kern w:val="2"/>
                <w:sz w:val="18"/>
                <w:szCs w:val="18"/>
              </w:rPr>
            </w:pPr>
            <w:r>
              <w:rPr>
                <w:rFonts w:ascii="宋体" w:hAnsi="宋体" w:eastAsia="宋体"/>
                <w:bCs/>
                <w:sz w:val="18"/>
                <w:szCs w:val="18"/>
              </w:rPr>
              <w:t>一</w:t>
            </w:r>
            <w:r>
              <w:rPr>
                <w:rFonts w:hint="eastAsia" w:ascii="宋体" w:hAnsi="宋体" w:eastAsia="宋体"/>
                <w:bCs/>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02" w:type="dxa"/>
            <w:tcBorders>
              <w:top w:val="single" w:color="auto" w:sz="8" w:space="0"/>
              <w:bottom w:val="single" w:color="auto" w:sz="8" w:space="0"/>
            </w:tcBorders>
            <w:noWrap w:val="0"/>
            <w:vAlign w:val="center"/>
          </w:tcPr>
          <w:p w14:paraId="4FEDBFF0">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274" w:type="dxa"/>
            <w:tcBorders>
              <w:top w:val="single" w:color="auto" w:sz="8" w:space="0"/>
              <w:bottom w:val="single" w:color="auto" w:sz="8" w:space="0"/>
            </w:tcBorders>
            <w:noWrap w:val="0"/>
            <w:vAlign w:val="center"/>
          </w:tcPr>
          <w:p w14:paraId="71420C3A">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406" w:type="dxa"/>
            <w:noWrap w:val="0"/>
            <w:vAlign w:val="center"/>
          </w:tcPr>
          <w:p w14:paraId="1329E102">
            <w:pPr>
              <w:ind w:right="-41"/>
              <w:jc w:val="center"/>
              <w:rPr>
                <w:rFonts w:hint="eastAsia" w:ascii="宋体" w:hAnsi="宋体"/>
                <w:bCs/>
                <w:sz w:val="18"/>
                <w:szCs w:val="18"/>
              </w:rPr>
            </w:pPr>
            <w:r>
              <w:rPr>
                <w:rFonts w:hint="eastAsia" w:ascii="宋体" w:hAnsi="宋体"/>
                <w:bCs/>
                <w:sz w:val="18"/>
                <w:szCs w:val="18"/>
                <w:lang w:eastAsia="zh-CN"/>
              </w:rPr>
              <w:t>4.3</w:t>
            </w:r>
            <w:r>
              <w:rPr>
                <w:rFonts w:hint="eastAsia" w:ascii="宋体" w:hAnsi="宋体"/>
                <w:bCs/>
                <w:sz w:val="18"/>
                <w:szCs w:val="18"/>
              </w:rPr>
              <w:t>.2.3</w:t>
            </w:r>
          </w:p>
        </w:tc>
      </w:tr>
      <w:tr w14:paraId="56D7C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bottom w:val="single" w:color="auto" w:sz="8" w:space="0"/>
            </w:tcBorders>
            <w:noWrap w:val="0"/>
            <w:vAlign w:val="center"/>
          </w:tcPr>
          <w:p w14:paraId="6DA4E583">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3.2.3.2</w:t>
            </w:r>
          </w:p>
        </w:tc>
        <w:tc>
          <w:tcPr>
            <w:tcW w:w="6339" w:type="dxa"/>
            <w:tcBorders>
              <w:top w:val="single" w:color="auto" w:sz="8" w:space="0"/>
              <w:bottom w:val="single" w:color="auto" w:sz="8" w:space="0"/>
            </w:tcBorders>
            <w:noWrap w:val="0"/>
            <w:vAlign w:val="top"/>
          </w:tcPr>
          <w:p w14:paraId="660A75B5">
            <w:pPr>
              <w:adjustRightInd w:val="0"/>
              <w:snapToGrid w:val="0"/>
              <w:rPr>
                <w:rFonts w:hint="eastAsia" w:ascii="宋体" w:hAnsi="宋体"/>
                <w:sz w:val="18"/>
                <w:szCs w:val="18"/>
              </w:rPr>
            </w:pPr>
            <w:r>
              <w:rPr>
                <w:rFonts w:hint="eastAsia" w:ascii="宋体" w:hAnsi="宋体"/>
                <w:sz w:val="18"/>
                <w:szCs w:val="18"/>
              </w:rPr>
              <w:t>瓶组气化间应符合下列要求：</w:t>
            </w:r>
          </w:p>
          <w:p w14:paraId="3F0E362F">
            <w:pPr>
              <w:adjustRightInd w:val="0"/>
              <w:snapToGrid w:val="0"/>
              <w:rPr>
                <w:rFonts w:hint="eastAsia" w:ascii="宋体" w:hAnsi="宋体"/>
                <w:sz w:val="18"/>
                <w:szCs w:val="18"/>
              </w:rPr>
            </w:pPr>
            <w:r>
              <w:rPr>
                <w:rFonts w:hint="eastAsia" w:ascii="宋体" w:hAnsi="宋体"/>
                <w:bCs/>
                <w:sz w:val="18"/>
                <w:szCs w:val="18"/>
              </w:rPr>
              <w:t>a）</w:t>
            </w:r>
            <w:r>
              <w:rPr>
                <w:rFonts w:hint="eastAsia" w:ascii="宋体" w:hAnsi="宋体"/>
                <w:sz w:val="18"/>
                <w:szCs w:val="18"/>
              </w:rPr>
              <w:t>采用瓶组方式供应液化石油气的，应设置瓶组气化间，存储的气瓶总容积应在</w:t>
            </w:r>
            <w:r>
              <w:rPr>
                <w:rFonts w:hint="eastAsia" w:ascii="宋体" w:hAnsi="宋体"/>
                <w:bCs/>
                <w:sz w:val="18"/>
                <w:szCs w:val="18"/>
              </w:rPr>
              <w:t>1 m</w:t>
            </w:r>
            <w:r>
              <w:rPr>
                <w:rFonts w:hint="eastAsia" w:ascii="宋体" w:hAnsi="宋体"/>
                <w:bCs/>
                <w:sz w:val="18"/>
                <w:szCs w:val="18"/>
                <w:vertAlign w:val="superscript"/>
              </w:rPr>
              <w:t>3</w:t>
            </w:r>
            <w:r>
              <w:rPr>
                <w:rFonts w:hint="eastAsia" w:ascii="宋体" w:hAnsi="宋体"/>
                <w:sz w:val="18"/>
                <w:szCs w:val="18"/>
              </w:rPr>
              <w:t>以下（约8个</w:t>
            </w:r>
            <w:r>
              <w:rPr>
                <w:rFonts w:hint="eastAsia" w:ascii="宋体" w:hAnsi="宋体"/>
                <w:bCs/>
                <w:sz w:val="18"/>
                <w:szCs w:val="18"/>
              </w:rPr>
              <w:t>50 kg</w:t>
            </w:r>
            <w:r>
              <w:rPr>
                <w:rFonts w:hint="eastAsia" w:ascii="宋体" w:hAnsi="宋体"/>
                <w:sz w:val="18"/>
                <w:szCs w:val="18"/>
              </w:rPr>
              <w:t>气瓶）；</w:t>
            </w:r>
          </w:p>
          <w:p w14:paraId="0814A2AB">
            <w:pPr>
              <w:adjustRightInd w:val="0"/>
              <w:snapToGrid w:val="0"/>
              <w:rPr>
                <w:rFonts w:hint="eastAsia" w:ascii="宋体" w:hAnsi="宋体"/>
                <w:sz w:val="18"/>
                <w:szCs w:val="18"/>
              </w:rPr>
            </w:pPr>
            <w:r>
              <w:rPr>
                <w:rFonts w:hint="eastAsia" w:ascii="宋体" w:hAnsi="宋体"/>
                <w:bCs/>
                <w:sz w:val="18"/>
                <w:szCs w:val="18"/>
              </w:rPr>
              <w:t>b）</w:t>
            </w:r>
            <w:r>
              <w:rPr>
                <w:rFonts w:hint="eastAsia" w:ascii="宋体" w:hAnsi="宋体"/>
                <w:sz w:val="18"/>
                <w:szCs w:val="18"/>
              </w:rPr>
              <w:t xml:space="preserve">当采用自然气化方式供气时，瓶组间可设置在与建筑物（住宅、重要公共建筑和高层民用建筑除外）外墙毗连的单层专用房间内，不应设置在地下室、半地下室、地窖等通风不良场所及建筑物内，并应符合下列要求：    </w:t>
            </w:r>
          </w:p>
          <w:p w14:paraId="00ED42AB">
            <w:pPr>
              <w:adjustRightInd w:val="0"/>
              <w:snapToGrid w:val="0"/>
              <w:ind w:firstLine="360" w:firstLineChars="200"/>
              <w:rPr>
                <w:rFonts w:hint="eastAsia" w:ascii="宋体" w:hAnsi="宋体"/>
                <w:sz w:val="18"/>
                <w:szCs w:val="18"/>
              </w:rPr>
            </w:pPr>
            <w:r>
              <w:rPr>
                <w:rFonts w:hint="eastAsia" w:ascii="宋体" w:hAnsi="宋体"/>
                <w:sz w:val="18"/>
                <w:szCs w:val="18"/>
              </w:rPr>
              <w:t>1）建筑物耐火等级不应低于二级标准；</w:t>
            </w:r>
          </w:p>
          <w:p w14:paraId="454D09E2">
            <w:pPr>
              <w:adjustRightInd w:val="0"/>
              <w:snapToGrid w:val="0"/>
              <w:ind w:firstLine="360" w:firstLineChars="200"/>
              <w:rPr>
                <w:rFonts w:hint="eastAsia" w:ascii="宋体" w:hAnsi="宋体"/>
                <w:sz w:val="18"/>
                <w:szCs w:val="18"/>
              </w:rPr>
            </w:pPr>
            <w:r>
              <w:rPr>
                <w:rFonts w:hint="eastAsia" w:ascii="宋体" w:hAnsi="宋体"/>
                <w:sz w:val="18"/>
                <w:szCs w:val="18"/>
              </w:rPr>
              <w:t>2）应通风良好，并设有直通室外的门，门、窗应向外开；</w:t>
            </w:r>
          </w:p>
          <w:p w14:paraId="13DD2C15">
            <w:pPr>
              <w:adjustRightInd w:val="0"/>
              <w:snapToGrid w:val="0"/>
              <w:ind w:firstLine="360" w:firstLineChars="200"/>
              <w:rPr>
                <w:rFonts w:hint="eastAsia" w:ascii="宋体" w:hAnsi="宋体"/>
                <w:sz w:val="18"/>
                <w:szCs w:val="18"/>
              </w:rPr>
            </w:pPr>
            <w:r>
              <w:rPr>
                <w:rFonts w:hint="eastAsia" w:ascii="宋体" w:hAnsi="宋体"/>
                <w:sz w:val="18"/>
                <w:szCs w:val="18"/>
              </w:rPr>
              <w:t>3）与其他房间相邻的墙应为无门、无窗洞口的防火墙；</w:t>
            </w:r>
          </w:p>
          <w:p w14:paraId="53081782">
            <w:pPr>
              <w:adjustRightInd w:val="0"/>
              <w:snapToGrid w:val="0"/>
              <w:ind w:firstLine="360" w:firstLineChars="200"/>
              <w:rPr>
                <w:rFonts w:hint="eastAsia" w:ascii="宋体" w:hAnsi="宋体"/>
                <w:sz w:val="18"/>
                <w:szCs w:val="18"/>
              </w:rPr>
            </w:pPr>
            <w:r>
              <w:rPr>
                <w:rFonts w:hint="eastAsia" w:ascii="宋体" w:hAnsi="宋体"/>
                <w:sz w:val="18"/>
                <w:szCs w:val="18"/>
              </w:rPr>
              <w:t>4）瓶组间室温范围为</w:t>
            </w:r>
            <w:r>
              <w:rPr>
                <w:rFonts w:hint="eastAsia" w:ascii="宋体" w:hAnsi="宋体"/>
                <w:bCs/>
                <w:sz w:val="18"/>
                <w:szCs w:val="18"/>
              </w:rPr>
              <w:t>0℃～40℃</w:t>
            </w:r>
            <w:r>
              <w:rPr>
                <w:rFonts w:hint="eastAsia" w:ascii="宋体" w:hAnsi="宋体"/>
                <w:sz w:val="18"/>
                <w:szCs w:val="18"/>
              </w:rPr>
              <w:t>。</w:t>
            </w:r>
          </w:p>
          <w:p w14:paraId="09BBF37E">
            <w:pPr>
              <w:adjustRightInd w:val="0"/>
              <w:snapToGrid w:val="0"/>
              <w:rPr>
                <w:rFonts w:hint="eastAsia" w:ascii="宋体" w:hAnsi="宋体"/>
                <w:sz w:val="18"/>
                <w:szCs w:val="18"/>
              </w:rPr>
            </w:pPr>
            <w:r>
              <w:rPr>
                <w:rFonts w:hint="eastAsia" w:ascii="宋体" w:hAnsi="宋体"/>
                <w:bCs/>
                <w:sz w:val="18"/>
                <w:szCs w:val="18"/>
              </w:rPr>
              <w:t>c）</w:t>
            </w:r>
            <w:r>
              <w:rPr>
                <w:rFonts w:hint="eastAsia" w:ascii="宋体" w:hAnsi="宋体"/>
                <w:sz w:val="18"/>
                <w:szCs w:val="18"/>
              </w:rPr>
              <w:t>当采用强制气化方式供气时，瓶组气化间应为高度不低于</w:t>
            </w:r>
            <w:r>
              <w:rPr>
                <w:rFonts w:hint="eastAsia" w:ascii="宋体" w:hAnsi="宋体"/>
                <w:bCs/>
                <w:sz w:val="18"/>
                <w:szCs w:val="18"/>
              </w:rPr>
              <w:t>2.2 m</w:t>
            </w:r>
            <w:r>
              <w:rPr>
                <w:rFonts w:hint="eastAsia" w:ascii="宋体" w:hAnsi="宋体"/>
                <w:sz w:val="18"/>
                <w:szCs w:val="18"/>
              </w:rPr>
              <w:t>的独立房间，其建筑要求应符合下列要求：</w:t>
            </w:r>
          </w:p>
          <w:p w14:paraId="43E2564A">
            <w:pPr>
              <w:adjustRightInd w:val="0"/>
              <w:snapToGrid w:val="0"/>
              <w:ind w:firstLine="360" w:firstLineChars="200"/>
              <w:rPr>
                <w:rFonts w:hint="eastAsia" w:ascii="宋体" w:hAnsi="宋体" w:eastAsia="宋体" w:cs="Times New Roman"/>
                <w:kern w:val="2"/>
                <w:sz w:val="18"/>
                <w:szCs w:val="18"/>
                <w:lang w:val="en-US" w:eastAsia="zh-CN" w:bidi="ar-SA"/>
              </w:rPr>
            </w:pPr>
            <w:r>
              <w:rPr>
                <w:rFonts w:hint="eastAsia" w:ascii="宋体" w:hAnsi="宋体"/>
                <w:sz w:val="18"/>
                <w:szCs w:val="18"/>
              </w:rPr>
              <w:t>1）建筑物耐火等级不应低于二级标准；</w:t>
            </w:r>
          </w:p>
        </w:tc>
        <w:tc>
          <w:tcPr>
            <w:tcW w:w="602" w:type="dxa"/>
            <w:tcBorders>
              <w:top w:val="single" w:color="auto" w:sz="8" w:space="0"/>
              <w:bottom w:val="single" w:color="auto" w:sz="8" w:space="0"/>
            </w:tcBorders>
            <w:noWrap w:val="0"/>
            <w:vAlign w:val="center"/>
          </w:tcPr>
          <w:p w14:paraId="08D93088">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02" w:type="dxa"/>
            <w:tcBorders>
              <w:top w:val="single" w:color="auto" w:sz="8" w:space="0"/>
              <w:bottom w:val="single" w:color="auto" w:sz="8" w:space="0"/>
            </w:tcBorders>
            <w:noWrap w:val="0"/>
            <w:vAlign w:val="center"/>
          </w:tcPr>
          <w:p w14:paraId="12661862">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51" w:type="dxa"/>
            <w:tcBorders>
              <w:top w:val="single" w:color="auto" w:sz="8" w:space="0"/>
              <w:bottom w:val="single" w:color="auto" w:sz="8" w:space="0"/>
            </w:tcBorders>
            <w:noWrap w:val="0"/>
            <w:vAlign w:val="center"/>
          </w:tcPr>
          <w:p w14:paraId="0BB745D2">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rPr>
              <w:t>2</w:t>
            </w:r>
          </w:p>
        </w:tc>
        <w:tc>
          <w:tcPr>
            <w:tcW w:w="3025" w:type="dxa"/>
            <w:tcBorders>
              <w:top w:val="single" w:color="auto" w:sz="8" w:space="0"/>
              <w:bottom w:val="single" w:color="auto" w:sz="8" w:space="0"/>
            </w:tcBorders>
            <w:noWrap w:val="0"/>
            <w:vAlign w:val="center"/>
          </w:tcPr>
          <w:p w14:paraId="6787E25A">
            <w:pPr>
              <w:pStyle w:val="207"/>
              <w:numPr>
                <w:ilvl w:val="3"/>
                <w:numId w:val="0"/>
              </w:numPr>
              <w:adjustRightInd w:val="0"/>
              <w:snapToGrid w:val="0"/>
              <w:ind w:left="0" w:leftChars="0" w:right="-105" w:rightChars="0" w:firstLine="0" w:firstLineChars="0"/>
              <w:rPr>
                <w:rFonts w:ascii="宋体" w:hAnsi="宋体" w:eastAsia="宋体" w:cs="Times New Roman"/>
                <w:bCs/>
                <w:spacing w:val="2"/>
                <w:kern w:val="0"/>
                <w:sz w:val="18"/>
                <w:szCs w:val="18"/>
                <w:lang w:val="en-US" w:eastAsia="zh-CN" w:bidi="ar-SA"/>
              </w:rPr>
            </w:pPr>
            <w:r>
              <w:rPr>
                <w:rFonts w:ascii="宋体" w:hAnsi="宋体" w:eastAsia="宋体"/>
                <w:bCs/>
                <w:sz w:val="18"/>
                <w:szCs w:val="18"/>
              </w:rPr>
              <w:t>一</w:t>
            </w:r>
            <w:r>
              <w:rPr>
                <w:rFonts w:hint="eastAsia" w:ascii="宋体" w:hAnsi="宋体" w:eastAsia="宋体"/>
                <w:bCs/>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02" w:type="dxa"/>
            <w:tcBorders>
              <w:top w:val="single" w:color="auto" w:sz="8" w:space="0"/>
              <w:bottom w:val="single" w:color="auto" w:sz="8" w:space="0"/>
            </w:tcBorders>
            <w:noWrap w:val="0"/>
            <w:vAlign w:val="center"/>
          </w:tcPr>
          <w:p w14:paraId="497966AF">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74" w:type="dxa"/>
            <w:tcBorders>
              <w:top w:val="single" w:color="auto" w:sz="8" w:space="0"/>
              <w:bottom w:val="single" w:color="auto" w:sz="8" w:space="0"/>
            </w:tcBorders>
            <w:noWrap w:val="0"/>
            <w:vAlign w:val="center"/>
          </w:tcPr>
          <w:p w14:paraId="43DBA93F">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406" w:type="dxa"/>
            <w:noWrap w:val="0"/>
            <w:vAlign w:val="center"/>
          </w:tcPr>
          <w:p w14:paraId="36EF0F7D">
            <w:pPr>
              <w:ind w:right="-41" w:rightChars="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.2.3</w:t>
            </w:r>
          </w:p>
        </w:tc>
      </w:tr>
    </w:tbl>
    <w:p w14:paraId="7FAC04DB">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339"/>
        <w:gridCol w:w="602"/>
        <w:gridCol w:w="602"/>
        <w:gridCol w:w="651"/>
        <w:gridCol w:w="3025"/>
        <w:gridCol w:w="602"/>
        <w:gridCol w:w="1274"/>
        <w:gridCol w:w="1406"/>
      </w:tblGrid>
      <w:tr w14:paraId="5FAC1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52" w:type="dxa"/>
            <w:tcBorders>
              <w:top w:val="single" w:color="auto" w:sz="8" w:space="0"/>
              <w:bottom w:val="single" w:color="auto" w:sz="8" w:space="0"/>
            </w:tcBorders>
            <w:noWrap w:val="0"/>
            <w:vAlign w:val="center"/>
          </w:tcPr>
          <w:p w14:paraId="3486A22E">
            <w:pPr>
              <w:adjustRightInd w:val="0"/>
              <w:snapToGrid w:val="0"/>
              <w:jc w:val="center"/>
              <w:rPr>
                <w:rFonts w:ascii="宋体" w:hAnsi="宋体"/>
                <w:sz w:val="18"/>
                <w:szCs w:val="18"/>
              </w:rPr>
            </w:pPr>
            <w:r>
              <w:rPr>
                <w:rFonts w:ascii="宋体" w:hAnsi="宋体"/>
                <w:bCs/>
                <w:sz w:val="18"/>
                <w:szCs w:val="18"/>
              </w:rPr>
              <w:t>序号</w:t>
            </w:r>
          </w:p>
        </w:tc>
        <w:tc>
          <w:tcPr>
            <w:tcW w:w="6339" w:type="dxa"/>
            <w:tcBorders>
              <w:top w:val="single" w:color="auto" w:sz="8" w:space="0"/>
              <w:bottom w:val="single" w:color="auto" w:sz="8" w:space="0"/>
            </w:tcBorders>
            <w:noWrap w:val="0"/>
            <w:vAlign w:val="center"/>
          </w:tcPr>
          <w:p w14:paraId="759CB32D">
            <w:pPr>
              <w:adjustRightInd w:val="0"/>
              <w:snapToGrid w:val="0"/>
              <w:jc w:val="center"/>
              <w:rPr>
                <w:rFonts w:ascii="宋体" w:hAnsi="宋体"/>
                <w:sz w:val="18"/>
                <w:szCs w:val="18"/>
              </w:rPr>
            </w:pPr>
            <w:r>
              <w:rPr>
                <w:rFonts w:ascii="宋体" w:hAnsi="宋体"/>
                <w:bCs/>
                <w:sz w:val="18"/>
                <w:szCs w:val="18"/>
              </w:rPr>
              <w:t>评定内容</w:t>
            </w:r>
          </w:p>
        </w:tc>
        <w:tc>
          <w:tcPr>
            <w:tcW w:w="602" w:type="dxa"/>
            <w:tcBorders>
              <w:top w:val="single" w:color="auto" w:sz="8" w:space="0"/>
              <w:bottom w:val="single" w:color="auto" w:sz="8" w:space="0"/>
            </w:tcBorders>
            <w:noWrap w:val="0"/>
            <w:vAlign w:val="center"/>
          </w:tcPr>
          <w:p w14:paraId="18280658">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283BD714">
            <w:pPr>
              <w:adjustRightInd w:val="0"/>
              <w:snapToGrid w:val="0"/>
              <w:jc w:val="center"/>
              <w:rPr>
                <w:rFonts w:ascii="宋体" w:hAnsi="宋体"/>
                <w:sz w:val="18"/>
                <w:szCs w:val="18"/>
              </w:rPr>
            </w:pPr>
            <w:r>
              <w:rPr>
                <w:rFonts w:ascii="宋体" w:hAnsi="宋体"/>
                <w:bCs/>
                <w:sz w:val="18"/>
                <w:szCs w:val="18"/>
              </w:rPr>
              <w:t>评定细项分值</w:t>
            </w:r>
          </w:p>
        </w:tc>
        <w:tc>
          <w:tcPr>
            <w:tcW w:w="651" w:type="dxa"/>
            <w:tcBorders>
              <w:top w:val="single" w:color="auto" w:sz="8" w:space="0"/>
              <w:bottom w:val="single" w:color="auto" w:sz="8" w:space="0"/>
            </w:tcBorders>
            <w:noWrap w:val="0"/>
            <w:vAlign w:val="center"/>
          </w:tcPr>
          <w:p w14:paraId="6B8241F7">
            <w:pPr>
              <w:adjustRightInd w:val="0"/>
              <w:snapToGrid w:val="0"/>
              <w:jc w:val="center"/>
              <w:rPr>
                <w:rFonts w:ascii="宋体" w:hAnsi="宋体"/>
                <w:sz w:val="18"/>
                <w:szCs w:val="18"/>
              </w:rPr>
            </w:pPr>
            <w:r>
              <w:rPr>
                <w:rFonts w:ascii="宋体" w:hAnsi="宋体"/>
                <w:bCs/>
                <w:sz w:val="18"/>
                <w:szCs w:val="18"/>
              </w:rPr>
              <w:t>评定条款分值</w:t>
            </w:r>
          </w:p>
        </w:tc>
        <w:tc>
          <w:tcPr>
            <w:tcW w:w="3025" w:type="dxa"/>
            <w:tcBorders>
              <w:top w:val="single" w:color="auto" w:sz="8" w:space="0"/>
              <w:bottom w:val="single" w:color="auto" w:sz="8" w:space="0"/>
            </w:tcBorders>
            <w:noWrap w:val="0"/>
            <w:vAlign w:val="center"/>
          </w:tcPr>
          <w:p w14:paraId="3F6789CB">
            <w:pPr>
              <w:adjustRightInd w:val="0"/>
              <w:snapToGrid w:val="0"/>
              <w:jc w:val="center"/>
              <w:rPr>
                <w:rFonts w:ascii="宋体" w:hAnsi="宋体"/>
                <w:sz w:val="18"/>
                <w:szCs w:val="18"/>
              </w:rPr>
            </w:pPr>
            <w:r>
              <w:rPr>
                <w:rFonts w:ascii="宋体" w:hAnsi="宋体"/>
                <w:bCs/>
                <w:sz w:val="18"/>
                <w:szCs w:val="18"/>
              </w:rPr>
              <w:t>评分标准</w:t>
            </w:r>
          </w:p>
        </w:tc>
        <w:tc>
          <w:tcPr>
            <w:tcW w:w="602" w:type="dxa"/>
            <w:tcBorders>
              <w:top w:val="single" w:color="auto" w:sz="8" w:space="0"/>
              <w:bottom w:val="single" w:color="auto" w:sz="8" w:space="0"/>
            </w:tcBorders>
            <w:noWrap w:val="0"/>
            <w:vAlign w:val="center"/>
          </w:tcPr>
          <w:p w14:paraId="4B05D01F">
            <w:pPr>
              <w:adjustRightInd w:val="0"/>
              <w:snapToGrid w:val="0"/>
              <w:jc w:val="center"/>
              <w:rPr>
                <w:rFonts w:ascii="宋体" w:hAnsi="宋体"/>
                <w:sz w:val="18"/>
                <w:szCs w:val="18"/>
              </w:rPr>
            </w:pPr>
            <w:r>
              <w:rPr>
                <w:rFonts w:ascii="宋体" w:hAnsi="宋体"/>
                <w:bCs/>
                <w:sz w:val="18"/>
                <w:szCs w:val="18"/>
              </w:rPr>
              <w:t>评定得分</w:t>
            </w:r>
          </w:p>
        </w:tc>
        <w:tc>
          <w:tcPr>
            <w:tcW w:w="1274" w:type="dxa"/>
            <w:tcBorders>
              <w:top w:val="single" w:color="auto" w:sz="8" w:space="0"/>
              <w:bottom w:val="single" w:color="auto" w:sz="8" w:space="0"/>
            </w:tcBorders>
            <w:noWrap w:val="0"/>
            <w:vAlign w:val="center"/>
          </w:tcPr>
          <w:p w14:paraId="0663181F">
            <w:pPr>
              <w:adjustRightInd w:val="0"/>
              <w:snapToGrid w:val="0"/>
              <w:jc w:val="center"/>
              <w:rPr>
                <w:rFonts w:ascii="宋体" w:hAnsi="宋体"/>
                <w:sz w:val="18"/>
                <w:szCs w:val="18"/>
              </w:rPr>
            </w:pPr>
            <w:r>
              <w:rPr>
                <w:rFonts w:ascii="宋体" w:hAnsi="宋体"/>
                <w:bCs/>
                <w:sz w:val="18"/>
                <w:szCs w:val="18"/>
              </w:rPr>
              <w:t>扣分说明</w:t>
            </w:r>
          </w:p>
        </w:tc>
        <w:tc>
          <w:tcPr>
            <w:tcW w:w="1406" w:type="dxa"/>
            <w:tcBorders>
              <w:top w:val="single" w:color="auto" w:sz="8" w:space="0"/>
              <w:bottom w:val="single" w:color="auto" w:sz="8" w:space="0"/>
            </w:tcBorders>
            <w:noWrap w:val="0"/>
            <w:vAlign w:val="center"/>
          </w:tcPr>
          <w:p w14:paraId="71967631">
            <w:pPr>
              <w:adjustRightInd w:val="0"/>
              <w:snapToGrid w:val="0"/>
              <w:jc w:val="center"/>
              <w:rPr>
                <w:rFonts w:ascii="宋体" w:hAnsi="宋体"/>
                <w:sz w:val="18"/>
                <w:szCs w:val="18"/>
              </w:rPr>
            </w:pPr>
            <w:r>
              <w:rPr>
                <w:rFonts w:ascii="宋体" w:hAnsi="宋体"/>
                <w:bCs/>
                <w:sz w:val="18"/>
                <w:szCs w:val="18"/>
              </w:rPr>
              <w:t>对应条款编号</w:t>
            </w:r>
          </w:p>
        </w:tc>
      </w:tr>
      <w:tr w14:paraId="654B0C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bottom w:val="single" w:color="auto" w:sz="8" w:space="0"/>
            </w:tcBorders>
            <w:noWrap w:val="0"/>
            <w:vAlign w:val="center"/>
          </w:tcPr>
          <w:p w14:paraId="14AE69D5">
            <w:pPr>
              <w:adjustRightInd w:val="0"/>
              <w:snapToGrid w:val="0"/>
              <w:jc w:val="center"/>
              <w:rPr>
                <w:rFonts w:hint="eastAsia" w:ascii="宋体" w:hAnsi="宋体"/>
                <w:sz w:val="18"/>
                <w:szCs w:val="18"/>
              </w:rPr>
            </w:pPr>
          </w:p>
        </w:tc>
        <w:tc>
          <w:tcPr>
            <w:tcW w:w="6339" w:type="dxa"/>
            <w:tcBorders>
              <w:top w:val="single" w:color="auto" w:sz="8" w:space="0"/>
              <w:bottom w:val="single" w:color="auto" w:sz="8" w:space="0"/>
            </w:tcBorders>
            <w:noWrap w:val="0"/>
            <w:vAlign w:val="top"/>
          </w:tcPr>
          <w:p w14:paraId="606CBD17">
            <w:pPr>
              <w:adjustRightInd w:val="0"/>
              <w:snapToGrid w:val="0"/>
              <w:ind w:firstLine="360" w:firstLineChars="200"/>
              <w:rPr>
                <w:rFonts w:hint="eastAsia" w:ascii="宋体" w:hAnsi="宋体"/>
                <w:sz w:val="18"/>
                <w:szCs w:val="18"/>
              </w:rPr>
            </w:pPr>
            <w:r>
              <w:rPr>
                <w:rFonts w:hint="eastAsia" w:ascii="宋体" w:hAnsi="宋体"/>
                <w:sz w:val="18"/>
                <w:szCs w:val="18"/>
              </w:rPr>
              <w:t>2）应通风良好，并设有直通室外的门，门、窗应向外开；</w:t>
            </w:r>
          </w:p>
          <w:p w14:paraId="0283384A">
            <w:pPr>
              <w:adjustRightInd w:val="0"/>
              <w:snapToGrid w:val="0"/>
              <w:ind w:firstLine="360" w:firstLineChars="200"/>
              <w:rPr>
                <w:rFonts w:hint="eastAsia" w:ascii="宋体" w:hAnsi="宋体"/>
                <w:sz w:val="18"/>
                <w:szCs w:val="18"/>
              </w:rPr>
            </w:pPr>
            <w:r>
              <w:rPr>
                <w:rFonts w:hint="eastAsia" w:ascii="宋体" w:hAnsi="宋体"/>
                <w:sz w:val="18"/>
                <w:szCs w:val="18"/>
              </w:rPr>
              <w:t>3）与其他房间相邻的墙应为无门、无窗洞口的防火墙；</w:t>
            </w:r>
          </w:p>
          <w:p w14:paraId="241C0325">
            <w:pPr>
              <w:adjustRightInd w:val="0"/>
              <w:snapToGrid w:val="0"/>
              <w:ind w:firstLine="360" w:firstLineChars="200"/>
              <w:rPr>
                <w:rFonts w:hint="eastAsia" w:ascii="宋体" w:hAnsi="宋体"/>
                <w:sz w:val="18"/>
                <w:szCs w:val="18"/>
              </w:rPr>
            </w:pPr>
            <w:r>
              <w:rPr>
                <w:rFonts w:hint="eastAsia" w:ascii="宋体" w:hAnsi="宋体"/>
                <w:sz w:val="18"/>
                <w:szCs w:val="18"/>
              </w:rPr>
              <w:t>4）瓶组间室温范围为</w:t>
            </w:r>
            <w:r>
              <w:rPr>
                <w:rFonts w:hint="eastAsia" w:ascii="宋体" w:hAnsi="宋体"/>
                <w:bCs/>
                <w:sz w:val="18"/>
                <w:szCs w:val="18"/>
              </w:rPr>
              <w:t>0℃～40℃</w:t>
            </w:r>
            <w:r>
              <w:rPr>
                <w:rFonts w:hint="eastAsia" w:ascii="宋体" w:hAnsi="宋体"/>
                <w:sz w:val="18"/>
                <w:szCs w:val="18"/>
              </w:rPr>
              <w:t>；</w:t>
            </w:r>
          </w:p>
          <w:p w14:paraId="0EE3F9A4">
            <w:pPr>
              <w:adjustRightInd w:val="0"/>
              <w:snapToGrid w:val="0"/>
              <w:ind w:firstLine="360" w:firstLineChars="200"/>
              <w:rPr>
                <w:rFonts w:hint="eastAsia" w:ascii="宋体" w:hAnsi="宋体"/>
                <w:sz w:val="18"/>
                <w:szCs w:val="18"/>
              </w:rPr>
            </w:pPr>
            <w:r>
              <w:rPr>
                <w:rFonts w:hint="eastAsia" w:ascii="宋体" w:hAnsi="宋体"/>
                <w:sz w:val="18"/>
                <w:szCs w:val="18"/>
              </w:rPr>
              <w:t>5）与建筑的防火间距应符合表D.2的要求。</w:t>
            </w:r>
          </w:p>
          <w:p w14:paraId="7EE9961E">
            <w:pPr>
              <w:adjustRightInd w:val="0"/>
              <w:snapToGrid w:val="0"/>
              <w:rPr>
                <w:rFonts w:hint="eastAsia" w:ascii="宋体" w:hAnsi="宋体"/>
                <w:sz w:val="18"/>
                <w:szCs w:val="18"/>
              </w:rPr>
            </w:pPr>
            <w:r>
              <w:rPr>
                <w:rFonts w:hint="eastAsia" w:ascii="宋体" w:hAnsi="宋体"/>
                <w:bCs/>
                <w:sz w:val="18"/>
                <w:szCs w:val="18"/>
              </w:rPr>
              <w:t>d）</w:t>
            </w:r>
            <w:r>
              <w:rPr>
                <w:rFonts w:hint="eastAsia" w:ascii="宋体" w:hAnsi="宋体"/>
                <w:sz w:val="18"/>
                <w:szCs w:val="18"/>
              </w:rPr>
              <w:t>采用自然通风的瓶组间和气化间，其下通风式百叶窗应不少于2个，气瓶间每平方米的通风面积不应小于</w:t>
            </w:r>
            <w:r>
              <w:rPr>
                <w:rFonts w:hint="eastAsia" w:ascii="宋体" w:hAnsi="宋体"/>
                <w:bCs/>
                <w:sz w:val="18"/>
                <w:szCs w:val="18"/>
              </w:rPr>
              <w:t>0.03 m</w:t>
            </w:r>
            <w:r>
              <w:rPr>
                <w:rFonts w:hint="eastAsia" w:ascii="宋体" w:hAnsi="宋体"/>
                <w:bCs/>
                <w:sz w:val="18"/>
                <w:szCs w:val="18"/>
                <w:vertAlign w:val="superscript"/>
              </w:rPr>
              <w:t>2</w:t>
            </w:r>
            <w:r>
              <w:rPr>
                <w:rFonts w:hint="eastAsia" w:ascii="宋体" w:hAnsi="宋体"/>
                <w:sz w:val="18"/>
                <w:szCs w:val="18"/>
              </w:rPr>
              <w:t>，通风口应与室外大气连通，通风口下沿距室内地坪宜在</w:t>
            </w:r>
            <w:r>
              <w:rPr>
                <w:rFonts w:hint="eastAsia" w:ascii="宋体" w:hAnsi="宋体"/>
                <w:bCs/>
                <w:sz w:val="18"/>
                <w:szCs w:val="18"/>
              </w:rPr>
              <w:t>0.2 m</w:t>
            </w:r>
            <w:r>
              <w:rPr>
                <w:rFonts w:hint="eastAsia" w:ascii="宋体" w:hAnsi="宋体"/>
                <w:sz w:val="18"/>
                <w:szCs w:val="18"/>
              </w:rPr>
              <w:t>以下，采用独立的强制通风方式的瓶组间和气化间，其通风设施应与可燃气体探测器连锁并符合防爆要求；</w:t>
            </w:r>
          </w:p>
          <w:p w14:paraId="5A15739B">
            <w:pPr>
              <w:adjustRightInd w:val="0"/>
              <w:snapToGrid w:val="0"/>
              <w:rPr>
                <w:rFonts w:hint="eastAsia" w:ascii="宋体" w:hAnsi="宋体"/>
                <w:sz w:val="18"/>
                <w:szCs w:val="18"/>
              </w:rPr>
            </w:pPr>
            <w:r>
              <w:rPr>
                <w:rFonts w:hint="eastAsia" w:ascii="宋体" w:hAnsi="宋体"/>
                <w:bCs/>
                <w:sz w:val="18"/>
                <w:szCs w:val="18"/>
              </w:rPr>
              <w:t>e）</w:t>
            </w:r>
            <w:r>
              <w:rPr>
                <w:rFonts w:hint="eastAsia" w:ascii="宋体" w:hAnsi="宋体"/>
                <w:sz w:val="18"/>
                <w:szCs w:val="18"/>
              </w:rPr>
              <w:t>瓶组间和气化间内不应有暖气沟、地漏及其它地下建构筑物，地面材料应采用不发生火花的材料；</w:t>
            </w:r>
          </w:p>
          <w:p w14:paraId="485E9DA4">
            <w:pPr>
              <w:adjustRightInd w:val="0"/>
              <w:snapToGrid w:val="0"/>
              <w:rPr>
                <w:rFonts w:hint="eastAsia" w:ascii="宋体" w:hAnsi="宋体"/>
                <w:sz w:val="18"/>
                <w:szCs w:val="18"/>
              </w:rPr>
            </w:pPr>
            <w:r>
              <w:rPr>
                <w:rFonts w:hint="eastAsia" w:ascii="宋体" w:hAnsi="宋体"/>
                <w:bCs/>
                <w:sz w:val="18"/>
                <w:szCs w:val="18"/>
              </w:rPr>
              <w:t>f）</w:t>
            </w:r>
            <w:r>
              <w:rPr>
                <w:rFonts w:hint="eastAsia" w:ascii="宋体" w:hAnsi="宋体"/>
                <w:sz w:val="18"/>
                <w:szCs w:val="18"/>
              </w:rPr>
              <w:t>瓶组间和气化间内的电气设备应为防爆型，电气开关应安装在室外；</w:t>
            </w:r>
          </w:p>
          <w:p w14:paraId="71054423">
            <w:pPr>
              <w:adjustRightInd w:val="0"/>
              <w:snapToGrid w:val="0"/>
              <w:rPr>
                <w:rFonts w:hint="eastAsia" w:ascii="宋体" w:hAnsi="宋体"/>
                <w:sz w:val="18"/>
                <w:szCs w:val="18"/>
              </w:rPr>
            </w:pPr>
            <w:r>
              <w:rPr>
                <w:rFonts w:hint="eastAsia" w:ascii="宋体" w:hAnsi="宋体"/>
                <w:bCs/>
                <w:sz w:val="18"/>
                <w:szCs w:val="18"/>
              </w:rPr>
              <w:t>g）</w:t>
            </w:r>
            <w:r>
              <w:rPr>
                <w:rFonts w:hint="eastAsia" w:ascii="宋体" w:hAnsi="宋体"/>
                <w:sz w:val="18"/>
                <w:szCs w:val="18"/>
              </w:rPr>
              <w:t>瓶组间和气化间应配备干粉灭火器，且数量不应少于2个；</w:t>
            </w:r>
          </w:p>
          <w:p w14:paraId="1A688EA9">
            <w:pPr>
              <w:adjustRightInd w:val="0"/>
              <w:snapToGrid w:val="0"/>
              <w:rPr>
                <w:rFonts w:hint="eastAsia" w:ascii="宋体" w:hAnsi="宋体"/>
                <w:sz w:val="18"/>
                <w:szCs w:val="18"/>
              </w:rPr>
            </w:pPr>
            <w:r>
              <w:rPr>
                <w:rFonts w:hint="eastAsia" w:ascii="宋体" w:hAnsi="宋体"/>
                <w:bCs/>
                <w:sz w:val="18"/>
                <w:szCs w:val="18"/>
              </w:rPr>
              <w:t>h）</w:t>
            </w:r>
            <w:r>
              <w:rPr>
                <w:rFonts w:hint="eastAsia" w:ascii="宋体" w:hAnsi="宋体"/>
                <w:sz w:val="18"/>
                <w:szCs w:val="18"/>
              </w:rPr>
              <w:t>瓶组间和气化间内不应设置燃气燃烧器具以及其他明火，不应堆放易燃、易爆物品，不应作为其他用途使用；</w:t>
            </w:r>
          </w:p>
          <w:p w14:paraId="1478F7A9">
            <w:pPr>
              <w:adjustRightInd w:val="0"/>
              <w:snapToGrid w:val="0"/>
              <w:rPr>
                <w:rFonts w:hint="eastAsia" w:ascii="宋体" w:hAnsi="宋体"/>
                <w:sz w:val="18"/>
                <w:szCs w:val="18"/>
              </w:rPr>
            </w:pPr>
            <w:r>
              <w:rPr>
                <w:rFonts w:hint="eastAsia" w:ascii="宋体" w:hAnsi="宋体"/>
                <w:bCs/>
                <w:sz w:val="18"/>
                <w:szCs w:val="18"/>
              </w:rPr>
              <w:t>i）</w:t>
            </w:r>
            <w:r>
              <w:rPr>
                <w:rFonts w:hint="eastAsia" w:ascii="宋体" w:hAnsi="宋体"/>
                <w:sz w:val="18"/>
                <w:szCs w:val="18"/>
              </w:rPr>
              <w:t>瓶组气化间内应设置液化石油气的可燃气体探测器，且可燃气体报警控制器应安装在有人值守的房间内。</w:t>
            </w:r>
          </w:p>
        </w:tc>
        <w:tc>
          <w:tcPr>
            <w:tcW w:w="602" w:type="dxa"/>
            <w:tcBorders>
              <w:top w:val="single" w:color="auto" w:sz="8" w:space="0"/>
              <w:bottom w:val="single" w:color="auto" w:sz="8" w:space="0"/>
            </w:tcBorders>
            <w:noWrap w:val="0"/>
            <w:vAlign w:val="center"/>
          </w:tcPr>
          <w:p w14:paraId="767B7CB2">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02" w:type="dxa"/>
            <w:tcBorders>
              <w:top w:val="single" w:color="auto" w:sz="8" w:space="0"/>
              <w:bottom w:val="single" w:color="auto" w:sz="8" w:space="0"/>
            </w:tcBorders>
            <w:noWrap w:val="0"/>
            <w:vAlign w:val="center"/>
          </w:tcPr>
          <w:p w14:paraId="7793F187">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51" w:type="dxa"/>
            <w:tcBorders>
              <w:top w:val="single" w:color="auto" w:sz="8" w:space="0"/>
              <w:bottom w:val="single" w:color="auto" w:sz="8" w:space="0"/>
            </w:tcBorders>
            <w:noWrap w:val="0"/>
            <w:vAlign w:val="center"/>
          </w:tcPr>
          <w:p w14:paraId="28665F2C">
            <w:pPr>
              <w:pStyle w:val="207"/>
              <w:numPr>
                <w:ilvl w:val="3"/>
                <w:numId w:val="0"/>
              </w:numPr>
              <w:adjustRightInd w:val="0"/>
              <w:snapToGrid w:val="0"/>
              <w:ind w:right="-105"/>
              <w:jc w:val="center"/>
              <w:outlineLvl w:val="9"/>
              <w:rPr>
                <w:rFonts w:hint="eastAsia" w:ascii="宋体" w:hAnsi="宋体" w:eastAsia="宋体"/>
                <w:spacing w:val="0"/>
                <w:kern w:val="2"/>
                <w:sz w:val="18"/>
                <w:szCs w:val="18"/>
              </w:rPr>
            </w:pPr>
          </w:p>
        </w:tc>
        <w:tc>
          <w:tcPr>
            <w:tcW w:w="3025" w:type="dxa"/>
            <w:tcBorders>
              <w:top w:val="single" w:color="auto" w:sz="8" w:space="0"/>
              <w:bottom w:val="single" w:color="auto" w:sz="8" w:space="0"/>
            </w:tcBorders>
            <w:noWrap w:val="0"/>
            <w:vAlign w:val="center"/>
          </w:tcPr>
          <w:p w14:paraId="7F9EC48F">
            <w:pPr>
              <w:pStyle w:val="207"/>
              <w:numPr>
                <w:ilvl w:val="3"/>
                <w:numId w:val="0"/>
              </w:numPr>
              <w:adjustRightInd w:val="0"/>
              <w:snapToGrid w:val="0"/>
              <w:ind w:right="-105"/>
              <w:outlineLvl w:val="9"/>
              <w:rPr>
                <w:rFonts w:ascii="宋体" w:hAnsi="宋体" w:eastAsia="宋体"/>
                <w:bCs/>
                <w:sz w:val="18"/>
                <w:szCs w:val="18"/>
              </w:rPr>
            </w:pPr>
          </w:p>
        </w:tc>
        <w:tc>
          <w:tcPr>
            <w:tcW w:w="602" w:type="dxa"/>
            <w:tcBorders>
              <w:top w:val="single" w:color="auto" w:sz="8" w:space="0"/>
              <w:bottom w:val="single" w:color="auto" w:sz="8" w:space="0"/>
            </w:tcBorders>
            <w:noWrap w:val="0"/>
            <w:vAlign w:val="center"/>
          </w:tcPr>
          <w:p w14:paraId="11792319">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274" w:type="dxa"/>
            <w:tcBorders>
              <w:top w:val="single" w:color="auto" w:sz="8" w:space="0"/>
              <w:bottom w:val="single" w:color="auto" w:sz="8" w:space="0"/>
            </w:tcBorders>
            <w:noWrap w:val="0"/>
            <w:vAlign w:val="center"/>
          </w:tcPr>
          <w:p w14:paraId="35FD666B">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406" w:type="dxa"/>
            <w:noWrap w:val="0"/>
            <w:vAlign w:val="center"/>
          </w:tcPr>
          <w:p w14:paraId="5632D5B4">
            <w:pPr>
              <w:ind w:right="-41"/>
              <w:jc w:val="center"/>
              <w:rPr>
                <w:rFonts w:hint="eastAsia" w:ascii="宋体" w:hAnsi="宋体"/>
                <w:bCs/>
                <w:sz w:val="18"/>
                <w:szCs w:val="18"/>
              </w:rPr>
            </w:pPr>
          </w:p>
        </w:tc>
      </w:tr>
      <w:tr w14:paraId="6EA169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bottom w:val="single" w:color="auto" w:sz="8" w:space="0"/>
            </w:tcBorders>
            <w:noWrap w:val="0"/>
            <w:vAlign w:val="center"/>
          </w:tcPr>
          <w:p w14:paraId="16DB7BA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3.2.3.3</w:t>
            </w:r>
          </w:p>
        </w:tc>
        <w:tc>
          <w:tcPr>
            <w:tcW w:w="6339" w:type="dxa"/>
            <w:tcBorders>
              <w:top w:val="single" w:color="auto" w:sz="8" w:space="0"/>
              <w:bottom w:val="single" w:color="auto" w:sz="8" w:space="0"/>
            </w:tcBorders>
            <w:noWrap w:val="0"/>
            <w:vAlign w:val="top"/>
          </w:tcPr>
          <w:p w14:paraId="24A363DF">
            <w:pPr>
              <w:adjustRightInd w:val="0"/>
              <w:snapToGrid w:val="0"/>
              <w:rPr>
                <w:rFonts w:hint="eastAsia" w:ascii="宋体" w:hAnsi="宋体"/>
                <w:sz w:val="18"/>
                <w:szCs w:val="18"/>
              </w:rPr>
            </w:pPr>
            <w:r>
              <w:rPr>
                <w:rFonts w:hint="eastAsia" w:ascii="宋体" w:hAnsi="宋体"/>
                <w:sz w:val="18"/>
                <w:szCs w:val="18"/>
              </w:rPr>
              <w:t>供气系统应符合下列要求：</w:t>
            </w:r>
          </w:p>
          <w:p w14:paraId="080C0DFC">
            <w:pPr>
              <w:adjustRightInd w:val="0"/>
              <w:snapToGrid w:val="0"/>
              <w:rPr>
                <w:rFonts w:hint="eastAsia" w:ascii="宋体" w:hAnsi="宋体"/>
                <w:sz w:val="18"/>
                <w:szCs w:val="18"/>
              </w:rPr>
            </w:pPr>
            <w:r>
              <w:rPr>
                <w:rFonts w:hint="eastAsia" w:ascii="宋体" w:hAnsi="宋体"/>
                <w:sz w:val="18"/>
                <w:szCs w:val="18"/>
              </w:rPr>
              <w:t>a）单瓶供气时，气瓶不应设置在地下室、半地下室或通风不良的场所；</w:t>
            </w:r>
          </w:p>
          <w:p w14:paraId="16766597">
            <w:pPr>
              <w:adjustRightInd w:val="0"/>
              <w:snapToGrid w:val="0"/>
              <w:rPr>
                <w:rFonts w:hint="eastAsia" w:ascii="宋体" w:hAnsi="宋体"/>
                <w:sz w:val="18"/>
                <w:szCs w:val="18"/>
              </w:rPr>
            </w:pPr>
            <w:r>
              <w:rPr>
                <w:rFonts w:hint="eastAsia" w:ascii="宋体" w:hAnsi="宋体"/>
                <w:sz w:val="18"/>
                <w:szCs w:val="18"/>
              </w:rPr>
              <w:t>b）瓶组气化间供气系统总输气管的出口，应设置紧急切断阀并与可燃气体探测器联锁及符合防爆要求；</w:t>
            </w:r>
          </w:p>
          <w:p w14:paraId="1DF27131">
            <w:pPr>
              <w:adjustRightInd w:val="0"/>
              <w:snapToGrid w:val="0"/>
              <w:rPr>
                <w:rFonts w:hint="eastAsia" w:ascii="宋体" w:hAnsi="宋体"/>
                <w:sz w:val="18"/>
                <w:szCs w:val="18"/>
              </w:rPr>
            </w:pPr>
            <w:r>
              <w:rPr>
                <w:rFonts w:hint="eastAsia" w:ascii="宋体" w:hAnsi="宋体"/>
                <w:sz w:val="18"/>
                <w:szCs w:val="18"/>
              </w:rPr>
              <w:t>c）供气管道应采用钢管，且应采用硬连接方式；</w:t>
            </w:r>
          </w:p>
          <w:p w14:paraId="67781F2E">
            <w:pPr>
              <w:adjustRightInd w:val="0"/>
              <w:snapToGrid w:val="0"/>
              <w:rPr>
                <w:rFonts w:hint="eastAsia" w:ascii="宋体" w:hAnsi="宋体"/>
                <w:sz w:val="18"/>
                <w:szCs w:val="18"/>
              </w:rPr>
            </w:pPr>
            <w:r>
              <w:rPr>
                <w:rFonts w:hint="eastAsia" w:ascii="宋体" w:hAnsi="宋体"/>
                <w:sz w:val="18"/>
                <w:szCs w:val="18"/>
              </w:rPr>
              <w:t>d）管道穿过建筑物墙体时，应敷设在两端密封的套管中；</w:t>
            </w:r>
          </w:p>
          <w:p w14:paraId="7C017D74">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e）管道系统为法兰连接的，法兰盘之间应做防静电跨接并接地。</w:t>
            </w:r>
          </w:p>
        </w:tc>
        <w:tc>
          <w:tcPr>
            <w:tcW w:w="602" w:type="dxa"/>
            <w:tcBorders>
              <w:top w:val="single" w:color="auto" w:sz="8" w:space="0"/>
              <w:bottom w:val="single" w:color="auto" w:sz="8" w:space="0"/>
            </w:tcBorders>
            <w:noWrap w:val="0"/>
            <w:vAlign w:val="center"/>
          </w:tcPr>
          <w:p w14:paraId="4EA30B29">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02" w:type="dxa"/>
            <w:tcBorders>
              <w:top w:val="single" w:color="auto" w:sz="8" w:space="0"/>
              <w:bottom w:val="single" w:color="auto" w:sz="8" w:space="0"/>
            </w:tcBorders>
            <w:noWrap w:val="0"/>
            <w:vAlign w:val="center"/>
          </w:tcPr>
          <w:p w14:paraId="12A23640">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51" w:type="dxa"/>
            <w:tcBorders>
              <w:top w:val="single" w:color="auto" w:sz="8" w:space="0"/>
              <w:bottom w:val="single" w:color="auto" w:sz="8" w:space="0"/>
            </w:tcBorders>
            <w:noWrap w:val="0"/>
            <w:vAlign w:val="center"/>
          </w:tcPr>
          <w:p w14:paraId="4378883A">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2</w:t>
            </w:r>
          </w:p>
        </w:tc>
        <w:tc>
          <w:tcPr>
            <w:tcW w:w="3025" w:type="dxa"/>
            <w:tcBorders>
              <w:top w:val="single" w:color="auto" w:sz="8" w:space="0"/>
              <w:bottom w:val="single" w:color="auto" w:sz="8" w:space="0"/>
            </w:tcBorders>
            <w:noWrap w:val="0"/>
            <w:vAlign w:val="center"/>
          </w:tcPr>
          <w:p w14:paraId="30C9EDED">
            <w:pPr>
              <w:pStyle w:val="207"/>
              <w:numPr>
                <w:ilvl w:val="3"/>
                <w:numId w:val="0"/>
              </w:numPr>
              <w:adjustRightInd w:val="0"/>
              <w:snapToGrid w:val="0"/>
              <w:ind w:left="0" w:leftChars="0" w:right="-105" w:rightChars="0" w:firstLine="0" w:firstLineChars="0"/>
              <w:rPr>
                <w:rFonts w:ascii="宋体" w:hAnsi="宋体" w:eastAsia="宋体" w:cs="Times New Roman"/>
                <w:bCs/>
                <w:spacing w:val="2"/>
                <w:kern w:val="0"/>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02" w:type="dxa"/>
            <w:tcBorders>
              <w:top w:val="single" w:color="auto" w:sz="8" w:space="0"/>
              <w:bottom w:val="single" w:color="auto" w:sz="8" w:space="0"/>
            </w:tcBorders>
            <w:noWrap w:val="0"/>
            <w:vAlign w:val="center"/>
          </w:tcPr>
          <w:p w14:paraId="2A01532C">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74" w:type="dxa"/>
            <w:tcBorders>
              <w:top w:val="single" w:color="auto" w:sz="8" w:space="0"/>
              <w:bottom w:val="single" w:color="auto" w:sz="8" w:space="0"/>
            </w:tcBorders>
            <w:noWrap w:val="0"/>
            <w:vAlign w:val="center"/>
          </w:tcPr>
          <w:p w14:paraId="1AA123CF">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406" w:type="dxa"/>
            <w:noWrap w:val="0"/>
            <w:vAlign w:val="center"/>
          </w:tcPr>
          <w:p w14:paraId="5A1801FE">
            <w:pPr>
              <w:ind w:right="-41" w:rightChars="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.2.3</w:t>
            </w:r>
          </w:p>
        </w:tc>
      </w:tr>
      <w:tr w14:paraId="2A0BF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bottom w:val="single" w:color="auto" w:sz="8" w:space="0"/>
            </w:tcBorders>
            <w:noWrap w:val="0"/>
            <w:vAlign w:val="center"/>
          </w:tcPr>
          <w:p w14:paraId="4F3ADF73">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3.2.3.4</w:t>
            </w:r>
          </w:p>
        </w:tc>
        <w:tc>
          <w:tcPr>
            <w:tcW w:w="6339" w:type="dxa"/>
            <w:tcBorders>
              <w:top w:val="single" w:color="auto" w:sz="8" w:space="0"/>
              <w:bottom w:val="single" w:color="auto" w:sz="8" w:space="0"/>
            </w:tcBorders>
            <w:noWrap w:val="0"/>
            <w:vAlign w:val="top"/>
          </w:tcPr>
          <w:p w14:paraId="7B4AD341">
            <w:pPr>
              <w:adjustRightInd w:val="0"/>
              <w:snapToGrid w:val="0"/>
              <w:rPr>
                <w:rFonts w:hint="eastAsia" w:ascii="宋体" w:hAnsi="宋体"/>
                <w:sz w:val="18"/>
                <w:szCs w:val="18"/>
              </w:rPr>
            </w:pPr>
            <w:r>
              <w:rPr>
                <w:rFonts w:hint="eastAsia" w:ascii="宋体" w:hAnsi="宋体"/>
                <w:sz w:val="18"/>
                <w:szCs w:val="18"/>
              </w:rPr>
              <w:t>用气设备应符合下列要求：</w:t>
            </w:r>
          </w:p>
          <w:p w14:paraId="3BA14661">
            <w:pPr>
              <w:adjustRightInd w:val="0"/>
              <w:snapToGrid w:val="0"/>
              <w:rPr>
                <w:rFonts w:hint="eastAsia" w:ascii="宋体" w:hAnsi="宋体"/>
                <w:sz w:val="18"/>
                <w:szCs w:val="18"/>
              </w:rPr>
            </w:pPr>
            <w:r>
              <w:rPr>
                <w:rFonts w:hint="eastAsia" w:ascii="宋体" w:hAnsi="宋体"/>
                <w:sz w:val="18"/>
                <w:szCs w:val="18"/>
              </w:rPr>
              <w:t>a）设置用气设备的房间应具备良好的通风条件，人防工程和普通地下室不应使用液化石油气；</w:t>
            </w:r>
          </w:p>
          <w:p w14:paraId="658CF0DC">
            <w:pPr>
              <w:adjustRightInd w:val="0"/>
              <w:snapToGrid w:val="0"/>
              <w:rPr>
                <w:rFonts w:hint="eastAsia" w:ascii="宋体" w:hAnsi="宋体"/>
                <w:sz w:val="18"/>
                <w:szCs w:val="18"/>
              </w:rPr>
            </w:pPr>
            <w:r>
              <w:rPr>
                <w:rFonts w:hint="eastAsia" w:ascii="宋体" w:hAnsi="宋体"/>
                <w:sz w:val="18"/>
                <w:szCs w:val="18"/>
              </w:rPr>
              <w:t>b）设置用气设备的房间，净高度不</w:t>
            </w:r>
            <w:r>
              <w:rPr>
                <w:rFonts w:hint="eastAsia" w:ascii="宋体" w:hAnsi="宋体"/>
                <w:bCs/>
                <w:sz w:val="18"/>
                <w:szCs w:val="18"/>
              </w:rPr>
              <w:t>应</w:t>
            </w:r>
            <w:r>
              <w:rPr>
                <w:rFonts w:hint="eastAsia" w:ascii="宋体" w:hAnsi="宋体"/>
                <w:sz w:val="18"/>
                <w:szCs w:val="18"/>
              </w:rPr>
              <w:t>低于</w:t>
            </w:r>
            <w:r>
              <w:rPr>
                <w:rFonts w:ascii="宋体" w:hAnsi="宋体"/>
                <w:sz w:val="18"/>
                <w:szCs w:val="18"/>
              </w:rPr>
              <w:t>2.2</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，应配备数量不少于</w:t>
            </w:r>
            <w:r>
              <w:rPr>
                <w:rFonts w:ascii="宋体" w:hAnsi="宋体"/>
                <w:sz w:val="18"/>
                <w:szCs w:val="18"/>
              </w:rPr>
              <w:t>2</w:t>
            </w:r>
            <w:r>
              <w:rPr>
                <w:rFonts w:hint="eastAsia" w:ascii="宋体" w:hAnsi="宋体"/>
                <w:sz w:val="18"/>
                <w:szCs w:val="18"/>
              </w:rPr>
              <w:t>个干粉灭火器并保持完好有效；</w:t>
            </w:r>
          </w:p>
          <w:p w14:paraId="7442CCCC">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c）用气设备前连接管宜选用金属管道硬连接方式，当局部采用软管连接时应符合下列规定：</w:t>
            </w:r>
          </w:p>
        </w:tc>
        <w:tc>
          <w:tcPr>
            <w:tcW w:w="602" w:type="dxa"/>
            <w:tcBorders>
              <w:top w:val="single" w:color="auto" w:sz="8" w:space="0"/>
              <w:bottom w:val="single" w:color="auto" w:sz="8" w:space="0"/>
            </w:tcBorders>
            <w:noWrap w:val="0"/>
            <w:vAlign w:val="center"/>
          </w:tcPr>
          <w:p w14:paraId="441152D4">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02" w:type="dxa"/>
            <w:tcBorders>
              <w:top w:val="single" w:color="auto" w:sz="8" w:space="0"/>
              <w:bottom w:val="single" w:color="auto" w:sz="8" w:space="0"/>
            </w:tcBorders>
            <w:noWrap w:val="0"/>
            <w:vAlign w:val="center"/>
          </w:tcPr>
          <w:p w14:paraId="42E70964">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51" w:type="dxa"/>
            <w:tcBorders>
              <w:top w:val="single" w:color="auto" w:sz="8" w:space="0"/>
              <w:bottom w:val="single" w:color="auto" w:sz="8" w:space="0"/>
            </w:tcBorders>
            <w:noWrap w:val="0"/>
            <w:vAlign w:val="center"/>
          </w:tcPr>
          <w:p w14:paraId="6FC326D5">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2</w:t>
            </w:r>
          </w:p>
        </w:tc>
        <w:tc>
          <w:tcPr>
            <w:tcW w:w="3025" w:type="dxa"/>
            <w:tcBorders>
              <w:top w:val="single" w:color="auto" w:sz="8" w:space="0"/>
              <w:bottom w:val="single" w:color="auto" w:sz="8" w:space="0"/>
            </w:tcBorders>
            <w:noWrap w:val="0"/>
            <w:vAlign w:val="center"/>
          </w:tcPr>
          <w:p w14:paraId="0C5C065B">
            <w:pPr>
              <w:pStyle w:val="207"/>
              <w:numPr>
                <w:ilvl w:val="3"/>
                <w:numId w:val="0"/>
              </w:numPr>
              <w:adjustRightInd w:val="0"/>
              <w:snapToGrid w:val="0"/>
              <w:ind w:left="0" w:leftChars="0" w:right="-105" w:rightChars="0" w:firstLine="0" w:firstLineChars="0"/>
              <w:rPr>
                <w:rFonts w:ascii="宋体" w:hAnsi="宋体" w:eastAsia="宋体" w:cs="Times New Roman"/>
                <w:bCs/>
                <w:spacing w:val="2"/>
                <w:kern w:val="0"/>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02" w:type="dxa"/>
            <w:tcBorders>
              <w:top w:val="single" w:color="auto" w:sz="8" w:space="0"/>
              <w:bottom w:val="single" w:color="auto" w:sz="8" w:space="0"/>
            </w:tcBorders>
            <w:noWrap w:val="0"/>
            <w:vAlign w:val="center"/>
          </w:tcPr>
          <w:p w14:paraId="3647863F">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74" w:type="dxa"/>
            <w:tcBorders>
              <w:top w:val="single" w:color="auto" w:sz="8" w:space="0"/>
              <w:bottom w:val="single" w:color="auto" w:sz="8" w:space="0"/>
            </w:tcBorders>
            <w:noWrap w:val="0"/>
            <w:vAlign w:val="center"/>
          </w:tcPr>
          <w:p w14:paraId="32CA618D">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406" w:type="dxa"/>
            <w:noWrap w:val="0"/>
            <w:vAlign w:val="center"/>
          </w:tcPr>
          <w:p w14:paraId="7F1C5268">
            <w:pPr>
              <w:ind w:right="-41" w:rightChars="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.2.3</w:t>
            </w:r>
          </w:p>
        </w:tc>
      </w:tr>
    </w:tbl>
    <w:p w14:paraId="53C9024E">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339"/>
        <w:gridCol w:w="602"/>
        <w:gridCol w:w="602"/>
        <w:gridCol w:w="651"/>
        <w:gridCol w:w="3025"/>
        <w:gridCol w:w="602"/>
        <w:gridCol w:w="1274"/>
        <w:gridCol w:w="1406"/>
      </w:tblGrid>
      <w:tr w14:paraId="1A3B9F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52" w:type="dxa"/>
            <w:tcBorders>
              <w:top w:val="single" w:color="auto" w:sz="8" w:space="0"/>
              <w:bottom w:val="single" w:color="auto" w:sz="8" w:space="0"/>
            </w:tcBorders>
            <w:noWrap w:val="0"/>
            <w:vAlign w:val="center"/>
          </w:tcPr>
          <w:p w14:paraId="55E65617">
            <w:pPr>
              <w:adjustRightInd w:val="0"/>
              <w:snapToGrid w:val="0"/>
              <w:jc w:val="center"/>
              <w:rPr>
                <w:rFonts w:ascii="宋体" w:hAnsi="宋体"/>
                <w:sz w:val="18"/>
                <w:szCs w:val="18"/>
              </w:rPr>
            </w:pPr>
            <w:r>
              <w:rPr>
                <w:rFonts w:ascii="宋体" w:hAnsi="宋体"/>
                <w:bCs/>
                <w:sz w:val="18"/>
                <w:szCs w:val="18"/>
              </w:rPr>
              <w:t>序号</w:t>
            </w:r>
          </w:p>
        </w:tc>
        <w:tc>
          <w:tcPr>
            <w:tcW w:w="6339" w:type="dxa"/>
            <w:tcBorders>
              <w:top w:val="single" w:color="auto" w:sz="8" w:space="0"/>
              <w:bottom w:val="single" w:color="auto" w:sz="8" w:space="0"/>
            </w:tcBorders>
            <w:noWrap w:val="0"/>
            <w:vAlign w:val="center"/>
          </w:tcPr>
          <w:p w14:paraId="6027DC6E">
            <w:pPr>
              <w:adjustRightInd w:val="0"/>
              <w:snapToGrid w:val="0"/>
              <w:jc w:val="center"/>
              <w:rPr>
                <w:rFonts w:ascii="宋体" w:hAnsi="宋体"/>
                <w:sz w:val="18"/>
                <w:szCs w:val="18"/>
              </w:rPr>
            </w:pPr>
            <w:r>
              <w:rPr>
                <w:rFonts w:ascii="宋体" w:hAnsi="宋体"/>
                <w:bCs/>
                <w:sz w:val="18"/>
                <w:szCs w:val="18"/>
              </w:rPr>
              <w:t>评定内容</w:t>
            </w:r>
          </w:p>
        </w:tc>
        <w:tc>
          <w:tcPr>
            <w:tcW w:w="602" w:type="dxa"/>
            <w:tcBorders>
              <w:top w:val="single" w:color="auto" w:sz="8" w:space="0"/>
              <w:bottom w:val="single" w:color="auto" w:sz="8" w:space="0"/>
            </w:tcBorders>
            <w:noWrap w:val="0"/>
            <w:vAlign w:val="center"/>
          </w:tcPr>
          <w:p w14:paraId="6241E407">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701441D0">
            <w:pPr>
              <w:adjustRightInd w:val="0"/>
              <w:snapToGrid w:val="0"/>
              <w:jc w:val="center"/>
              <w:rPr>
                <w:rFonts w:ascii="宋体" w:hAnsi="宋体"/>
                <w:sz w:val="18"/>
                <w:szCs w:val="18"/>
              </w:rPr>
            </w:pPr>
            <w:r>
              <w:rPr>
                <w:rFonts w:ascii="宋体" w:hAnsi="宋体"/>
                <w:bCs/>
                <w:sz w:val="18"/>
                <w:szCs w:val="18"/>
              </w:rPr>
              <w:t>评定细项分值</w:t>
            </w:r>
          </w:p>
        </w:tc>
        <w:tc>
          <w:tcPr>
            <w:tcW w:w="651" w:type="dxa"/>
            <w:tcBorders>
              <w:top w:val="single" w:color="auto" w:sz="8" w:space="0"/>
              <w:bottom w:val="single" w:color="auto" w:sz="8" w:space="0"/>
            </w:tcBorders>
            <w:noWrap w:val="0"/>
            <w:vAlign w:val="center"/>
          </w:tcPr>
          <w:p w14:paraId="04968C1C">
            <w:pPr>
              <w:adjustRightInd w:val="0"/>
              <w:snapToGrid w:val="0"/>
              <w:jc w:val="center"/>
              <w:rPr>
                <w:rFonts w:ascii="宋体" w:hAnsi="宋体"/>
                <w:sz w:val="18"/>
                <w:szCs w:val="18"/>
              </w:rPr>
            </w:pPr>
            <w:r>
              <w:rPr>
                <w:rFonts w:ascii="宋体" w:hAnsi="宋体"/>
                <w:bCs/>
                <w:sz w:val="18"/>
                <w:szCs w:val="18"/>
              </w:rPr>
              <w:t>评定条款分值</w:t>
            </w:r>
          </w:p>
        </w:tc>
        <w:tc>
          <w:tcPr>
            <w:tcW w:w="3025" w:type="dxa"/>
            <w:tcBorders>
              <w:top w:val="single" w:color="auto" w:sz="8" w:space="0"/>
              <w:bottom w:val="single" w:color="auto" w:sz="8" w:space="0"/>
            </w:tcBorders>
            <w:noWrap w:val="0"/>
            <w:vAlign w:val="center"/>
          </w:tcPr>
          <w:p w14:paraId="26947448">
            <w:pPr>
              <w:adjustRightInd w:val="0"/>
              <w:snapToGrid w:val="0"/>
              <w:jc w:val="center"/>
              <w:rPr>
                <w:rFonts w:ascii="宋体" w:hAnsi="宋体"/>
                <w:sz w:val="18"/>
                <w:szCs w:val="18"/>
              </w:rPr>
            </w:pPr>
            <w:r>
              <w:rPr>
                <w:rFonts w:ascii="宋体" w:hAnsi="宋体"/>
                <w:bCs/>
                <w:sz w:val="18"/>
                <w:szCs w:val="18"/>
              </w:rPr>
              <w:t>评分标准</w:t>
            </w:r>
          </w:p>
        </w:tc>
        <w:tc>
          <w:tcPr>
            <w:tcW w:w="602" w:type="dxa"/>
            <w:tcBorders>
              <w:top w:val="single" w:color="auto" w:sz="8" w:space="0"/>
              <w:bottom w:val="single" w:color="auto" w:sz="8" w:space="0"/>
            </w:tcBorders>
            <w:noWrap w:val="0"/>
            <w:vAlign w:val="center"/>
          </w:tcPr>
          <w:p w14:paraId="393FA434">
            <w:pPr>
              <w:adjustRightInd w:val="0"/>
              <w:snapToGrid w:val="0"/>
              <w:jc w:val="center"/>
              <w:rPr>
                <w:rFonts w:ascii="宋体" w:hAnsi="宋体"/>
                <w:sz w:val="18"/>
                <w:szCs w:val="18"/>
              </w:rPr>
            </w:pPr>
            <w:r>
              <w:rPr>
                <w:rFonts w:ascii="宋体" w:hAnsi="宋体"/>
                <w:bCs/>
                <w:sz w:val="18"/>
                <w:szCs w:val="18"/>
              </w:rPr>
              <w:t>评定得分</w:t>
            </w:r>
          </w:p>
        </w:tc>
        <w:tc>
          <w:tcPr>
            <w:tcW w:w="1274" w:type="dxa"/>
            <w:tcBorders>
              <w:top w:val="single" w:color="auto" w:sz="8" w:space="0"/>
              <w:bottom w:val="single" w:color="auto" w:sz="8" w:space="0"/>
            </w:tcBorders>
            <w:noWrap w:val="0"/>
            <w:vAlign w:val="center"/>
          </w:tcPr>
          <w:p w14:paraId="21E9F7F1">
            <w:pPr>
              <w:adjustRightInd w:val="0"/>
              <w:snapToGrid w:val="0"/>
              <w:jc w:val="center"/>
              <w:rPr>
                <w:rFonts w:ascii="宋体" w:hAnsi="宋体"/>
                <w:sz w:val="18"/>
                <w:szCs w:val="18"/>
              </w:rPr>
            </w:pPr>
            <w:r>
              <w:rPr>
                <w:rFonts w:ascii="宋体" w:hAnsi="宋体"/>
                <w:bCs/>
                <w:sz w:val="18"/>
                <w:szCs w:val="18"/>
              </w:rPr>
              <w:t>扣分说明</w:t>
            </w:r>
          </w:p>
        </w:tc>
        <w:tc>
          <w:tcPr>
            <w:tcW w:w="1406" w:type="dxa"/>
            <w:tcBorders>
              <w:top w:val="single" w:color="auto" w:sz="8" w:space="0"/>
              <w:bottom w:val="single" w:color="auto" w:sz="8" w:space="0"/>
            </w:tcBorders>
            <w:noWrap w:val="0"/>
            <w:vAlign w:val="center"/>
          </w:tcPr>
          <w:p w14:paraId="7E1ACF98">
            <w:pPr>
              <w:adjustRightInd w:val="0"/>
              <w:snapToGrid w:val="0"/>
              <w:jc w:val="center"/>
              <w:rPr>
                <w:rFonts w:ascii="宋体" w:hAnsi="宋体"/>
                <w:sz w:val="18"/>
                <w:szCs w:val="18"/>
              </w:rPr>
            </w:pPr>
            <w:r>
              <w:rPr>
                <w:rFonts w:ascii="宋体" w:hAnsi="宋体"/>
                <w:bCs/>
                <w:sz w:val="18"/>
                <w:szCs w:val="18"/>
              </w:rPr>
              <w:t>对应条款编号</w:t>
            </w:r>
          </w:p>
        </w:tc>
      </w:tr>
      <w:tr w14:paraId="7ACB21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tcBorders>
            <w:noWrap w:val="0"/>
            <w:vAlign w:val="center"/>
          </w:tcPr>
          <w:p w14:paraId="5D1E5C8F">
            <w:pPr>
              <w:adjustRightInd w:val="0"/>
              <w:snapToGrid w:val="0"/>
              <w:jc w:val="center"/>
              <w:rPr>
                <w:rFonts w:hint="eastAsia" w:ascii="宋体" w:hAnsi="宋体"/>
                <w:sz w:val="18"/>
                <w:szCs w:val="18"/>
              </w:rPr>
            </w:pPr>
          </w:p>
        </w:tc>
        <w:tc>
          <w:tcPr>
            <w:tcW w:w="6339" w:type="dxa"/>
            <w:tcBorders>
              <w:top w:val="single" w:color="auto" w:sz="8" w:space="0"/>
            </w:tcBorders>
            <w:noWrap w:val="0"/>
            <w:vAlign w:val="top"/>
          </w:tcPr>
          <w:p w14:paraId="70D6F96A">
            <w:pPr>
              <w:adjustRightInd w:val="0"/>
              <w:snapToGrid w:val="0"/>
              <w:ind w:firstLine="360" w:firstLineChars="200"/>
              <w:rPr>
                <w:rFonts w:ascii="宋体" w:hAnsi="宋体"/>
                <w:sz w:val="18"/>
                <w:szCs w:val="18"/>
              </w:rPr>
            </w:pPr>
            <w:r>
              <w:rPr>
                <w:rFonts w:hint="eastAsia" w:ascii="宋体" w:hAnsi="宋体"/>
                <w:sz w:val="18"/>
                <w:szCs w:val="18"/>
              </w:rPr>
              <w:t>1）使用金属软管时两端应采用螺纹连接方式；</w:t>
            </w:r>
          </w:p>
          <w:p w14:paraId="2346A94A">
            <w:pPr>
              <w:adjustRightInd w:val="0"/>
              <w:snapToGrid w:val="0"/>
              <w:ind w:firstLine="360" w:firstLineChars="200"/>
              <w:rPr>
                <w:rFonts w:hint="eastAsia" w:ascii="宋体" w:hAnsi="宋体"/>
                <w:sz w:val="18"/>
                <w:szCs w:val="18"/>
              </w:rPr>
            </w:pPr>
            <w:r>
              <w:rPr>
                <w:rFonts w:hint="eastAsia" w:ascii="宋体" w:hAnsi="宋体"/>
                <w:sz w:val="18"/>
                <w:szCs w:val="18"/>
              </w:rPr>
              <w:t>2）单瓶供气使用耐油橡胶软管时，软管的长度应控制在</w:t>
            </w:r>
            <w:r>
              <w:rPr>
                <w:rFonts w:ascii="宋体" w:hAnsi="宋体"/>
                <w:sz w:val="18"/>
                <w:szCs w:val="18"/>
              </w:rPr>
              <w:t>1.2</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w:t>
            </w:r>
            <w:r>
              <w:rPr>
                <w:rFonts w:ascii="宋体" w:hAnsi="宋体"/>
                <w:sz w:val="18"/>
                <w:szCs w:val="18"/>
              </w:rPr>
              <w:t>2.0</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之间且没有接口，软管不应穿越墙壁、顶棚、窗门等；</w:t>
            </w:r>
          </w:p>
          <w:p w14:paraId="1FD95209">
            <w:pPr>
              <w:adjustRightInd w:val="0"/>
              <w:snapToGrid w:val="0"/>
              <w:ind w:firstLine="360" w:firstLineChars="200"/>
              <w:rPr>
                <w:rFonts w:hint="eastAsia" w:ascii="宋体" w:hAnsi="宋体"/>
                <w:sz w:val="18"/>
                <w:szCs w:val="18"/>
              </w:rPr>
            </w:pPr>
            <w:r>
              <w:rPr>
                <w:rFonts w:hint="eastAsia" w:ascii="宋体" w:hAnsi="宋体"/>
                <w:sz w:val="18"/>
                <w:szCs w:val="18"/>
              </w:rPr>
              <w:t>3）瓶组供气管道到达用气场所的用气设备前使用耐油橡胶软管时，软管的长度不应超过</w:t>
            </w:r>
            <w:r>
              <w:rPr>
                <w:rFonts w:ascii="宋体" w:hAnsi="宋体"/>
                <w:sz w:val="18"/>
                <w:szCs w:val="18"/>
              </w:rPr>
              <w:t>1</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w:t>
            </w:r>
          </w:p>
          <w:p w14:paraId="4C6F66F6">
            <w:pPr>
              <w:adjustRightInd w:val="0"/>
              <w:snapToGrid w:val="0"/>
              <w:rPr>
                <w:rFonts w:hint="eastAsia" w:ascii="宋体" w:hAnsi="宋体"/>
                <w:sz w:val="18"/>
                <w:szCs w:val="18"/>
              </w:rPr>
            </w:pPr>
            <w:r>
              <w:rPr>
                <w:rFonts w:hint="eastAsia" w:ascii="宋体" w:hAnsi="宋体"/>
                <w:sz w:val="18"/>
                <w:szCs w:val="18"/>
              </w:rPr>
              <w:t>d）设置用气设备的房间内不</w:t>
            </w:r>
            <w:r>
              <w:rPr>
                <w:rFonts w:hint="eastAsia" w:ascii="宋体" w:hAnsi="宋体"/>
                <w:bCs/>
                <w:sz w:val="18"/>
                <w:szCs w:val="18"/>
              </w:rPr>
              <w:t>应</w:t>
            </w:r>
            <w:r>
              <w:rPr>
                <w:rFonts w:hint="eastAsia" w:ascii="宋体" w:hAnsi="宋体"/>
                <w:sz w:val="18"/>
                <w:szCs w:val="18"/>
              </w:rPr>
              <w:t>使用其它火源；</w:t>
            </w:r>
          </w:p>
          <w:p w14:paraId="5DDB5B1E">
            <w:pPr>
              <w:adjustRightInd w:val="0"/>
              <w:snapToGrid w:val="0"/>
              <w:rPr>
                <w:rFonts w:hint="eastAsia" w:ascii="宋体" w:hAnsi="宋体"/>
                <w:sz w:val="18"/>
                <w:szCs w:val="18"/>
                <w:lang w:eastAsia="zh-CN"/>
              </w:rPr>
            </w:pPr>
            <w:r>
              <w:rPr>
                <w:rFonts w:hint="eastAsia" w:ascii="宋体" w:hAnsi="宋体"/>
                <w:sz w:val="18"/>
                <w:szCs w:val="18"/>
              </w:rPr>
              <w:t>e）用气设备房间内应设置液化石油气的可燃气体探测器，且可燃气体报警控制器应安装在有人值守的房间内</w:t>
            </w:r>
            <w:r>
              <w:rPr>
                <w:rFonts w:hint="eastAsia" w:ascii="宋体" w:hAnsi="宋体"/>
                <w:sz w:val="18"/>
                <w:szCs w:val="18"/>
                <w:lang w:eastAsia="zh-CN"/>
              </w:rPr>
              <w:t>；</w:t>
            </w:r>
          </w:p>
          <w:p w14:paraId="0FC4340F">
            <w:pPr>
              <w:adjustRightInd w:val="0"/>
              <w:snapToGrid w:val="0"/>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）气瓶与灶具之间的净距离不应小于</w:t>
            </w:r>
            <w:r>
              <w:rPr>
                <w:rFonts w:ascii="宋体" w:hAnsi="宋体"/>
                <w:sz w:val="18"/>
                <w:szCs w:val="18"/>
              </w:rPr>
              <w:t>0.5</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，灶具与气瓶连接的软管长度不应超过</w:t>
            </w:r>
            <w:r>
              <w:rPr>
                <w:rFonts w:ascii="宋体" w:hAnsi="宋体"/>
                <w:sz w:val="18"/>
                <w:szCs w:val="18"/>
              </w:rPr>
              <w:t>2</w:t>
            </w:r>
            <w:r>
              <w:rPr>
                <w:rFonts w:hint="eastAsia" w:ascii="宋体" w:hAnsi="宋体"/>
                <w:sz w:val="18"/>
                <w:szCs w:val="18"/>
              </w:rPr>
              <w:t xml:space="preserve"> </w:t>
            </w:r>
            <w:r>
              <w:rPr>
                <w:rFonts w:ascii="宋体" w:hAnsi="宋体"/>
                <w:sz w:val="18"/>
                <w:szCs w:val="18"/>
              </w:rPr>
              <w:t>m</w:t>
            </w:r>
            <w:r>
              <w:rPr>
                <w:rFonts w:hint="eastAsia" w:ascii="宋体" w:hAnsi="宋体"/>
                <w:sz w:val="18"/>
                <w:szCs w:val="18"/>
              </w:rPr>
              <w:t>。软管应经常检查，若出现弯折、拉伸、龟裂、老化等问题应立即更换；连接处应严密，安装应牢固，不应使用管件将其分成多个支管；不应穿过墙、楼板、顶棚、门窗。</w:t>
            </w:r>
          </w:p>
        </w:tc>
        <w:tc>
          <w:tcPr>
            <w:tcW w:w="602" w:type="dxa"/>
            <w:tcBorders>
              <w:top w:val="single" w:color="auto" w:sz="8" w:space="0"/>
            </w:tcBorders>
            <w:noWrap w:val="0"/>
            <w:vAlign w:val="center"/>
          </w:tcPr>
          <w:p w14:paraId="2F77AA39">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02" w:type="dxa"/>
            <w:tcBorders>
              <w:top w:val="single" w:color="auto" w:sz="8" w:space="0"/>
            </w:tcBorders>
            <w:noWrap w:val="0"/>
            <w:vAlign w:val="center"/>
          </w:tcPr>
          <w:p w14:paraId="5B8B8BD0">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651" w:type="dxa"/>
            <w:tcBorders>
              <w:top w:val="single" w:color="auto" w:sz="8" w:space="0"/>
            </w:tcBorders>
            <w:noWrap w:val="0"/>
            <w:vAlign w:val="center"/>
          </w:tcPr>
          <w:p w14:paraId="5602D38F">
            <w:pPr>
              <w:pStyle w:val="207"/>
              <w:numPr>
                <w:ilvl w:val="3"/>
                <w:numId w:val="0"/>
              </w:numPr>
              <w:adjustRightInd w:val="0"/>
              <w:snapToGrid w:val="0"/>
              <w:ind w:right="-105"/>
              <w:jc w:val="center"/>
              <w:outlineLvl w:val="9"/>
              <w:rPr>
                <w:rFonts w:hint="eastAsia" w:ascii="宋体" w:hAnsi="宋体" w:eastAsia="宋体"/>
                <w:spacing w:val="0"/>
                <w:kern w:val="2"/>
                <w:sz w:val="18"/>
                <w:szCs w:val="18"/>
                <w:lang w:eastAsia="zh-CN"/>
              </w:rPr>
            </w:pPr>
          </w:p>
        </w:tc>
        <w:tc>
          <w:tcPr>
            <w:tcW w:w="3025" w:type="dxa"/>
            <w:tcBorders>
              <w:top w:val="single" w:color="auto" w:sz="8" w:space="0"/>
            </w:tcBorders>
            <w:noWrap w:val="0"/>
            <w:vAlign w:val="center"/>
          </w:tcPr>
          <w:p w14:paraId="46E7859A">
            <w:pPr>
              <w:pStyle w:val="207"/>
              <w:numPr>
                <w:ilvl w:val="3"/>
                <w:numId w:val="0"/>
              </w:numPr>
              <w:adjustRightInd w:val="0"/>
              <w:snapToGrid w:val="0"/>
              <w:ind w:right="-105"/>
              <w:outlineLvl w:val="9"/>
              <w:rPr>
                <w:rFonts w:ascii="宋体" w:hAnsi="宋体" w:eastAsia="宋体"/>
                <w:bCs/>
                <w:sz w:val="18"/>
                <w:szCs w:val="18"/>
              </w:rPr>
            </w:pPr>
          </w:p>
        </w:tc>
        <w:tc>
          <w:tcPr>
            <w:tcW w:w="602" w:type="dxa"/>
            <w:tcBorders>
              <w:top w:val="single" w:color="auto" w:sz="8" w:space="0"/>
            </w:tcBorders>
            <w:noWrap w:val="0"/>
            <w:vAlign w:val="center"/>
          </w:tcPr>
          <w:p w14:paraId="111B0590">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274" w:type="dxa"/>
            <w:tcBorders>
              <w:top w:val="single" w:color="auto" w:sz="8" w:space="0"/>
            </w:tcBorders>
            <w:noWrap w:val="0"/>
            <w:vAlign w:val="center"/>
          </w:tcPr>
          <w:p w14:paraId="7971D360">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406" w:type="dxa"/>
            <w:noWrap w:val="0"/>
            <w:vAlign w:val="center"/>
          </w:tcPr>
          <w:p w14:paraId="02F98720">
            <w:pPr>
              <w:ind w:right="-41"/>
              <w:jc w:val="center"/>
              <w:rPr>
                <w:rFonts w:hint="eastAsia" w:ascii="宋体" w:hAnsi="宋体"/>
                <w:bCs/>
                <w:sz w:val="18"/>
                <w:szCs w:val="18"/>
              </w:rPr>
            </w:pPr>
          </w:p>
        </w:tc>
      </w:tr>
      <w:tr w14:paraId="38B57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8" w:space="0"/>
            </w:tcBorders>
            <w:noWrap w:val="0"/>
            <w:vAlign w:val="center"/>
          </w:tcPr>
          <w:p w14:paraId="07F9DC16">
            <w:pPr>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3.2.3.</w:t>
            </w:r>
            <w:r>
              <w:rPr>
                <w:rFonts w:hint="eastAsia" w:ascii="宋体" w:hAnsi="宋体"/>
                <w:sz w:val="18"/>
                <w:szCs w:val="18"/>
                <w:lang w:val="en-US" w:eastAsia="zh-CN"/>
              </w:rPr>
              <w:t>5</w:t>
            </w:r>
          </w:p>
        </w:tc>
        <w:tc>
          <w:tcPr>
            <w:tcW w:w="6339" w:type="dxa"/>
            <w:tcBorders>
              <w:top w:val="single" w:color="auto" w:sz="8" w:space="0"/>
            </w:tcBorders>
            <w:noWrap w:val="0"/>
            <w:vAlign w:val="top"/>
          </w:tcPr>
          <w:p w14:paraId="51B2FEE7">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应</w:t>
            </w:r>
            <w:r>
              <w:rPr>
                <w:rFonts w:hint="eastAsia" w:ascii="宋体" w:hAnsi="宋体"/>
                <w:sz w:val="18"/>
                <w:szCs w:val="18"/>
              </w:rPr>
              <w:t>定期对排风机、排油烟系统和管道等进行清洗、保养，操作间的集烟罩和烟道入口处1 m范围内，应每日进行清洗；中餐操作间的排油烟管道应每60</w:t>
            </w:r>
            <w:r>
              <w:rPr>
                <w:rFonts w:hint="eastAsia" w:ascii="宋体" w:hAnsi="宋体"/>
                <w:sz w:val="18"/>
                <w:szCs w:val="18"/>
                <w:lang w:val="en-US" w:eastAsia="zh-CN"/>
              </w:rPr>
              <w:t xml:space="preserve"> d</w:t>
            </w:r>
            <w:r>
              <w:rPr>
                <w:rFonts w:hint="eastAsia" w:ascii="宋体" w:hAnsi="宋体"/>
                <w:sz w:val="18"/>
                <w:szCs w:val="18"/>
              </w:rPr>
              <w:t>至少清理1次，清理完成后应进行检查验收，应保存记录。</w:t>
            </w:r>
          </w:p>
        </w:tc>
        <w:tc>
          <w:tcPr>
            <w:tcW w:w="602" w:type="dxa"/>
            <w:tcBorders>
              <w:top w:val="single" w:color="auto" w:sz="8" w:space="0"/>
            </w:tcBorders>
            <w:noWrap w:val="0"/>
            <w:vAlign w:val="center"/>
          </w:tcPr>
          <w:p w14:paraId="23368D11">
            <w:pPr>
              <w:adjustRightInd w:val="0"/>
              <w:snapToGrid w:val="0"/>
              <w:jc w:val="center"/>
              <w:rPr>
                <w:rFonts w:ascii="宋体" w:hAnsi="宋体" w:eastAsia="宋体" w:cs="Times New Roman"/>
                <w:bCs/>
                <w:kern w:val="2"/>
                <w:sz w:val="18"/>
                <w:szCs w:val="18"/>
                <w:lang w:val="en-US" w:eastAsia="zh-CN" w:bidi="ar-SA"/>
              </w:rPr>
            </w:pPr>
          </w:p>
        </w:tc>
        <w:tc>
          <w:tcPr>
            <w:tcW w:w="602" w:type="dxa"/>
            <w:tcBorders>
              <w:top w:val="single" w:color="auto" w:sz="8" w:space="0"/>
            </w:tcBorders>
            <w:noWrap w:val="0"/>
            <w:vAlign w:val="center"/>
          </w:tcPr>
          <w:p w14:paraId="5B6D42FF">
            <w:pPr>
              <w:adjustRightInd w:val="0"/>
              <w:snapToGrid w:val="0"/>
              <w:jc w:val="center"/>
              <w:rPr>
                <w:rFonts w:ascii="宋体" w:hAnsi="宋体" w:eastAsia="宋体" w:cs="Times New Roman"/>
                <w:bCs/>
                <w:kern w:val="2"/>
                <w:sz w:val="18"/>
                <w:szCs w:val="18"/>
                <w:lang w:val="en-US" w:eastAsia="zh-CN" w:bidi="ar-SA"/>
              </w:rPr>
            </w:pPr>
          </w:p>
        </w:tc>
        <w:tc>
          <w:tcPr>
            <w:tcW w:w="651" w:type="dxa"/>
            <w:tcBorders>
              <w:top w:val="single" w:color="auto" w:sz="8" w:space="0"/>
            </w:tcBorders>
            <w:noWrap w:val="0"/>
            <w:vAlign w:val="center"/>
          </w:tcPr>
          <w:p w14:paraId="215F446A">
            <w:pPr>
              <w:ind w:firstLine="180" w:firstLineChars="100"/>
              <w:rPr>
                <w:rFonts w:hint="eastAsia" w:ascii="宋体" w:hAnsi="宋体" w:eastAsia="宋体" w:cs="宋体"/>
                <w:kern w:val="2"/>
                <w:sz w:val="18"/>
                <w:szCs w:val="18"/>
                <w:lang w:val="en-US" w:eastAsia="zh-CN" w:bidi="ar-SA"/>
              </w:rPr>
            </w:pPr>
            <w:r>
              <w:rPr>
                <w:rFonts w:hint="eastAsia" w:ascii="宋体" w:hAnsi="宋体"/>
                <w:sz w:val="18"/>
                <w:szCs w:val="18"/>
                <w:lang w:val="en-US" w:eastAsia="zh-CN"/>
              </w:rPr>
              <w:t>3</w:t>
            </w:r>
          </w:p>
        </w:tc>
        <w:tc>
          <w:tcPr>
            <w:tcW w:w="3025" w:type="dxa"/>
            <w:tcBorders>
              <w:top w:val="single" w:color="auto" w:sz="8" w:space="0"/>
            </w:tcBorders>
            <w:noWrap w:val="0"/>
            <w:vAlign w:val="center"/>
          </w:tcPr>
          <w:p w14:paraId="43A31604">
            <w:pPr>
              <w:adjustRightInd w:val="0"/>
              <w:snapToGrid w:val="0"/>
              <w:rPr>
                <w:rFonts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w:t>
            </w:r>
            <w:r>
              <w:rPr>
                <w:rFonts w:hint="eastAsia" w:ascii="宋体" w:hAnsi="宋体" w:eastAsia="宋体"/>
                <w:bCs/>
                <w:sz w:val="18"/>
                <w:szCs w:val="18"/>
                <w:lang w:val="en-US" w:eastAsia="zh-CN"/>
              </w:rPr>
              <w:t>不得分</w:t>
            </w:r>
            <w:r>
              <w:rPr>
                <w:rFonts w:hint="eastAsia" w:ascii="宋体" w:hAnsi="宋体"/>
                <w:bCs/>
                <w:sz w:val="18"/>
                <w:szCs w:val="18"/>
              </w:rPr>
              <w:t>。</w:t>
            </w:r>
          </w:p>
        </w:tc>
        <w:tc>
          <w:tcPr>
            <w:tcW w:w="602" w:type="dxa"/>
            <w:tcBorders>
              <w:top w:val="single" w:color="auto" w:sz="8" w:space="0"/>
            </w:tcBorders>
            <w:noWrap w:val="0"/>
            <w:vAlign w:val="center"/>
          </w:tcPr>
          <w:p w14:paraId="0665DA23">
            <w:pPr>
              <w:adjustRightInd w:val="0"/>
              <w:snapToGrid w:val="0"/>
              <w:jc w:val="center"/>
              <w:rPr>
                <w:rFonts w:ascii="宋体" w:hAnsi="宋体" w:eastAsia="宋体" w:cs="Times New Roman"/>
                <w:bCs/>
                <w:kern w:val="2"/>
                <w:sz w:val="18"/>
                <w:szCs w:val="18"/>
                <w:lang w:val="en-US" w:eastAsia="zh-CN" w:bidi="ar-SA"/>
              </w:rPr>
            </w:pPr>
          </w:p>
        </w:tc>
        <w:tc>
          <w:tcPr>
            <w:tcW w:w="1274" w:type="dxa"/>
            <w:tcBorders>
              <w:top w:val="single" w:color="auto" w:sz="8" w:space="0"/>
            </w:tcBorders>
            <w:noWrap w:val="0"/>
            <w:vAlign w:val="center"/>
          </w:tcPr>
          <w:p w14:paraId="29B4A13B">
            <w:pPr>
              <w:adjustRightInd w:val="0"/>
              <w:snapToGrid w:val="0"/>
              <w:jc w:val="center"/>
              <w:rPr>
                <w:rFonts w:ascii="宋体" w:hAnsi="宋体" w:eastAsia="宋体" w:cs="Times New Roman"/>
                <w:bCs/>
                <w:kern w:val="2"/>
                <w:sz w:val="18"/>
                <w:szCs w:val="18"/>
                <w:lang w:val="en-US" w:eastAsia="zh-CN" w:bidi="ar-SA"/>
              </w:rPr>
            </w:pPr>
          </w:p>
        </w:tc>
        <w:tc>
          <w:tcPr>
            <w:tcW w:w="1406" w:type="dxa"/>
            <w:noWrap w:val="0"/>
            <w:vAlign w:val="center"/>
          </w:tcPr>
          <w:p w14:paraId="0325D08C">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.2.3</w:t>
            </w:r>
          </w:p>
        </w:tc>
      </w:tr>
      <w:tr w14:paraId="18D8E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0" w:type="auto"/>
            <w:vAlign w:val="center"/>
          </w:tcPr>
          <w:p w14:paraId="0C2B2270">
            <w:pPr>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3.2.4</w:t>
            </w:r>
          </w:p>
        </w:tc>
        <w:tc>
          <w:tcPr>
            <w:tcW w:w="0" w:type="auto"/>
            <w:vAlign w:val="top"/>
          </w:tcPr>
          <w:p w14:paraId="63E3B842">
            <w:pPr>
              <w:numPr>
                <w:ilvl w:val="-1"/>
                <w:numId w:val="0"/>
              </w:numPr>
              <w:adjustRightInd w:val="0"/>
              <w:snapToGrid w:val="0"/>
              <w:rPr>
                <w:rFonts w:hint="eastAsia" w:ascii="宋体" w:hAnsi="宋体"/>
                <w:sz w:val="18"/>
                <w:szCs w:val="18"/>
              </w:rPr>
            </w:pPr>
            <w:r>
              <w:rPr>
                <w:rFonts w:hint="eastAsia" w:ascii="宋体" w:hAnsi="宋体"/>
                <w:sz w:val="18"/>
                <w:szCs w:val="18"/>
              </w:rPr>
              <w:t>食梯应符合下列要求：</w:t>
            </w:r>
          </w:p>
          <w:p w14:paraId="7BACAC5D">
            <w:pPr>
              <w:numPr>
                <w:ilvl w:val="0"/>
                <w:numId w:val="53"/>
              </w:numPr>
              <w:adjustRightInd w:val="0"/>
              <w:snapToGrid w:val="0"/>
              <w:rPr>
                <w:rFonts w:hint="eastAsia" w:ascii="宋体" w:hAnsi="宋体"/>
                <w:sz w:val="18"/>
                <w:szCs w:val="18"/>
              </w:rPr>
            </w:pPr>
            <w:r>
              <w:rPr>
                <w:rFonts w:hint="eastAsia" w:ascii="宋体" w:hAnsi="宋体"/>
                <w:sz w:val="18"/>
                <w:szCs w:val="18"/>
              </w:rPr>
              <w:t>专人操作，不应乘人；</w:t>
            </w:r>
          </w:p>
          <w:p w14:paraId="1D2A51E7">
            <w:pPr>
              <w:numPr>
                <w:ilvl w:val="0"/>
                <w:numId w:val="53"/>
              </w:numPr>
              <w:adjustRightInd w:val="0"/>
              <w:snapToGrid w:val="0"/>
              <w:rPr>
                <w:rFonts w:hint="eastAsia" w:ascii="宋体" w:hAnsi="宋体"/>
                <w:sz w:val="18"/>
                <w:szCs w:val="18"/>
              </w:rPr>
            </w:pPr>
            <w:r>
              <w:rPr>
                <w:rFonts w:hint="eastAsia" w:ascii="宋体" w:hAnsi="宋体"/>
                <w:sz w:val="18"/>
                <w:szCs w:val="18"/>
              </w:rPr>
              <w:t>张贴限重标识；</w:t>
            </w:r>
          </w:p>
          <w:p w14:paraId="0C7C802A">
            <w:pPr>
              <w:numPr>
                <w:ilvl w:val="0"/>
                <w:numId w:val="53"/>
              </w:num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构成特种设备的，应定期检验，检验记录和标志在有效期内。</w:t>
            </w:r>
          </w:p>
        </w:tc>
        <w:tc>
          <w:tcPr>
            <w:tcW w:w="0" w:type="auto"/>
            <w:vAlign w:val="center"/>
          </w:tcPr>
          <w:p w14:paraId="4FA987AD">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38493E66">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6150DE08">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rPr>
              <w:t>1</w:t>
            </w:r>
          </w:p>
        </w:tc>
        <w:tc>
          <w:tcPr>
            <w:tcW w:w="0" w:type="auto"/>
            <w:vAlign w:val="center"/>
          </w:tcPr>
          <w:p w14:paraId="138280CE">
            <w:pPr>
              <w:adjustRightInd w:val="0"/>
              <w:snapToGrid w:val="0"/>
              <w:rPr>
                <w:rFonts w:ascii="宋体" w:hAnsi="宋体" w:eastAsia="宋体" w:cs="Times New Roman"/>
                <w:bCs/>
                <w:kern w:val="2"/>
                <w:sz w:val="18"/>
                <w:szCs w:val="18"/>
                <w:lang w:val="en-US" w:eastAsia="zh-CN" w:bidi="ar-SA"/>
              </w:rPr>
            </w:pPr>
            <w:r>
              <w:rPr>
                <w:rFonts w:hint="eastAsia" w:ascii="宋体" w:hAnsi="宋体" w:cs="宋体"/>
                <w:sz w:val="18"/>
                <w:szCs w:val="18"/>
              </w:rPr>
              <w:t>一处不符合</w:t>
            </w:r>
            <w:r>
              <w:rPr>
                <w:rFonts w:hint="eastAsia" w:ascii="宋体" w:hAnsi="宋体" w:eastAsia="宋体"/>
                <w:bCs/>
                <w:sz w:val="18"/>
                <w:szCs w:val="18"/>
                <w:lang w:val="en-US" w:eastAsia="zh-CN"/>
              </w:rPr>
              <w:t>不得分</w:t>
            </w:r>
            <w:r>
              <w:rPr>
                <w:rFonts w:hint="eastAsia" w:ascii="宋体" w:hAnsi="宋体" w:cs="宋体"/>
                <w:sz w:val="18"/>
                <w:szCs w:val="18"/>
              </w:rPr>
              <w:t>。</w:t>
            </w:r>
          </w:p>
        </w:tc>
        <w:tc>
          <w:tcPr>
            <w:tcW w:w="0" w:type="auto"/>
            <w:vAlign w:val="center"/>
          </w:tcPr>
          <w:p w14:paraId="1830FA15">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1B934CC1">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665C509B">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.2.4</w:t>
            </w:r>
          </w:p>
        </w:tc>
      </w:tr>
      <w:tr w14:paraId="15B32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0" w:type="auto"/>
            <w:vAlign w:val="center"/>
          </w:tcPr>
          <w:p w14:paraId="09F448FC">
            <w:pPr>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3.3</w:t>
            </w:r>
          </w:p>
        </w:tc>
        <w:tc>
          <w:tcPr>
            <w:tcW w:w="0" w:type="auto"/>
            <w:vAlign w:val="top"/>
          </w:tcPr>
          <w:p w14:paraId="3C0741CA">
            <w:pPr>
              <w:adjustRightInd w:val="0"/>
              <w:snapToGrid w:val="0"/>
              <w:rPr>
                <w:rFonts w:hint="eastAsia" w:ascii="宋体" w:hAnsi="宋体"/>
                <w:sz w:val="18"/>
                <w:szCs w:val="18"/>
              </w:rPr>
            </w:pPr>
            <w:r>
              <w:rPr>
                <w:rFonts w:hint="eastAsia" w:ascii="宋体" w:hAnsi="宋体"/>
                <w:sz w:val="18"/>
                <w:szCs w:val="18"/>
              </w:rPr>
              <w:t>游览船应符合下列要求：</w:t>
            </w:r>
          </w:p>
          <w:p w14:paraId="70D4FC88">
            <w:pPr>
              <w:adjustRightInd w:val="0"/>
              <w:snapToGrid w:val="0"/>
              <w:rPr>
                <w:rFonts w:hint="eastAsia" w:ascii="宋体" w:hAnsi="宋体"/>
                <w:sz w:val="18"/>
                <w:szCs w:val="18"/>
              </w:rPr>
            </w:pPr>
            <w:r>
              <w:rPr>
                <w:rFonts w:hint="eastAsia" w:ascii="宋体" w:hAnsi="宋体"/>
                <w:sz w:val="18"/>
                <w:szCs w:val="18"/>
              </w:rPr>
              <w:t>a）应规定游览船、手划船、自驾船的行驶区域；</w:t>
            </w:r>
          </w:p>
          <w:p w14:paraId="127C5DC5">
            <w:pPr>
              <w:adjustRightInd w:val="0"/>
              <w:snapToGrid w:val="0"/>
              <w:rPr>
                <w:rFonts w:hint="eastAsia" w:ascii="宋体" w:hAnsi="宋体"/>
                <w:sz w:val="18"/>
                <w:szCs w:val="18"/>
              </w:rPr>
            </w:pPr>
            <w:r>
              <w:rPr>
                <w:rFonts w:hint="eastAsia" w:ascii="宋体" w:hAnsi="宋体"/>
                <w:sz w:val="18"/>
                <w:szCs w:val="18"/>
              </w:rPr>
              <w:t>b）应规定</w:t>
            </w:r>
            <w:r>
              <w:rPr>
                <w:rFonts w:ascii="宋体" w:hAnsi="宋体"/>
                <w:sz w:val="18"/>
                <w:szCs w:val="18"/>
              </w:rPr>
              <w:t>船上游客</w:t>
            </w:r>
            <w:r>
              <w:rPr>
                <w:rFonts w:hint="eastAsia" w:ascii="宋体" w:hAnsi="宋体"/>
                <w:sz w:val="18"/>
                <w:szCs w:val="18"/>
              </w:rPr>
              <w:t>的最大承载</w:t>
            </w:r>
            <w:r>
              <w:rPr>
                <w:rFonts w:hint="eastAsia" w:ascii="宋体" w:hAnsi="宋体"/>
                <w:sz w:val="18"/>
                <w:szCs w:val="18"/>
                <w:lang w:val="en-US" w:eastAsia="zh-CN"/>
              </w:rPr>
              <w:t>定员</w:t>
            </w:r>
            <w:r>
              <w:rPr>
                <w:rFonts w:hint="eastAsia" w:ascii="宋体" w:hAnsi="宋体"/>
                <w:sz w:val="18"/>
                <w:szCs w:val="18"/>
              </w:rPr>
              <w:t>，并明</w:t>
            </w:r>
            <w:r>
              <w:rPr>
                <w:rFonts w:hint="eastAsia" w:ascii="宋体" w:hAnsi="宋体"/>
                <w:sz w:val="18"/>
                <w:szCs w:val="18"/>
                <w:lang w:val="en-US" w:eastAsia="zh-CN"/>
              </w:rPr>
              <w:t>公</w:t>
            </w:r>
            <w:r>
              <w:rPr>
                <w:rFonts w:hint="eastAsia" w:ascii="宋体" w:hAnsi="宋体"/>
                <w:sz w:val="18"/>
                <w:szCs w:val="18"/>
              </w:rPr>
              <w:t>示；</w:t>
            </w:r>
          </w:p>
          <w:p w14:paraId="5491B1C0">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）按照船上最大承载定员配置足量的救生衣；</w:t>
            </w:r>
          </w:p>
          <w:p w14:paraId="0022DE13">
            <w:pPr>
              <w:adjustRightInd w:val="0"/>
              <w:snapToGrid w:val="0"/>
              <w:rPr>
                <w:rFonts w:hint="eastAsia" w:ascii="宋体" w:hAnsi="宋体"/>
                <w:sz w:val="18"/>
                <w:szCs w:val="18"/>
                <w:lang w:eastAsia="zh-CN"/>
              </w:rPr>
            </w:pPr>
            <w:r>
              <w:rPr>
                <w:rFonts w:hint="eastAsia" w:ascii="宋体" w:hAnsi="宋体"/>
                <w:sz w:val="18"/>
                <w:szCs w:val="18"/>
                <w:lang w:val="en-US" w:eastAsia="zh-CN"/>
              </w:rPr>
              <w:t>d</w:t>
            </w:r>
            <w:r>
              <w:rPr>
                <w:rFonts w:hint="eastAsia" w:ascii="宋体" w:hAnsi="宋体"/>
                <w:sz w:val="18"/>
                <w:szCs w:val="18"/>
              </w:rPr>
              <w:t>）上下船通道及船内通道畅通</w:t>
            </w:r>
            <w:r>
              <w:rPr>
                <w:rFonts w:hint="eastAsia" w:ascii="宋体" w:hAnsi="宋体"/>
                <w:sz w:val="18"/>
                <w:szCs w:val="18"/>
                <w:lang w:eastAsia="zh-CN"/>
              </w:rPr>
              <w:t>，</w:t>
            </w:r>
            <w:r>
              <w:rPr>
                <w:rFonts w:hint="eastAsia" w:ascii="宋体" w:hAnsi="宋体"/>
                <w:sz w:val="18"/>
                <w:szCs w:val="18"/>
                <w:lang w:val="en-US" w:eastAsia="zh-CN"/>
              </w:rPr>
              <w:t>地面有防滑措施；</w:t>
            </w:r>
          </w:p>
          <w:p w14:paraId="34303EFD">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w:t>
            </w:r>
            <w:r>
              <w:rPr>
                <w:rFonts w:ascii="宋体" w:hAnsi="宋体"/>
                <w:sz w:val="18"/>
                <w:szCs w:val="18"/>
              </w:rPr>
              <w:t>应有游客上下船安全设备和措施</w:t>
            </w:r>
            <w:r>
              <w:rPr>
                <w:rFonts w:hint="eastAsia" w:ascii="宋体" w:hAnsi="宋体"/>
                <w:sz w:val="18"/>
                <w:szCs w:val="18"/>
              </w:rPr>
              <w:t>。</w:t>
            </w:r>
            <w:r>
              <w:rPr>
                <w:rFonts w:ascii="宋体" w:hAnsi="宋体"/>
                <w:sz w:val="18"/>
                <w:szCs w:val="18"/>
              </w:rPr>
              <w:t>应有禁止游客携带危险品的宣传</w:t>
            </w:r>
            <w:r>
              <w:rPr>
                <w:rFonts w:hint="eastAsia" w:ascii="宋体" w:hAnsi="宋体"/>
                <w:sz w:val="18"/>
                <w:szCs w:val="18"/>
              </w:rPr>
              <w:t>看板或</w:t>
            </w:r>
            <w:r>
              <w:rPr>
                <w:rFonts w:hint="eastAsia" w:ascii="宋体" w:hAnsi="宋体"/>
                <w:sz w:val="18"/>
                <w:szCs w:val="18"/>
                <w:lang w:val="en-US" w:eastAsia="zh-CN"/>
              </w:rPr>
              <w:t>标识</w:t>
            </w:r>
            <w:r>
              <w:rPr>
                <w:rFonts w:hint="eastAsia" w:ascii="宋体" w:hAnsi="宋体"/>
                <w:sz w:val="18"/>
                <w:szCs w:val="18"/>
              </w:rPr>
              <w:t>、相应</w:t>
            </w:r>
            <w:r>
              <w:rPr>
                <w:rFonts w:ascii="宋体" w:hAnsi="宋体"/>
                <w:sz w:val="18"/>
                <w:szCs w:val="18"/>
              </w:rPr>
              <w:t>措施</w:t>
            </w:r>
            <w:r>
              <w:rPr>
                <w:rFonts w:hint="eastAsia" w:ascii="宋体" w:hAnsi="宋体"/>
                <w:sz w:val="18"/>
                <w:szCs w:val="18"/>
              </w:rPr>
              <w:t>；</w:t>
            </w:r>
          </w:p>
          <w:p w14:paraId="3A3F39E2">
            <w:pPr>
              <w:adjustRightInd w:val="0"/>
              <w:snapToGrid w:val="0"/>
              <w:rPr>
                <w:rFonts w:hint="eastAsia" w:ascii="宋体" w:hAnsi="宋体"/>
                <w:sz w:val="18"/>
                <w:szCs w:val="18"/>
                <w:lang w:val="en-US" w:eastAsia="zh-CN"/>
              </w:rPr>
            </w:pPr>
            <w:r>
              <w:rPr>
                <w:rFonts w:hint="eastAsia" w:ascii="宋体" w:hAnsi="宋体"/>
                <w:sz w:val="18"/>
                <w:szCs w:val="18"/>
                <w:lang w:val="en-US" w:eastAsia="zh-CN"/>
              </w:rPr>
              <w:t>f</w:t>
            </w:r>
            <w:r>
              <w:rPr>
                <w:rFonts w:hint="eastAsia" w:ascii="宋体" w:hAnsi="宋体"/>
                <w:sz w:val="18"/>
                <w:szCs w:val="18"/>
              </w:rPr>
              <w:t>）机动船动力部分的传动装置完好有效，应采用遮挡物与乘客严格分开；</w:t>
            </w:r>
          </w:p>
          <w:p w14:paraId="3F2FCA99">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g</w:t>
            </w:r>
            <w:r>
              <w:rPr>
                <w:rFonts w:hint="eastAsia" w:ascii="宋体" w:hAnsi="宋体"/>
                <w:sz w:val="18"/>
                <w:szCs w:val="18"/>
              </w:rPr>
              <w:t>）各类游览船座位牢固；机动船只应设有扶手并采取防锈措施；</w:t>
            </w:r>
          </w:p>
        </w:tc>
        <w:tc>
          <w:tcPr>
            <w:tcW w:w="0" w:type="auto"/>
            <w:vAlign w:val="center"/>
          </w:tcPr>
          <w:p w14:paraId="3A925A34">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4AB9A19B">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10</w:t>
            </w:r>
          </w:p>
        </w:tc>
        <w:tc>
          <w:tcPr>
            <w:tcW w:w="0" w:type="auto"/>
            <w:vAlign w:val="center"/>
          </w:tcPr>
          <w:p w14:paraId="2F3A47A9">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10</w:t>
            </w:r>
          </w:p>
        </w:tc>
        <w:tc>
          <w:tcPr>
            <w:tcW w:w="0" w:type="auto"/>
            <w:vAlign w:val="center"/>
          </w:tcPr>
          <w:p w14:paraId="575659AC">
            <w:pPr>
              <w:adjustRightInd w:val="0"/>
              <w:snapToGrid w:val="0"/>
              <w:rPr>
                <w:rFonts w:hint="eastAsia"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0" w:type="auto"/>
            <w:vAlign w:val="center"/>
          </w:tcPr>
          <w:p w14:paraId="0CCB4278">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090A3069">
            <w:pPr>
              <w:adjustRightInd w:val="0"/>
              <w:snapToGrid w:val="0"/>
              <w:jc w:val="center"/>
              <w:rPr>
                <w:rFonts w:ascii="宋体" w:hAnsi="宋体" w:eastAsia="宋体" w:cs="Times New Roman"/>
                <w:bCs/>
                <w:kern w:val="2"/>
                <w:sz w:val="18"/>
                <w:szCs w:val="18"/>
                <w:lang w:val="en-US" w:eastAsia="zh-CN" w:bidi="ar-SA"/>
              </w:rPr>
            </w:pPr>
          </w:p>
        </w:tc>
        <w:tc>
          <w:tcPr>
            <w:tcW w:w="0" w:type="auto"/>
            <w:vAlign w:val="center"/>
          </w:tcPr>
          <w:p w14:paraId="0859E632">
            <w:pPr>
              <w:widowControl/>
              <w:tabs>
                <w:tab w:val="center" w:pos="4201"/>
                <w:tab w:val="right" w:leader="dot" w:pos="9298"/>
              </w:tabs>
              <w:autoSpaceDE w:val="0"/>
              <w:autoSpaceDN w:val="0"/>
              <w:ind w:right="34" w:rightChars="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4.3</w:t>
            </w:r>
            <w:r>
              <w:rPr>
                <w:rFonts w:hint="eastAsia" w:ascii="宋体" w:hAnsi="宋体"/>
                <w:bCs/>
                <w:sz w:val="18"/>
                <w:szCs w:val="18"/>
              </w:rPr>
              <w:t>.</w:t>
            </w:r>
            <w:r>
              <w:rPr>
                <w:rFonts w:hint="eastAsia" w:ascii="宋体" w:hAnsi="宋体"/>
                <w:bCs/>
                <w:sz w:val="18"/>
                <w:szCs w:val="18"/>
                <w:lang w:val="en-US" w:eastAsia="zh-CN"/>
              </w:rPr>
              <w:t>3.1</w:t>
            </w:r>
          </w:p>
        </w:tc>
      </w:tr>
    </w:tbl>
    <w:p w14:paraId="29E9A451">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726C2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123CD5B9">
            <w:pPr>
              <w:adjustRightInd w:val="0"/>
              <w:snapToGrid w:val="0"/>
              <w:jc w:val="center"/>
              <w:rPr>
                <w:rFonts w:ascii="宋体" w:hAnsi="宋体"/>
                <w:sz w:val="18"/>
                <w:szCs w:val="18"/>
              </w:rPr>
            </w:pPr>
            <w:r>
              <w:rPr>
                <w:rFonts w:ascii="宋体" w:hAnsi="宋体"/>
                <w:bCs/>
                <w:sz w:val="18"/>
                <w:szCs w:val="18"/>
              </w:rPr>
              <w:t>序号</w:t>
            </w:r>
          </w:p>
        </w:tc>
        <w:tc>
          <w:tcPr>
            <w:tcW w:w="5849" w:type="dxa"/>
            <w:tcBorders>
              <w:top w:val="single" w:color="auto" w:sz="8" w:space="0"/>
              <w:bottom w:val="single" w:color="auto" w:sz="8" w:space="0"/>
            </w:tcBorders>
            <w:noWrap w:val="0"/>
            <w:vAlign w:val="center"/>
          </w:tcPr>
          <w:p w14:paraId="3BEEF997">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55402B62">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6B6DC1F6">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13509BB4">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0D22E071">
            <w:pPr>
              <w:adjustRightInd w:val="0"/>
              <w:snapToGrid w:val="0"/>
              <w:jc w:val="center"/>
              <w:rPr>
                <w:rFonts w:ascii="宋体" w:hAnsi="宋体"/>
                <w:sz w:val="18"/>
                <w:szCs w:val="18"/>
              </w:rPr>
            </w:pPr>
            <w:r>
              <w:rPr>
                <w:rFonts w:ascii="宋体" w:hAnsi="宋体"/>
                <w:bCs/>
                <w:sz w:val="18"/>
                <w:szCs w:val="18"/>
              </w:rPr>
              <w:t>评分标准</w:t>
            </w:r>
          </w:p>
        </w:tc>
        <w:tc>
          <w:tcPr>
            <w:tcW w:w="709" w:type="dxa"/>
            <w:tcBorders>
              <w:top w:val="single" w:color="auto" w:sz="8" w:space="0"/>
              <w:bottom w:val="single" w:color="auto" w:sz="8" w:space="0"/>
            </w:tcBorders>
            <w:noWrap w:val="0"/>
            <w:vAlign w:val="center"/>
          </w:tcPr>
          <w:p w14:paraId="30DBA642">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43AA4E9E">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705F501C">
            <w:pPr>
              <w:adjustRightInd w:val="0"/>
              <w:snapToGrid w:val="0"/>
              <w:jc w:val="center"/>
              <w:rPr>
                <w:rFonts w:ascii="宋体" w:hAnsi="宋体"/>
                <w:sz w:val="18"/>
                <w:szCs w:val="18"/>
              </w:rPr>
            </w:pPr>
            <w:r>
              <w:rPr>
                <w:rFonts w:ascii="宋体" w:hAnsi="宋体"/>
                <w:bCs/>
                <w:sz w:val="18"/>
                <w:szCs w:val="18"/>
              </w:rPr>
              <w:t>对应条款编号</w:t>
            </w:r>
          </w:p>
        </w:tc>
      </w:tr>
      <w:tr w14:paraId="3108D2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761926AA">
            <w:pPr>
              <w:jc w:val="center"/>
              <w:rPr>
                <w:rFonts w:hint="eastAsia" w:ascii="宋体" w:hAnsi="宋体"/>
                <w:bCs/>
                <w:sz w:val="18"/>
                <w:szCs w:val="18"/>
              </w:rPr>
            </w:pPr>
          </w:p>
        </w:tc>
        <w:tc>
          <w:tcPr>
            <w:tcW w:w="5849" w:type="dxa"/>
            <w:tcBorders>
              <w:top w:val="single" w:color="auto" w:sz="8" w:space="0"/>
              <w:bottom w:val="single" w:color="auto" w:sz="8" w:space="0"/>
            </w:tcBorders>
            <w:noWrap w:val="0"/>
            <w:vAlign w:val="top"/>
          </w:tcPr>
          <w:p w14:paraId="26DF68AF">
            <w:pPr>
              <w:adjustRightInd w:val="0"/>
              <w:snapToGrid w:val="0"/>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）凡乘客可能触及之处，不应有外露锐边、尖角、毛刺及危险突出物等；</w:t>
            </w:r>
          </w:p>
          <w:p w14:paraId="0D154304">
            <w:pPr>
              <w:adjustRightInd w:val="0"/>
              <w:snapToGrid w:val="0"/>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）各类游船应有承受碰撞的保护装置；</w:t>
            </w:r>
          </w:p>
          <w:p w14:paraId="2F8DB4AB">
            <w:pPr>
              <w:adjustRightInd w:val="0"/>
              <w:snapToGrid w:val="0"/>
              <w:rPr>
                <w:rFonts w:hint="eastAsia" w:ascii="宋体" w:hAnsi="宋体"/>
                <w:sz w:val="18"/>
                <w:szCs w:val="18"/>
              </w:rPr>
            </w:pPr>
            <w:r>
              <w:rPr>
                <w:rFonts w:hint="eastAsia" w:ascii="宋体" w:hAnsi="宋体"/>
                <w:sz w:val="18"/>
                <w:szCs w:val="18"/>
              </w:rPr>
              <w:t>j）应在码头等地张贴游览船安全注意事项和应急措施告知；</w:t>
            </w:r>
          </w:p>
          <w:p w14:paraId="5A51DEAA">
            <w:pPr>
              <w:adjustRightInd w:val="0"/>
              <w:snapToGrid w:val="0"/>
              <w:rPr>
                <w:rFonts w:hint="eastAsia" w:ascii="宋体" w:hAnsi="宋体"/>
                <w:sz w:val="18"/>
                <w:szCs w:val="18"/>
                <w:lang w:eastAsia="zh-CN"/>
              </w:rPr>
            </w:pPr>
            <w:r>
              <w:rPr>
                <w:rFonts w:hint="eastAsia" w:ascii="宋体" w:hAnsi="宋体"/>
                <w:sz w:val="18"/>
                <w:szCs w:val="18"/>
              </w:rPr>
              <w:t>k）应按游船载明的船员配备要求，为游船配备合格的船员，其中总吨位100以下的游船至少配备1名驾驶员，并取得相应任职资格</w:t>
            </w:r>
            <w:r>
              <w:rPr>
                <w:rFonts w:hint="eastAsia" w:ascii="宋体" w:hAnsi="宋体"/>
                <w:sz w:val="18"/>
                <w:szCs w:val="18"/>
                <w:lang w:eastAsia="zh-CN"/>
              </w:rPr>
              <w:t>；</w:t>
            </w:r>
          </w:p>
          <w:p w14:paraId="4C5343AA">
            <w:pPr>
              <w:adjustRightInd w:val="0"/>
              <w:snapToGrid w:val="0"/>
              <w:rPr>
                <w:rFonts w:hint="eastAsia" w:ascii="宋体" w:hAnsi="宋体"/>
                <w:sz w:val="18"/>
                <w:szCs w:val="18"/>
              </w:rPr>
            </w:pPr>
            <w:r>
              <w:rPr>
                <w:rFonts w:hint="eastAsia" w:ascii="宋体" w:hAnsi="宋体"/>
                <w:sz w:val="18"/>
                <w:szCs w:val="18"/>
                <w:lang w:val="en-US" w:eastAsia="zh-CN"/>
              </w:rPr>
              <w:t>l</w:t>
            </w:r>
            <w:r>
              <w:rPr>
                <w:rFonts w:hint="eastAsia" w:ascii="宋体" w:hAnsi="宋体"/>
                <w:sz w:val="18"/>
                <w:szCs w:val="18"/>
              </w:rPr>
              <w:t>)游船使用气瓶的，气瓶应符合特种设备要求；</w:t>
            </w:r>
          </w:p>
          <w:p w14:paraId="3C9A6BC6">
            <w:pPr>
              <w:adjustRightInd w:val="0"/>
              <w:snapToGrid w:val="0"/>
              <w:rPr>
                <w:rFonts w:hint="default" w:ascii="宋体" w:hAnsi="宋体" w:eastAsia="宋体"/>
                <w:sz w:val="18"/>
                <w:szCs w:val="18"/>
                <w:lang w:val="en-US" w:eastAsia="zh-CN"/>
              </w:rPr>
            </w:pPr>
            <w:r>
              <w:rPr>
                <w:rFonts w:hint="eastAsia" w:ascii="宋体" w:hAnsi="宋体"/>
                <w:sz w:val="18"/>
                <w:szCs w:val="18"/>
                <w:lang w:val="en-US" w:eastAsia="zh-CN"/>
              </w:rPr>
              <w:t>m</w:t>
            </w:r>
            <w:r>
              <w:rPr>
                <w:rFonts w:hint="eastAsia" w:ascii="宋体" w:hAnsi="宋体"/>
                <w:sz w:val="18"/>
                <w:szCs w:val="18"/>
              </w:rPr>
              <w:t>)风力达到</w:t>
            </w:r>
            <w:r>
              <w:rPr>
                <w:rFonts w:hint="eastAsia" w:ascii="宋体" w:hAnsi="宋体"/>
                <w:sz w:val="18"/>
                <w:szCs w:val="18"/>
                <w:lang w:val="en-US" w:eastAsia="zh-CN"/>
              </w:rPr>
              <w:t>四</w:t>
            </w:r>
            <w:r>
              <w:rPr>
                <w:rFonts w:hint="eastAsia" w:ascii="宋体" w:hAnsi="宋体"/>
                <w:sz w:val="18"/>
                <w:szCs w:val="18"/>
              </w:rPr>
              <w:t>级时，游船应停运。</w:t>
            </w:r>
          </w:p>
        </w:tc>
        <w:tc>
          <w:tcPr>
            <w:tcW w:w="709" w:type="dxa"/>
            <w:tcBorders>
              <w:top w:val="single" w:color="auto" w:sz="8" w:space="0"/>
              <w:bottom w:val="single" w:color="auto" w:sz="8" w:space="0"/>
            </w:tcBorders>
            <w:noWrap w:val="0"/>
            <w:vAlign w:val="center"/>
          </w:tcPr>
          <w:p w14:paraId="2F6F717A">
            <w:pPr>
              <w:adjustRightInd w:val="0"/>
              <w:snapToGrid w:val="0"/>
              <w:jc w:val="center"/>
              <w:rPr>
                <w:rFonts w:ascii="宋体" w:hAnsi="宋体"/>
                <w:bCs/>
                <w:sz w:val="18"/>
                <w:szCs w:val="18"/>
              </w:rPr>
            </w:pPr>
          </w:p>
        </w:tc>
        <w:tc>
          <w:tcPr>
            <w:tcW w:w="709" w:type="dxa"/>
            <w:tcBorders>
              <w:top w:val="single" w:color="auto" w:sz="8" w:space="0"/>
              <w:bottom w:val="single" w:color="auto" w:sz="8" w:space="0"/>
            </w:tcBorders>
            <w:noWrap w:val="0"/>
            <w:vAlign w:val="center"/>
          </w:tcPr>
          <w:p w14:paraId="4663539F">
            <w:pPr>
              <w:adjustRightInd w:val="0"/>
              <w:snapToGrid w:val="0"/>
              <w:jc w:val="center"/>
              <w:rPr>
                <w:rFonts w:hint="default" w:ascii="宋体" w:hAnsi="宋体" w:eastAsia="宋体"/>
                <w:bCs/>
                <w:sz w:val="18"/>
                <w:szCs w:val="18"/>
                <w:lang w:val="en-US" w:eastAsia="zh-CN"/>
              </w:rPr>
            </w:pPr>
          </w:p>
        </w:tc>
        <w:tc>
          <w:tcPr>
            <w:tcW w:w="709" w:type="dxa"/>
            <w:tcBorders>
              <w:top w:val="single" w:color="auto" w:sz="8" w:space="0"/>
              <w:bottom w:val="single" w:color="auto" w:sz="8" w:space="0"/>
            </w:tcBorders>
            <w:noWrap w:val="0"/>
            <w:vAlign w:val="center"/>
          </w:tcPr>
          <w:p w14:paraId="15216534">
            <w:pPr>
              <w:ind w:firstLine="180" w:firstLineChars="100"/>
              <w:rPr>
                <w:rFonts w:hint="default" w:ascii="宋体" w:hAnsi="宋体" w:eastAsia="宋体" w:cs="宋体"/>
                <w:sz w:val="18"/>
                <w:szCs w:val="18"/>
                <w:lang w:val="en-US" w:eastAsia="zh-CN"/>
              </w:rPr>
            </w:pPr>
          </w:p>
        </w:tc>
        <w:tc>
          <w:tcPr>
            <w:tcW w:w="2693" w:type="dxa"/>
            <w:tcBorders>
              <w:top w:val="single" w:color="auto" w:sz="8" w:space="0"/>
              <w:bottom w:val="single" w:color="auto" w:sz="8" w:space="0"/>
            </w:tcBorders>
            <w:noWrap w:val="0"/>
            <w:vAlign w:val="center"/>
          </w:tcPr>
          <w:p w14:paraId="1DD9EB2B">
            <w:pPr>
              <w:adjustRightInd w:val="0"/>
              <w:snapToGrid w:val="0"/>
              <w:rPr>
                <w:rFonts w:ascii="宋体" w:hAnsi="宋体"/>
                <w:bCs/>
                <w:sz w:val="18"/>
                <w:szCs w:val="18"/>
              </w:rPr>
            </w:pPr>
          </w:p>
        </w:tc>
        <w:tc>
          <w:tcPr>
            <w:tcW w:w="709" w:type="dxa"/>
            <w:tcBorders>
              <w:top w:val="single" w:color="auto" w:sz="8" w:space="0"/>
              <w:bottom w:val="single" w:color="auto" w:sz="8" w:space="0"/>
            </w:tcBorders>
            <w:noWrap w:val="0"/>
            <w:vAlign w:val="center"/>
          </w:tcPr>
          <w:p w14:paraId="0D6568C2">
            <w:pPr>
              <w:adjustRightInd w:val="0"/>
              <w:snapToGrid w:val="0"/>
              <w:jc w:val="center"/>
              <w:rPr>
                <w:rFonts w:ascii="宋体" w:hAnsi="宋体"/>
                <w:bCs/>
                <w:sz w:val="18"/>
                <w:szCs w:val="18"/>
              </w:rPr>
            </w:pPr>
          </w:p>
        </w:tc>
        <w:tc>
          <w:tcPr>
            <w:tcW w:w="1419" w:type="dxa"/>
            <w:tcBorders>
              <w:top w:val="single" w:color="auto" w:sz="8" w:space="0"/>
              <w:bottom w:val="single" w:color="auto" w:sz="8" w:space="0"/>
            </w:tcBorders>
            <w:noWrap w:val="0"/>
            <w:vAlign w:val="center"/>
          </w:tcPr>
          <w:p w14:paraId="4F7C4A1B">
            <w:pPr>
              <w:adjustRightInd w:val="0"/>
              <w:snapToGrid w:val="0"/>
              <w:jc w:val="center"/>
              <w:rPr>
                <w:rFonts w:ascii="宋体" w:hAnsi="宋体"/>
                <w:bCs/>
                <w:sz w:val="18"/>
                <w:szCs w:val="18"/>
              </w:rPr>
            </w:pPr>
          </w:p>
        </w:tc>
        <w:tc>
          <w:tcPr>
            <w:tcW w:w="1348" w:type="dxa"/>
            <w:noWrap w:val="0"/>
            <w:vAlign w:val="center"/>
          </w:tcPr>
          <w:p w14:paraId="3004A759">
            <w:pPr>
              <w:widowControl/>
              <w:tabs>
                <w:tab w:val="center" w:pos="4201"/>
                <w:tab w:val="right" w:leader="dot" w:pos="9298"/>
              </w:tabs>
              <w:autoSpaceDE w:val="0"/>
              <w:autoSpaceDN w:val="0"/>
              <w:ind w:right="34"/>
              <w:jc w:val="center"/>
              <w:rPr>
                <w:rFonts w:hint="eastAsia" w:ascii="宋体" w:hAnsi="宋体"/>
                <w:bCs/>
                <w:sz w:val="18"/>
                <w:szCs w:val="18"/>
              </w:rPr>
            </w:pPr>
          </w:p>
        </w:tc>
      </w:tr>
      <w:tr w14:paraId="2B7453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0702666F">
            <w:pPr>
              <w:jc w:val="center"/>
              <w:rPr>
                <w:rFonts w:ascii="宋体" w:hAnsi="宋体"/>
                <w:kern w:val="0"/>
                <w:sz w:val="18"/>
                <w:szCs w:val="18"/>
              </w:rPr>
            </w:pPr>
            <w:r>
              <w:rPr>
                <w:rFonts w:hint="eastAsia" w:ascii="宋体" w:hAnsi="宋体"/>
                <w:sz w:val="18"/>
                <w:szCs w:val="18"/>
              </w:rPr>
              <w:t>3.4</w:t>
            </w:r>
          </w:p>
        </w:tc>
        <w:tc>
          <w:tcPr>
            <w:tcW w:w="5849" w:type="dxa"/>
            <w:tcBorders>
              <w:top w:val="single" w:color="auto" w:sz="8" w:space="0"/>
            </w:tcBorders>
            <w:noWrap w:val="0"/>
            <w:vAlign w:val="top"/>
          </w:tcPr>
          <w:p w14:paraId="0856676A">
            <w:pPr>
              <w:adjustRightInd w:val="0"/>
              <w:snapToGrid w:val="0"/>
              <w:rPr>
                <w:rFonts w:hint="eastAsia" w:ascii="宋体" w:hAnsi="宋体"/>
                <w:sz w:val="18"/>
                <w:szCs w:val="18"/>
              </w:rPr>
            </w:pPr>
            <w:r>
              <w:rPr>
                <w:rFonts w:hint="eastAsia" w:ascii="宋体" w:hAnsi="宋体"/>
                <w:sz w:val="18"/>
                <w:szCs w:val="18"/>
              </w:rPr>
              <w:t>漂流设备设施应符合下列要求：</w:t>
            </w:r>
          </w:p>
          <w:p w14:paraId="1F77C648">
            <w:pPr>
              <w:numPr>
                <w:ilvl w:val="0"/>
                <w:numId w:val="54"/>
              </w:numPr>
              <w:adjustRightInd w:val="0"/>
              <w:snapToGrid w:val="0"/>
              <w:rPr>
                <w:rFonts w:hint="eastAsia" w:ascii="宋体" w:hAnsi="宋体"/>
                <w:sz w:val="18"/>
                <w:szCs w:val="18"/>
              </w:rPr>
            </w:pPr>
            <w:r>
              <w:rPr>
                <w:rFonts w:hint="eastAsia" w:ascii="宋体" w:hAnsi="宋体"/>
                <w:sz w:val="18"/>
                <w:szCs w:val="18"/>
              </w:rPr>
              <w:t>应有专业人员对</w:t>
            </w:r>
            <w:r>
              <w:rPr>
                <w:rFonts w:ascii="宋体" w:hAnsi="宋体"/>
                <w:sz w:val="18"/>
                <w:szCs w:val="18"/>
              </w:rPr>
              <w:t>漂流水域</w:t>
            </w:r>
            <w:r>
              <w:rPr>
                <w:rFonts w:hint="eastAsia" w:ascii="宋体" w:hAnsi="宋体"/>
                <w:sz w:val="18"/>
                <w:szCs w:val="18"/>
              </w:rPr>
              <w:t>进行全程监视，漂流水域</w:t>
            </w:r>
            <w:r>
              <w:rPr>
                <w:rFonts w:ascii="宋体" w:hAnsi="宋体"/>
                <w:sz w:val="18"/>
                <w:szCs w:val="18"/>
              </w:rPr>
              <w:t>内不</w:t>
            </w:r>
            <w:r>
              <w:rPr>
                <w:rFonts w:hint="eastAsia" w:ascii="宋体" w:hAnsi="宋体"/>
                <w:sz w:val="18"/>
                <w:szCs w:val="18"/>
              </w:rPr>
              <w:t>应</w:t>
            </w:r>
            <w:r>
              <w:rPr>
                <w:rFonts w:ascii="宋体" w:hAnsi="宋体"/>
                <w:sz w:val="18"/>
                <w:szCs w:val="18"/>
              </w:rPr>
              <w:t>留有监视盲区</w:t>
            </w:r>
            <w:r>
              <w:rPr>
                <w:rFonts w:hint="eastAsia" w:ascii="宋体" w:hAnsi="宋体"/>
                <w:sz w:val="18"/>
                <w:szCs w:val="18"/>
              </w:rPr>
              <w:t>；</w:t>
            </w:r>
            <w:r>
              <w:rPr>
                <w:rFonts w:ascii="宋体" w:hAnsi="宋体"/>
                <w:sz w:val="18"/>
                <w:szCs w:val="18"/>
              </w:rPr>
              <w:t>深水区、危险区至少设置</w:t>
            </w:r>
            <w:r>
              <w:rPr>
                <w:rFonts w:hint="eastAsia" w:ascii="宋体" w:hAnsi="宋体"/>
                <w:sz w:val="18"/>
                <w:szCs w:val="18"/>
                <w:lang w:val="en-US" w:eastAsia="zh-CN"/>
              </w:rPr>
              <w:t>1</w:t>
            </w:r>
            <w:r>
              <w:rPr>
                <w:rFonts w:ascii="宋体" w:hAnsi="宋体"/>
                <w:sz w:val="18"/>
                <w:szCs w:val="18"/>
              </w:rPr>
              <w:t>名安全员</w:t>
            </w:r>
            <w:r>
              <w:rPr>
                <w:rFonts w:hint="eastAsia" w:ascii="宋体" w:hAnsi="宋体"/>
                <w:sz w:val="18"/>
                <w:szCs w:val="18"/>
              </w:rPr>
              <w:t>负责监视；漂流水域拐弯隐蔽处须设高位监护哨；</w:t>
            </w:r>
          </w:p>
          <w:p w14:paraId="4481B421">
            <w:pPr>
              <w:numPr>
                <w:ilvl w:val="0"/>
                <w:numId w:val="0"/>
              </w:numPr>
              <w:adjustRightInd w:val="0"/>
              <w:snapToGrid w:val="0"/>
              <w:rPr>
                <w:rFonts w:hint="eastAsia" w:ascii="宋体" w:hAnsi="宋体"/>
                <w:sz w:val="18"/>
                <w:szCs w:val="18"/>
                <w:lang w:val="en-US" w:eastAsia="zh-CN"/>
              </w:rPr>
            </w:pPr>
            <w:r>
              <w:rPr>
                <w:rFonts w:hint="eastAsia" w:ascii="宋体" w:hAnsi="宋体"/>
                <w:sz w:val="18"/>
                <w:szCs w:val="18"/>
              </w:rPr>
              <w:t>b）峡谷漂流应设置视频监控装置；</w:t>
            </w:r>
          </w:p>
          <w:p w14:paraId="48109024">
            <w:pPr>
              <w:adjustRightInd w:val="0"/>
              <w:snapToGrid w:val="0"/>
              <w:rPr>
                <w:rFonts w:hint="eastAsia" w:ascii="宋体" w:hAnsi="宋体"/>
                <w:sz w:val="18"/>
                <w:szCs w:val="18"/>
                <w:lang w:val="en-US" w:eastAsia="zh-CN"/>
              </w:rPr>
            </w:pPr>
            <w:r>
              <w:rPr>
                <w:rFonts w:hint="eastAsia" w:ascii="宋体" w:hAnsi="宋体"/>
                <w:sz w:val="18"/>
                <w:szCs w:val="18"/>
              </w:rPr>
              <w:t>c）</w:t>
            </w:r>
            <w:r>
              <w:rPr>
                <w:rFonts w:hint="eastAsia" w:ascii="宋体" w:hAnsi="宋体"/>
                <w:sz w:val="18"/>
                <w:szCs w:val="18"/>
                <w:lang w:val="en-US" w:eastAsia="zh-CN"/>
              </w:rPr>
              <w:t>筏体上应设置安全带和扶手，漂流筏踏脚平面和出人口应设有防滑措施；</w:t>
            </w:r>
          </w:p>
          <w:p w14:paraId="52EF6970">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w:t>
            </w:r>
            <w:r>
              <w:rPr>
                <w:rFonts w:ascii="宋体" w:hAnsi="宋体"/>
                <w:sz w:val="18"/>
                <w:szCs w:val="18"/>
              </w:rPr>
              <w:t>应在</w:t>
            </w:r>
            <w:r>
              <w:rPr>
                <w:rFonts w:hint="eastAsia" w:ascii="宋体" w:hAnsi="宋体"/>
                <w:sz w:val="18"/>
                <w:szCs w:val="18"/>
              </w:rPr>
              <w:t>设备或设施的适当部位设置醒目的游客须知和安全警示标志；</w:t>
            </w:r>
          </w:p>
          <w:p w14:paraId="720DF773">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）应向漂流者说明漂流水域特点、漂流器具使用方法以及漂流的安全救生措施；</w:t>
            </w:r>
          </w:p>
          <w:p w14:paraId="39927442">
            <w:pPr>
              <w:adjustRightInd w:val="0"/>
              <w:snapToGrid w:val="0"/>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）有清晰、醒目、牢固的水位测量、禁漂水位线、航道导引、危险区域等安全警示标志；</w:t>
            </w:r>
          </w:p>
          <w:p w14:paraId="699DA1CB">
            <w:pPr>
              <w:adjustRightInd w:val="0"/>
              <w:snapToGrid w:val="0"/>
              <w:rPr>
                <w:rFonts w:hint="default" w:ascii="宋体" w:hAnsi="宋体"/>
                <w:sz w:val="18"/>
                <w:szCs w:val="18"/>
                <w:lang w:val="en-US"/>
              </w:rPr>
            </w:pPr>
            <w:r>
              <w:rPr>
                <w:rFonts w:hint="eastAsia" w:ascii="宋体" w:hAnsi="宋体"/>
                <w:sz w:val="18"/>
                <w:szCs w:val="18"/>
                <w:lang w:val="en-US" w:eastAsia="zh-CN"/>
              </w:rPr>
              <w:t>g</w:t>
            </w:r>
            <w:r>
              <w:rPr>
                <w:rFonts w:hint="eastAsia" w:ascii="宋体" w:hAnsi="宋体"/>
                <w:sz w:val="18"/>
                <w:szCs w:val="18"/>
              </w:rPr>
              <w:t>）</w:t>
            </w:r>
            <w:r>
              <w:rPr>
                <w:rFonts w:ascii="宋体" w:hAnsi="宋体"/>
                <w:sz w:val="18"/>
                <w:szCs w:val="18"/>
              </w:rPr>
              <w:t>应在</w:t>
            </w:r>
            <w:r>
              <w:rPr>
                <w:rFonts w:hint="eastAsia" w:ascii="宋体" w:hAnsi="宋体"/>
                <w:sz w:val="18"/>
                <w:szCs w:val="18"/>
              </w:rPr>
              <w:t>码头等</w:t>
            </w:r>
            <w:r>
              <w:rPr>
                <w:rFonts w:ascii="宋体" w:hAnsi="宋体"/>
                <w:sz w:val="18"/>
                <w:szCs w:val="18"/>
              </w:rPr>
              <w:t>设置广播和通讯工具</w:t>
            </w:r>
            <w:r>
              <w:rPr>
                <w:rFonts w:hint="eastAsia" w:ascii="宋体" w:hAnsi="宋体"/>
                <w:sz w:val="18"/>
                <w:szCs w:val="18"/>
              </w:rPr>
              <w:t>；</w:t>
            </w:r>
            <w:r>
              <w:rPr>
                <w:rFonts w:ascii="宋体" w:hAnsi="宋体"/>
                <w:sz w:val="18"/>
                <w:szCs w:val="18"/>
              </w:rPr>
              <w:t xml:space="preserve"> </w:t>
            </w:r>
          </w:p>
          <w:p w14:paraId="1334DB5C">
            <w:pPr>
              <w:adjustRightInd w:val="0"/>
              <w:snapToGrid w:val="0"/>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）漂流工具每年应经符合法定条件的专业技术组织检验合格后方能使用，且应有安全警示语；</w:t>
            </w:r>
          </w:p>
          <w:p w14:paraId="3C477642">
            <w:pPr>
              <w:adjustRightInd w:val="0"/>
              <w:snapToGrid w:val="0"/>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）漂流艇四周有救生用的固定绳索；</w:t>
            </w:r>
          </w:p>
          <w:p w14:paraId="0D625CA7">
            <w:pPr>
              <w:adjustRightInd w:val="0"/>
              <w:snapToGrid w:val="0"/>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）漂流筏脚踏平面和出入口应有防护措施；</w:t>
            </w:r>
          </w:p>
          <w:p w14:paraId="4EB29242">
            <w:pPr>
              <w:adjustRightInd w:val="0"/>
              <w:snapToGrid w:val="0"/>
              <w:rPr>
                <w:rFonts w:hint="eastAsia" w:ascii="宋体" w:hAnsi="宋体"/>
                <w:sz w:val="18"/>
                <w:szCs w:val="18"/>
              </w:rPr>
            </w:pPr>
            <w:r>
              <w:rPr>
                <w:rFonts w:hint="eastAsia" w:ascii="宋体" w:hAnsi="宋体"/>
                <w:sz w:val="18"/>
                <w:szCs w:val="18"/>
                <w:lang w:val="en-US" w:eastAsia="zh-CN"/>
              </w:rPr>
              <w:t>k</w:t>
            </w:r>
            <w:r>
              <w:rPr>
                <w:rFonts w:hint="eastAsia" w:ascii="宋体" w:hAnsi="宋体"/>
                <w:sz w:val="18"/>
                <w:szCs w:val="18"/>
              </w:rPr>
              <w:t>）在深水、急流等危险区域的岸边，应设置救护点；</w:t>
            </w:r>
          </w:p>
          <w:p w14:paraId="54248B90">
            <w:pPr>
              <w:adjustRightInd w:val="0"/>
              <w:snapToGrid w:val="0"/>
              <w:rPr>
                <w:rFonts w:hint="eastAsia" w:ascii="宋体" w:hAnsi="宋体"/>
                <w:sz w:val="18"/>
                <w:szCs w:val="18"/>
              </w:rPr>
            </w:pPr>
            <w:r>
              <w:rPr>
                <w:rFonts w:hint="eastAsia" w:ascii="宋体" w:hAnsi="宋体"/>
                <w:sz w:val="18"/>
                <w:szCs w:val="18"/>
                <w:lang w:val="en-US" w:eastAsia="zh-CN"/>
              </w:rPr>
              <w:t>l</w:t>
            </w:r>
            <w:r>
              <w:rPr>
                <w:rFonts w:hint="eastAsia" w:ascii="宋体" w:hAnsi="宋体"/>
                <w:sz w:val="18"/>
                <w:szCs w:val="18"/>
              </w:rPr>
              <w:t>）应配备足够数量的救生员；</w:t>
            </w:r>
          </w:p>
          <w:p w14:paraId="46F8C985">
            <w:pPr>
              <w:adjustRightInd w:val="0"/>
              <w:snapToGrid w:val="0"/>
              <w:rPr>
                <w:rFonts w:hint="eastAsia" w:ascii="宋体" w:hAnsi="宋体"/>
                <w:sz w:val="18"/>
                <w:szCs w:val="18"/>
              </w:rPr>
            </w:pPr>
            <w:r>
              <w:rPr>
                <w:rFonts w:hint="eastAsia" w:ascii="宋体" w:hAnsi="宋体"/>
                <w:sz w:val="18"/>
                <w:szCs w:val="18"/>
                <w:lang w:val="en-US" w:eastAsia="zh-CN"/>
              </w:rPr>
              <w:t>m</w:t>
            </w:r>
            <w:r>
              <w:rPr>
                <w:rFonts w:hint="eastAsia" w:ascii="宋体" w:hAnsi="宋体"/>
                <w:sz w:val="18"/>
                <w:szCs w:val="18"/>
              </w:rPr>
              <w:t>）急救药品和器械应摆放在便于取用的明显位置；</w:t>
            </w:r>
          </w:p>
          <w:p w14:paraId="59354396">
            <w:pPr>
              <w:adjustRightInd w:val="0"/>
              <w:snapToGrid w:val="0"/>
              <w:rPr>
                <w:rFonts w:hint="eastAsia" w:ascii="宋体" w:hAnsi="宋体"/>
                <w:sz w:val="18"/>
                <w:szCs w:val="18"/>
              </w:rPr>
            </w:pPr>
            <w:r>
              <w:rPr>
                <w:rFonts w:hint="eastAsia" w:ascii="宋体" w:hAnsi="宋体"/>
                <w:sz w:val="18"/>
                <w:szCs w:val="18"/>
                <w:lang w:val="en-US" w:eastAsia="zh-CN"/>
              </w:rPr>
              <w:t>n</w:t>
            </w:r>
            <w:r>
              <w:rPr>
                <w:rFonts w:hint="eastAsia" w:ascii="宋体" w:hAnsi="宋体"/>
                <w:sz w:val="18"/>
                <w:szCs w:val="18"/>
              </w:rPr>
              <w:t>）不应在雷雨、大风、能见度差等条件下开展漂流活动。</w:t>
            </w:r>
          </w:p>
        </w:tc>
        <w:tc>
          <w:tcPr>
            <w:tcW w:w="709" w:type="dxa"/>
            <w:tcBorders>
              <w:top w:val="single" w:color="auto" w:sz="8" w:space="0"/>
            </w:tcBorders>
            <w:noWrap w:val="0"/>
            <w:vAlign w:val="center"/>
          </w:tcPr>
          <w:p w14:paraId="291F932B">
            <w:pPr>
              <w:adjustRightInd w:val="0"/>
              <w:snapToGrid w:val="0"/>
              <w:jc w:val="center"/>
              <w:rPr>
                <w:rFonts w:ascii="宋体" w:hAnsi="宋体"/>
                <w:bCs/>
                <w:sz w:val="18"/>
                <w:szCs w:val="18"/>
              </w:rPr>
            </w:pPr>
          </w:p>
        </w:tc>
        <w:tc>
          <w:tcPr>
            <w:tcW w:w="709" w:type="dxa"/>
            <w:tcBorders>
              <w:top w:val="single" w:color="auto" w:sz="8" w:space="0"/>
            </w:tcBorders>
            <w:noWrap w:val="0"/>
            <w:vAlign w:val="center"/>
          </w:tcPr>
          <w:p w14:paraId="6705151D">
            <w:pPr>
              <w:adjustRightInd w:val="0"/>
              <w:snapToGrid w:val="0"/>
              <w:jc w:val="center"/>
              <w:rPr>
                <w:rFonts w:hint="eastAsia" w:ascii="宋体" w:hAnsi="宋体"/>
                <w:bCs/>
                <w:sz w:val="18"/>
                <w:szCs w:val="18"/>
              </w:rPr>
            </w:pPr>
            <w:r>
              <w:rPr>
                <w:rFonts w:hint="eastAsia" w:ascii="宋体" w:hAnsi="宋体"/>
                <w:bCs/>
                <w:sz w:val="18"/>
                <w:szCs w:val="18"/>
              </w:rPr>
              <w:t>5</w:t>
            </w:r>
          </w:p>
        </w:tc>
        <w:tc>
          <w:tcPr>
            <w:tcW w:w="709" w:type="dxa"/>
            <w:tcBorders>
              <w:top w:val="single" w:color="auto" w:sz="8" w:space="0"/>
            </w:tcBorders>
            <w:noWrap w:val="0"/>
            <w:vAlign w:val="center"/>
          </w:tcPr>
          <w:p w14:paraId="6CC6D27C">
            <w:pPr>
              <w:ind w:firstLine="180" w:firstLineChars="100"/>
              <w:rPr>
                <w:rFonts w:ascii="宋体" w:hAnsi="宋体" w:cs="宋体"/>
                <w:sz w:val="18"/>
                <w:szCs w:val="18"/>
              </w:rPr>
            </w:pPr>
            <w:r>
              <w:rPr>
                <w:rFonts w:hint="eastAsia" w:ascii="宋体" w:hAnsi="宋体" w:cs="宋体"/>
                <w:sz w:val="18"/>
                <w:szCs w:val="18"/>
              </w:rPr>
              <w:t>5</w:t>
            </w:r>
          </w:p>
        </w:tc>
        <w:tc>
          <w:tcPr>
            <w:tcW w:w="2693" w:type="dxa"/>
            <w:tcBorders>
              <w:top w:val="single" w:color="auto" w:sz="8" w:space="0"/>
            </w:tcBorders>
            <w:noWrap w:val="0"/>
            <w:vAlign w:val="center"/>
          </w:tcPr>
          <w:p w14:paraId="02FA12BB">
            <w:pPr>
              <w:adjustRightInd w:val="0"/>
              <w:snapToGrid w:val="0"/>
              <w:rPr>
                <w:rFonts w:ascii="宋体" w:hAnsi="宋体"/>
                <w:bCs/>
                <w:sz w:val="18"/>
                <w:szCs w:val="18"/>
              </w:rPr>
            </w:pPr>
            <w:r>
              <w:rPr>
                <w:rFonts w:hint="eastAsia" w:ascii="宋体" w:hAnsi="宋体" w:cs="宋体"/>
                <w:sz w:val="18"/>
                <w:szCs w:val="18"/>
              </w:rPr>
              <w:t>一处不符合扣2分。</w:t>
            </w:r>
          </w:p>
        </w:tc>
        <w:tc>
          <w:tcPr>
            <w:tcW w:w="709" w:type="dxa"/>
            <w:tcBorders>
              <w:top w:val="single" w:color="auto" w:sz="8" w:space="0"/>
            </w:tcBorders>
            <w:noWrap w:val="0"/>
            <w:vAlign w:val="center"/>
          </w:tcPr>
          <w:p w14:paraId="7E323E2E">
            <w:pPr>
              <w:adjustRightInd w:val="0"/>
              <w:snapToGrid w:val="0"/>
              <w:jc w:val="center"/>
              <w:rPr>
                <w:rFonts w:ascii="宋体" w:hAnsi="宋体"/>
                <w:bCs/>
                <w:sz w:val="18"/>
                <w:szCs w:val="18"/>
              </w:rPr>
            </w:pPr>
          </w:p>
        </w:tc>
        <w:tc>
          <w:tcPr>
            <w:tcW w:w="1419" w:type="dxa"/>
            <w:tcBorders>
              <w:top w:val="single" w:color="auto" w:sz="8" w:space="0"/>
            </w:tcBorders>
            <w:noWrap w:val="0"/>
            <w:vAlign w:val="center"/>
          </w:tcPr>
          <w:p w14:paraId="72FD26F7">
            <w:pPr>
              <w:adjustRightInd w:val="0"/>
              <w:snapToGrid w:val="0"/>
              <w:jc w:val="center"/>
              <w:rPr>
                <w:rFonts w:ascii="宋体" w:hAnsi="宋体"/>
                <w:bCs/>
                <w:sz w:val="18"/>
                <w:szCs w:val="18"/>
              </w:rPr>
            </w:pPr>
          </w:p>
        </w:tc>
        <w:tc>
          <w:tcPr>
            <w:tcW w:w="1348" w:type="dxa"/>
            <w:noWrap w:val="0"/>
            <w:vAlign w:val="center"/>
          </w:tcPr>
          <w:p w14:paraId="3AE1D64B">
            <w:pPr>
              <w:widowControl/>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sz w:val="18"/>
                <w:szCs w:val="18"/>
                <w:lang w:eastAsia="zh-CN"/>
              </w:rPr>
              <w:t>4.3</w:t>
            </w:r>
            <w:r>
              <w:rPr>
                <w:rFonts w:hint="eastAsia" w:ascii="宋体" w:hAnsi="宋体"/>
                <w:sz w:val="18"/>
                <w:szCs w:val="18"/>
              </w:rPr>
              <w:t>.</w:t>
            </w:r>
            <w:r>
              <w:rPr>
                <w:rFonts w:hint="eastAsia" w:ascii="宋体" w:hAnsi="宋体"/>
                <w:bCs/>
                <w:sz w:val="18"/>
                <w:szCs w:val="18"/>
                <w:lang w:val="en-US" w:eastAsia="zh-CN"/>
              </w:rPr>
              <w:t>3.2</w:t>
            </w:r>
          </w:p>
        </w:tc>
      </w:tr>
    </w:tbl>
    <w:p w14:paraId="2885A62C">
      <w:pPr>
        <w:pStyle w:val="168"/>
        <w:widowControl/>
        <w:numPr>
          <w:ilvl w:val="0"/>
          <w:numId w:val="0"/>
        </w:numPr>
        <w:spacing w:before="156" w:after="156"/>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3AA8CA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0F614B05">
            <w:pPr>
              <w:adjustRightInd w:val="0"/>
              <w:snapToGrid w:val="0"/>
              <w:jc w:val="center"/>
              <w:rPr>
                <w:rFonts w:ascii="宋体" w:hAnsi="宋体"/>
                <w:sz w:val="18"/>
                <w:szCs w:val="18"/>
              </w:rPr>
            </w:pPr>
            <w:r>
              <w:rPr>
                <w:rFonts w:ascii="宋体" w:hAnsi="宋体"/>
                <w:bCs/>
                <w:sz w:val="18"/>
                <w:szCs w:val="18"/>
              </w:rPr>
              <w:t>序号</w:t>
            </w:r>
          </w:p>
        </w:tc>
        <w:tc>
          <w:tcPr>
            <w:tcW w:w="5849" w:type="dxa"/>
            <w:tcBorders>
              <w:top w:val="single" w:color="auto" w:sz="8" w:space="0"/>
              <w:bottom w:val="single" w:color="auto" w:sz="8" w:space="0"/>
            </w:tcBorders>
            <w:noWrap w:val="0"/>
            <w:vAlign w:val="center"/>
          </w:tcPr>
          <w:p w14:paraId="6EFBD81C">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7A45A033">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460CF598">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4B267213">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1BA1236E">
            <w:pPr>
              <w:adjustRightInd w:val="0"/>
              <w:snapToGrid w:val="0"/>
              <w:jc w:val="center"/>
              <w:rPr>
                <w:rFonts w:ascii="宋体" w:hAnsi="宋体"/>
                <w:sz w:val="18"/>
                <w:szCs w:val="18"/>
              </w:rPr>
            </w:pPr>
            <w:r>
              <w:rPr>
                <w:rFonts w:ascii="宋体" w:hAnsi="宋体"/>
                <w:bCs/>
                <w:sz w:val="18"/>
                <w:szCs w:val="18"/>
              </w:rPr>
              <w:t>评分标准</w:t>
            </w:r>
          </w:p>
        </w:tc>
        <w:tc>
          <w:tcPr>
            <w:tcW w:w="709" w:type="dxa"/>
            <w:tcBorders>
              <w:top w:val="single" w:color="auto" w:sz="8" w:space="0"/>
              <w:bottom w:val="single" w:color="auto" w:sz="8" w:space="0"/>
            </w:tcBorders>
            <w:noWrap w:val="0"/>
            <w:vAlign w:val="center"/>
          </w:tcPr>
          <w:p w14:paraId="237D5AC1">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4B7A8936">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5B111A88">
            <w:pPr>
              <w:adjustRightInd w:val="0"/>
              <w:snapToGrid w:val="0"/>
              <w:jc w:val="center"/>
              <w:rPr>
                <w:rFonts w:ascii="宋体" w:hAnsi="宋体"/>
                <w:sz w:val="18"/>
                <w:szCs w:val="18"/>
              </w:rPr>
            </w:pPr>
            <w:r>
              <w:rPr>
                <w:rFonts w:ascii="宋体" w:hAnsi="宋体"/>
                <w:bCs/>
                <w:sz w:val="18"/>
                <w:szCs w:val="18"/>
              </w:rPr>
              <w:t>对应条款编号</w:t>
            </w:r>
          </w:p>
        </w:tc>
      </w:tr>
      <w:tr w14:paraId="5AF5D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31A9652D">
            <w:pPr>
              <w:jc w:val="center"/>
              <w:rPr>
                <w:rFonts w:hint="eastAsia" w:ascii="宋体" w:hAnsi="宋体" w:eastAsia="宋体" w:cs="宋体"/>
                <w:kern w:val="2"/>
                <w:sz w:val="18"/>
                <w:szCs w:val="18"/>
                <w:lang w:val="en-US" w:eastAsia="zh-CN" w:bidi="ar-SA"/>
              </w:rPr>
            </w:pPr>
            <w:r>
              <w:rPr>
                <w:rFonts w:hint="eastAsia" w:ascii="宋体" w:hAnsi="宋体"/>
                <w:kern w:val="0"/>
                <w:sz w:val="18"/>
                <w:szCs w:val="18"/>
              </w:rPr>
              <w:t>3.</w:t>
            </w:r>
            <w:r>
              <w:rPr>
                <w:rFonts w:hint="eastAsia" w:ascii="宋体" w:hAnsi="宋体"/>
                <w:kern w:val="0"/>
                <w:sz w:val="18"/>
                <w:szCs w:val="18"/>
                <w:lang w:val="en-US" w:eastAsia="zh-CN"/>
              </w:rPr>
              <w:t>5</w:t>
            </w:r>
          </w:p>
        </w:tc>
        <w:tc>
          <w:tcPr>
            <w:tcW w:w="5849" w:type="dxa"/>
            <w:tcBorders>
              <w:top w:val="single" w:color="auto" w:sz="8" w:space="0"/>
              <w:bottom w:val="single" w:color="auto" w:sz="8" w:space="0"/>
            </w:tcBorders>
            <w:noWrap w:val="0"/>
            <w:vAlign w:val="top"/>
          </w:tcPr>
          <w:p w14:paraId="6ACED83C">
            <w:pPr>
              <w:adjustRightInd w:val="0"/>
              <w:snapToGrid w:val="0"/>
              <w:rPr>
                <w:rFonts w:hint="eastAsia" w:ascii="宋体" w:hAnsi="宋体"/>
                <w:sz w:val="18"/>
                <w:szCs w:val="18"/>
              </w:rPr>
            </w:pPr>
            <w:r>
              <w:rPr>
                <w:rFonts w:hint="eastAsia" w:ascii="宋体" w:hAnsi="宋体"/>
                <w:sz w:val="18"/>
                <w:szCs w:val="18"/>
              </w:rPr>
              <w:t>游泳池应符合下列要求：</w:t>
            </w:r>
          </w:p>
          <w:p w14:paraId="78E2BCDC">
            <w:pPr>
              <w:adjustRightInd w:val="0"/>
              <w:snapToGrid w:val="0"/>
              <w:rPr>
                <w:rFonts w:hint="eastAsia" w:ascii="宋体" w:hAnsi="宋体"/>
                <w:sz w:val="18"/>
                <w:szCs w:val="18"/>
              </w:rPr>
            </w:pPr>
            <w:r>
              <w:rPr>
                <w:rFonts w:hint="eastAsia" w:ascii="宋体" w:hAnsi="宋体"/>
                <w:sz w:val="18"/>
                <w:szCs w:val="18"/>
              </w:rPr>
              <w:t>a）游泳池浅水区水深应不大于1.2 m，儿童游泳池的水深应不大于0.8 m；</w:t>
            </w:r>
          </w:p>
          <w:p w14:paraId="556E5482">
            <w:pPr>
              <w:adjustRightInd w:val="0"/>
              <w:snapToGrid w:val="0"/>
              <w:rPr>
                <w:rFonts w:hint="eastAsia" w:ascii="宋体" w:hAnsi="宋体"/>
                <w:sz w:val="18"/>
                <w:szCs w:val="18"/>
              </w:rPr>
            </w:pPr>
            <w:r>
              <w:rPr>
                <w:rFonts w:hint="eastAsia" w:ascii="宋体" w:hAnsi="宋体"/>
                <w:sz w:val="18"/>
                <w:szCs w:val="18"/>
              </w:rPr>
              <w:t>b）游泳池池面应设置醒目的水深度</w:t>
            </w:r>
            <w:r>
              <w:rPr>
                <w:rFonts w:hint="eastAsia" w:ascii="宋体" w:hAnsi="宋体"/>
                <w:sz w:val="18"/>
                <w:szCs w:val="18"/>
                <w:lang w:eastAsia="zh-CN"/>
              </w:rPr>
              <w:t>标志</w:t>
            </w:r>
            <w:r>
              <w:rPr>
                <w:rFonts w:hint="eastAsia" w:ascii="宋体" w:hAnsi="宋体"/>
                <w:sz w:val="18"/>
                <w:szCs w:val="18"/>
              </w:rPr>
              <w:t>、深浅水区警示</w:t>
            </w:r>
            <w:r>
              <w:rPr>
                <w:rFonts w:hint="eastAsia" w:ascii="宋体" w:hAnsi="宋体"/>
                <w:sz w:val="18"/>
                <w:szCs w:val="18"/>
                <w:lang w:eastAsia="zh-CN"/>
              </w:rPr>
              <w:t>标志</w:t>
            </w:r>
            <w:r>
              <w:rPr>
                <w:rFonts w:hint="eastAsia" w:ascii="宋体" w:hAnsi="宋体"/>
                <w:sz w:val="18"/>
                <w:szCs w:val="18"/>
              </w:rPr>
              <w:t>或深浅水区隔离带；</w:t>
            </w:r>
          </w:p>
          <w:p w14:paraId="6A8CEBD5">
            <w:pPr>
              <w:adjustRightInd w:val="0"/>
              <w:snapToGrid w:val="0"/>
              <w:rPr>
                <w:rFonts w:hint="eastAsia" w:ascii="宋体" w:hAnsi="宋体"/>
                <w:sz w:val="18"/>
                <w:szCs w:val="18"/>
              </w:rPr>
            </w:pPr>
            <w:r>
              <w:rPr>
                <w:rFonts w:hint="eastAsia" w:ascii="宋体" w:hAnsi="宋体"/>
                <w:sz w:val="18"/>
                <w:szCs w:val="18"/>
              </w:rPr>
              <w:t>c）水面面积在500 m²以下的游泳池应至少设置2个出入水扶梯，水面面积在500 m²及以上的游泳池应至少设置4个出入水扶梯。扶梯应经过光滑倒角处理，不应有粗糙或锐角部位；</w:t>
            </w:r>
          </w:p>
          <w:p w14:paraId="7CB8E574">
            <w:pPr>
              <w:adjustRightInd w:val="0"/>
              <w:snapToGrid w:val="0"/>
              <w:rPr>
                <w:rFonts w:hint="eastAsia" w:ascii="宋体" w:hAnsi="宋体"/>
                <w:sz w:val="18"/>
                <w:szCs w:val="18"/>
              </w:rPr>
            </w:pPr>
            <w:r>
              <w:rPr>
                <w:rFonts w:hint="eastAsia" w:ascii="宋体" w:hAnsi="宋体"/>
                <w:sz w:val="18"/>
                <w:szCs w:val="18"/>
              </w:rPr>
              <w:t>d）游泳池内的给水、排水口应设置安全防吸护罩；</w:t>
            </w:r>
          </w:p>
          <w:p w14:paraId="35C3851A">
            <w:pPr>
              <w:adjustRightInd w:val="0"/>
              <w:snapToGrid w:val="0"/>
              <w:rPr>
                <w:rFonts w:hint="eastAsia" w:ascii="宋体" w:hAnsi="宋体"/>
                <w:sz w:val="18"/>
                <w:szCs w:val="18"/>
              </w:rPr>
            </w:pPr>
            <w:r>
              <w:rPr>
                <w:rFonts w:hint="eastAsia" w:ascii="宋体" w:hAnsi="宋体"/>
                <w:sz w:val="18"/>
                <w:szCs w:val="18"/>
              </w:rPr>
              <w:t>e）游泳池池岸、卫生间、淋浴间及更衣室地面应防滑；</w:t>
            </w:r>
          </w:p>
          <w:p w14:paraId="257C9916">
            <w:pPr>
              <w:adjustRightInd w:val="0"/>
              <w:snapToGrid w:val="0"/>
              <w:rPr>
                <w:rFonts w:hint="eastAsia" w:ascii="宋体" w:hAnsi="宋体"/>
                <w:sz w:val="18"/>
                <w:szCs w:val="18"/>
              </w:rPr>
            </w:pPr>
            <w:r>
              <w:rPr>
                <w:rFonts w:hint="eastAsia" w:ascii="宋体" w:hAnsi="宋体"/>
                <w:sz w:val="18"/>
                <w:szCs w:val="18"/>
              </w:rPr>
              <w:t>f）泳池开放期间，应进行水质监测并记录；</w:t>
            </w:r>
          </w:p>
          <w:p w14:paraId="2CC43E95">
            <w:pPr>
              <w:adjustRightInd w:val="0"/>
              <w:snapToGrid w:val="0"/>
              <w:rPr>
                <w:rFonts w:hint="eastAsia" w:ascii="宋体" w:hAnsi="宋体"/>
                <w:sz w:val="18"/>
                <w:szCs w:val="18"/>
              </w:rPr>
            </w:pPr>
            <w:r>
              <w:rPr>
                <w:rFonts w:hint="eastAsia" w:ascii="宋体" w:hAnsi="宋体"/>
                <w:sz w:val="18"/>
                <w:szCs w:val="18"/>
              </w:rPr>
              <w:t>g）游泳池人均游泳面积不小于2.5m²，应对参加游泳的人数进行统计，根据实际情况采取适当的限制措施；</w:t>
            </w:r>
          </w:p>
          <w:p w14:paraId="25EEC2C8">
            <w:pPr>
              <w:adjustRightInd w:val="0"/>
              <w:snapToGrid w:val="0"/>
              <w:rPr>
                <w:rFonts w:hint="eastAsia" w:ascii="宋体" w:hAnsi="宋体"/>
                <w:sz w:val="18"/>
                <w:szCs w:val="18"/>
              </w:rPr>
            </w:pPr>
            <w:r>
              <w:rPr>
                <w:rFonts w:hint="eastAsia" w:ascii="宋体" w:hAnsi="宋体"/>
                <w:sz w:val="18"/>
                <w:szCs w:val="18"/>
              </w:rPr>
              <w:t>h）应配置有救生观察台。游游泳池水面面积250m²以下的，应至少设置2个观察台；水面面积在250 m²及以上的，应按面积每增加250m²及以内增设1个观察台的比例，配置观察台；观察台的高度应不小于1.5m；</w:t>
            </w:r>
          </w:p>
          <w:p w14:paraId="1E7F0593">
            <w:pPr>
              <w:adjustRightInd w:val="0"/>
              <w:snapToGrid w:val="0"/>
              <w:rPr>
                <w:rFonts w:hint="eastAsia" w:ascii="宋体" w:hAnsi="宋体"/>
                <w:sz w:val="18"/>
                <w:szCs w:val="18"/>
              </w:rPr>
            </w:pPr>
            <w:r>
              <w:rPr>
                <w:rFonts w:hint="eastAsia" w:ascii="宋体" w:hAnsi="宋体"/>
                <w:sz w:val="18"/>
                <w:szCs w:val="18"/>
              </w:rPr>
              <w:t>i）游泳救生员和社会体育指导员（游泳）应持国家职业资格证书上岗；</w:t>
            </w:r>
          </w:p>
          <w:p w14:paraId="7A762830">
            <w:pPr>
              <w:adjustRightInd w:val="0"/>
              <w:snapToGrid w:val="0"/>
              <w:rPr>
                <w:rFonts w:hint="eastAsia" w:ascii="宋体" w:hAnsi="宋体"/>
                <w:sz w:val="18"/>
                <w:szCs w:val="18"/>
              </w:rPr>
            </w:pPr>
            <w:r>
              <w:rPr>
                <w:rFonts w:hint="eastAsia" w:ascii="宋体" w:hAnsi="宋体"/>
                <w:sz w:val="18"/>
                <w:szCs w:val="18"/>
              </w:rPr>
              <w:t>j）人工游泳池水面面积在250平方米以下的，在岗专职水上救生员不得少于3名；水面面积超过250平方米的，每增加250平方米，至少增加1名专职水上救生员（增加的面积不足250平方米的，按照增加250平方米计算）；</w:t>
            </w:r>
          </w:p>
          <w:p w14:paraId="28C955F9">
            <w:pPr>
              <w:adjustRightInd w:val="0"/>
              <w:snapToGrid w:val="0"/>
              <w:rPr>
                <w:rFonts w:hint="eastAsia" w:ascii="宋体" w:hAnsi="宋体"/>
                <w:sz w:val="18"/>
                <w:szCs w:val="18"/>
              </w:rPr>
            </w:pPr>
            <w:r>
              <w:rPr>
                <w:rFonts w:hint="eastAsia" w:ascii="宋体" w:hAnsi="宋体"/>
                <w:sz w:val="18"/>
                <w:szCs w:val="18"/>
              </w:rPr>
              <w:t>k）应配备救生浮标、救生杆、救生圈、救生板、救生绳和护颈套等救生器材，并确保完好有效；</w:t>
            </w:r>
          </w:p>
          <w:p w14:paraId="630AE78D">
            <w:pPr>
              <w:adjustRightInd w:val="0"/>
              <w:snapToGrid w:val="0"/>
              <w:rPr>
                <w:rFonts w:hint="default" w:ascii="宋体" w:hAnsi="宋体"/>
                <w:sz w:val="18"/>
                <w:szCs w:val="18"/>
                <w:lang w:val="en-US" w:eastAsia="zh-CN"/>
              </w:rPr>
            </w:pPr>
            <w:r>
              <w:rPr>
                <w:rFonts w:hint="eastAsia" w:ascii="宋体" w:hAnsi="宋体"/>
                <w:sz w:val="18"/>
                <w:szCs w:val="18"/>
              </w:rPr>
              <w:t>l）游泳池应配置池水循环、净化、消毒处理设备。</w:t>
            </w:r>
          </w:p>
        </w:tc>
        <w:tc>
          <w:tcPr>
            <w:tcW w:w="709" w:type="dxa"/>
            <w:tcBorders>
              <w:top w:val="single" w:color="auto" w:sz="8" w:space="0"/>
              <w:bottom w:val="single" w:color="auto" w:sz="8" w:space="0"/>
            </w:tcBorders>
            <w:noWrap w:val="0"/>
            <w:vAlign w:val="center"/>
          </w:tcPr>
          <w:p w14:paraId="4FA103E9">
            <w:pPr>
              <w:adjustRightInd w:val="0"/>
              <w:snapToGrid w:val="0"/>
              <w:jc w:val="center"/>
              <w:rPr>
                <w:rFonts w:ascii="Times New Roman" w:hAnsi="Times New Roman"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7C7A4A87">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709" w:type="dxa"/>
            <w:tcBorders>
              <w:top w:val="single" w:color="auto" w:sz="8" w:space="0"/>
              <w:bottom w:val="single" w:color="auto" w:sz="8" w:space="0"/>
            </w:tcBorders>
            <w:noWrap w:val="0"/>
            <w:vAlign w:val="center"/>
          </w:tcPr>
          <w:p w14:paraId="69A01D1D">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2693" w:type="dxa"/>
            <w:tcBorders>
              <w:top w:val="single" w:color="auto" w:sz="8" w:space="0"/>
              <w:bottom w:val="single" w:color="auto" w:sz="8" w:space="0"/>
            </w:tcBorders>
            <w:noWrap w:val="0"/>
            <w:vAlign w:val="center"/>
          </w:tcPr>
          <w:p w14:paraId="0FC1EC43">
            <w:pPr>
              <w:adjustRightInd w:val="0"/>
              <w:snapToGrid w:val="0"/>
              <w:rPr>
                <w:rFonts w:ascii="宋体" w:hAnsi="宋体"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bottom w:val="single" w:color="auto" w:sz="8" w:space="0"/>
            </w:tcBorders>
            <w:noWrap w:val="0"/>
            <w:vAlign w:val="center"/>
          </w:tcPr>
          <w:p w14:paraId="53EC40AB">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noWrap w:val="0"/>
            <w:vAlign w:val="center"/>
          </w:tcPr>
          <w:p w14:paraId="78FA787A">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2A684BAB">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kern w:val="0"/>
                <w:sz w:val="18"/>
                <w:szCs w:val="18"/>
                <w:lang w:eastAsia="zh-CN"/>
              </w:rPr>
              <w:t>4.3</w:t>
            </w:r>
            <w:r>
              <w:rPr>
                <w:rFonts w:hint="eastAsia" w:ascii="宋体" w:hAnsi="宋体"/>
                <w:kern w:val="0"/>
                <w:sz w:val="18"/>
                <w:szCs w:val="18"/>
              </w:rPr>
              <w:t>.</w:t>
            </w:r>
            <w:r>
              <w:rPr>
                <w:rFonts w:hint="eastAsia" w:ascii="宋体" w:hAnsi="宋体"/>
                <w:bCs/>
                <w:sz w:val="18"/>
                <w:szCs w:val="18"/>
                <w:lang w:val="en-US" w:eastAsia="zh-CN"/>
              </w:rPr>
              <w:t>4.3</w:t>
            </w:r>
          </w:p>
        </w:tc>
      </w:tr>
      <w:tr w14:paraId="1F4C2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46B4AFFC">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3.6</w:t>
            </w:r>
          </w:p>
        </w:tc>
        <w:tc>
          <w:tcPr>
            <w:tcW w:w="5849" w:type="dxa"/>
            <w:tcBorders>
              <w:top w:val="single" w:color="auto" w:sz="8" w:space="0"/>
            </w:tcBorders>
            <w:noWrap w:val="0"/>
            <w:vAlign w:val="top"/>
          </w:tcPr>
          <w:p w14:paraId="138AAECB">
            <w:pPr>
              <w:adjustRightInd w:val="0"/>
              <w:snapToGrid w:val="0"/>
              <w:rPr>
                <w:rFonts w:hint="eastAsia" w:ascii="宋体" w:hAnsi="宋体"/>
                <w:sz w:val="18"/>
                <w:szCs w:val="18"/>
              </w:rPr>
            </w:pPr>
            <w:r>
              <w:rPr>
                <w:rFonts w:hint="eastAsia" w:ascii="宋体" w:hAnsi="宋体"/>
                <w:sz w:val="18"/>
                <w:szCs w:val="18"/>
              </w:rPr>
              <w:t>水上活动设备设施应符合下列要求：</w:t>
            </w:r>
          </w:p>
          <w:p w14:paraId="7FBEE5F1">
            <w:pPr>
              <w:numPr>
                <w:ilvl w:val="0"/>
                <w:numId w:val="55"/>
              </w:numPr>
              <w:adjustRightInd w:val="0"/>
              <w:snapToGrid w:val="0"/>
              <w:rPr>
                <w:rFonts w:hint="eastAsia" w:ascii="宋体" w:hAnsi="宋体"/>
                <w:sz w:val="18"/>
                <w:szCs w:val="18"/>
              </w:rPr>
            </w:pPr>
            <w:r>
              <w:rPr>
                <w:rFonts w:hint="eastAsia" w:ascii="宋体" w:hAnsi="宋体"/>
                <w:sz w:val="18"/>
                <w:szCs w:val="18"/>
              </w:rPr>
              <w:t>各类游乐池应分别设置，若水域相连时应设置隔离装置；</w:t>
            </w:r>
          </w:p>
          <w:p w14:paraId="5CAAF77A">
            <w:pPr>
              <w:numPr>
                <w:ilvl w:val="0"/>
                <w:numId w:val="0"/>
              </w:numPr>
              <w:adjustRightInd w:val="0"/>
              <w:snapToGrid w:val="0"/>
              <w:rPr>
                <w:rFonts w:hint="eastAsia" w:ascii="宋体" w:hAnsi="宋体"/>
                <w:sz w:val="18"/>
                <w:szCs w:val="18"/>
              </w:rPr>
            </w:pPr>
            <w:r>
              <w:rPr>
                <w:rFonts w:hint="eastAsia" w:ascii="宋体" w:hAnsi="宋体"/>
                <w:sz w:val="18"/>
                <w:szCs w:val="18"/>
              </w:rPr>
              <w:t>b）水深变化地点应设置醒目的水深标志</w:t>
            </w:r>
            <w:r>
              <w:rPr>
                <w:rFonts w:hint="eastAsia" w:ascii="宋体" w:hAnsi="宋体"/>
                <w:sz w:val="18"/>
                <w:szCs w:val="18"/>
                <w:lang w:eastAsia="zh-CN"/>
              </w:rPr>
              <w:t>，</w:t>
            </w:r>
            <w:r>
              <w:rPr>
                <w:rFonts w:hint="eastAsia" w:ascii="宋体" w:hAnsi="宋体"/>
                <w:sz w:val="18"/>
                <w:szCs w:val="18"/>
              </w:rPr>
              <w:t>其中：</w:t>
            </w:r>
          </w:p>
          <w:p w14:paraId="3692F54A">
            <w:pPr>
              <w:adjustRightInd w:val="0"/>
              <w:snapToGrid w:val="0"/>
              <w:ind w:firstLine="360" w:firstLineChars="200"/>
              <w:rPr>
                <w:rFonts w:hint="eastAsia" w:ascii="宋体" w:hAnsi="宋体"/>
                <w:sz w:val="18"/>
                <w:szCs w:val="18"/>
              </w:rPr>
            </w:pPr>
            <w:r>
              <w:rPr>
                <w:rFonts w:hint="eastAsia" w:ascii="宋体" w:hAnsi="宋体"/>
                <w:sz w:val="18"/>
                <w:szCs w:val="18"/>
              </w:rPr>
              <w:t>1）造波池游乐区水深应不大于1.8m；</w:t>
            </w:r>
          </w:p>
          <w:p w14:paraId="6A9CB7D5">
            <w:pPr>
              <w:adjustRightInd w:val="0"/>
              <w:snapToGrid w:val="0"/>
              <w:ind w:firstLine="360" w:firstLineChars="200"/>
              <w:rPr>
                <w:rFonts w:hint="eastAsia" w:ascii="宋体" w:hAnsi="宋体" w:eastAsia="宋体" w:cs="Times New Roman"/>
                <w:kern w:val="2"/>
                <w:sz w:val="18"/>
                <w:szCs w:val="18"/>
                <w:lang w:val="en-US" w:eastAsia="zh-CN" w:bidi="ar-SA"/>
              </w:rPr>
            </w:pPr>
            <w:r>
              <w:rPr>
                <w:rFonts w:hint="eastAsia" w:ascii="宋体" w:hAnsi="宋体"/>
                <w:sz w:val="18"/>
                <w:szCs w:val="18"/>
              </w:rPr>
              <w:t>2）水滑梯溅落区水深一般为0.8m</w:t>
            </w:r>
            <w:r>
              <w:rPr>
                <w:rFonts w:hint="eastAsia" w:ascii="宋体" w:hAnsi="宋体"/>
                <w:sz w:val="18"/>
                <w:szCs w:val="18"/>
                <w:lang w:val="en-US" w:eastAsia="zh-CN"/>
              </w:rPr>
              <w:t>-</w:t>
            </w:r>
            <w:r>
              <w:rPr>
                <w:rFonts w:hint="eastAsia" w:ascii="宋体" w:hAnsi="宋体"/>
                <w:sz w:val="18"/>
                <w:szCs w:val="18"/>
              </w:rPr>
              <w:t>0.9m；</w:t>
            </w:r>
          </w:p>
        </w:tc>
        <w:tc>
          <w:tcPr>
            <w:tcW w:w="709" w:type="dxa"/>
            <w:tcBorders>
              <w:top w:val="single" w:color="auto" w:sz="8" w:space="0"/>
            </w:tcBorders>
            <w:noWrap w:val="0"/>
            <w:vAlign w:val="center"/>
          </w:tcPr>
          <w:p w14:paraId="13532936">
            <w:pPr>
              <w:adjustRightInd w:val="0"/>
              <w:snapToGrid w:val="0"/>
              <w:jc w:val="center"/>
              <w:rPr>
                <w:rFonts w:ascii="Times New Roman" w:hAnsi="Times New Roman" w:eastAsia="宋体" w:cs="Times New Roman"/>
                <w:bCs/>
                <w:kern w:val="2"/>
                <w:sz w:val="18"/>
                <w:szCs w:val="18"/>
                <w:lang w:val="en-US" w:eastAsia="zh-CN" w:bidi="ar-SA"/>
              </w:rPr>
            </w:pPr>
          </w:p>
        </w:tc>
        <w:tc>
          <w:tcPr>
            <w:tcW w:w="709" w:type="dxa"/>
            <w:tcBorders>
              <w:top w:val="single" w:color="auto" w:sz="8" w:space="0"/>
            </w:tcBorders>
            <w:noWrap w:val="0"/>
            <w:vAlign w:val="center"/>
          </w:tcPr>
          <w:p w14:paraId="3FCD0443">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10</w:t>
            </w:r>
          </w:p>
        </w:tc>
        <w:tc>
          <w:tcPr>
            <w:tcW w:w="709" w:type="dxa"/>
            <w:tcBorders>
              <w:top w:val="single" w:color="auto" w:sz="8" w:space="0"/>
            </w:tcBorders>
            <w:noWrap w:val="0"/>
            <w:vAlign w:val="center"/>
          </w:tcPr>
          <w:p w14:paraId="73A58BD0">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10</w:t>
            </w:r>
          </w:p>
        </w:tc>
        <w:tc>
          <w:tcPr>
            <w:tcW w:w="2693" w:type="dxa"/>
            <w:tcBorders>
              <w:top w:val="single" w:color="auto" w:sz="8" w:space="0"/>
            </w:tcBorders>
            <w:noWrap w:val="0"/>
            <w:vAlign w:val="center"/>
          </w:tcPr>
          <w:p w14:paraId="13C4694F">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tcBorders>
            <w:noWrap w:val="0"/>
            <w:vAlign w:val="center"/>
          </w:tcPr>
          <w:p w14:paraId="1B3FC287">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tcBorders>
            <w:noWrap w:val="0"/>
            <w:vAlign w:val="center"/>
          </w:tcPr>
          <w:p w14:paraId="4FBA0BF8">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7E4B73CA">
            <w:pPr>
              <w:widowControl/>
              <w:tabs>
                <w:tab w:val="center" w:pos="4201"/>
                <w:tab w:val="right" w:leader="dot" w:pos="9298"/>
              </w:tabs>
              <w:autoSpaceDE w:val="0"/>
              <w:autoSpaceDN w:val="0"/>
              <w:ind w:right="34" w:rightChars="0"/>
              <w:jc w:val="center"/>
              <w:rPr>
                <w:rFonts w:hint="default" w:ascii="宋体" w:hAnsi="宋体" w:eastAsia="宋体" w:cs="Times New Roman"/>
                <w:kern w:val="0"/>
                <w:sz w:val="18"/>
                <w:szCs w:val="18"/>
                <w:lang w:val="en-US" w:eastAsia="zh-CN" w:bidi="ar-SA"/>
              </w:rPr>
            </w:pPr>
            <w:r>
              <w:rPr>
                <w:rFonts w:hint="eastAsia" w:ascii="宋体" w:hAnsi="宋体"/>
                <w:kern w:val="0"/>
                <w:sz w:val="18"/>
                <w:szCs w:val="18"/>
                <w:lang w:val="en-US" w:eastAsia="zh-CN"/>
              </w:rPr>
              <w:t>4.3.3.4</w:t>
            </w:r>
          </w:p>
        </w:tc>
      </w:tr>
    </w:tbl>
    <w:p w14:paraId="10B6F1D1">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450A72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164F3063">
            <w:pPr>
              <w:adjustRightInd w:val="0"/>
              <w:snapToGrid w:val="0"/>
              <w:jc w:val="center"/>
              <w:rPr>
                <w:sz w:val="18"/>
                <w:szCs w:val="18"/>
              </w:rPr>
            </w:pPr>
            <w:r>
              <w:rPr>
                <w:bCs/>
                <w:sz w:val="18"/>
                <w:szCs w:val="18"/>
              </w:rPr>
              <w:t>序号</w:t>
            </w:r>
          </w:p>
        </w:tc>
        <w:tc>
          <w:tcPr>
            <w:tcW w:w="5849" w:type="dxa"/>
            <w:tcBorders>
              <w:top w:val="single" w:color="auto" w:sz="8" w:space="0"/>
              <w:bottom w:val="single" w:color="auto" w:sz="8" w:space="0"/>
            </w:tcBorders>
            <w:noWrap w:val="0"/>
            <w:vAlign w:val="center"/>
          </w:tcPr>
          <w:p w14:paraId="2AADA9D0">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7A9C32E6">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024CE37F">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7989C4B4">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17CEE171">
            <w:pPr>
              <w:adjustRightInd w:val="0"/>
              <w:snapToGrid w:val="0"/>
              <w:jc w:val="center"/>
              <w:rPr>
                <w:sz w:val="18"/>
                <w:szCs w:val="18"/>
              </w:rPr>
            </w:pPr>
            <w:r>
              <w:rPr>
                <w:bCs/>
                <w:sz w:val="18"/>
                <w:szCs w:val="18"/>
              </w:rPr>
              <w:t>评分标准</w:t>
            </w:r>
          </w:p>
        </w:tc>
        <w:tc>
          <w:tcPr>
            <w:tcW w:w="709" w:type="dxa"/>
            <w:tcBorders>
              <w:top w:val="single" w:color="auto" w:sz="8" w:space="0"/>
              <w:bottom w:val="single" w:color="auto" w:sz="8" w:space="0"/>
            </w:tcBorders>
            <w:noWrap w:val="0"/>
            <w:vAlign w:val="center"/>
          </w:tcPr>
          <w:p w14:paraId="51212093">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46ECFFB9">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5716DAE3">
            <w:pPr>
              <w:adjustRightInd w:val="0"/>
              <w:snapToGrid w:val="0"/>
              <w:jc w:val="center"/>
              <w:rPr>
                <w:rFonts w:ascii="宋体" w:hAnsi="宋体"/>
                <w:sz w:val="18"/>
                <w:szCs w:val="18"/>
              </w:rPr>
            </w:pPr>
            <w:r>
              <w:rPr>
                <w:rFonts w:ascii="宋体" w:hAnsi="宋体"/>
                <w:bCs/>
                <w:sz w:val="18"/>
                <w:szCs w:val="18"/>
              </w:rPr>
              <w:t>对应条款编号</w:t>
            </w:r>
          </w:p>
        </w:tc>
      </w:tr>
      <w:tr w14:paraId="127E4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34D778DE">
            <w:pPr>
              <w:jc w:val="center"/>
              <w:rPr>
                <w:rFonts w:hint="eastAsia" w:ascii="宋体" w:hAnsi="宋体" w:cs="宋体"/>
                <w:sz w:val="18"/>
                <w:szCs w:val="18"/>
              </w:rPr>
            </w:pPr>
          </w:p>
        </w:tc>
        <w:tc>
          <w:tcPr>
            <w:tcW w:w="5849" w:type="dxa"/>
            <w:tcBorders>
              <w:top w:val="single" w:color="auto" w:sz="8" w:space="0"/>
              <w:bottom w:val="single" w:color="auto" w:sz="8" w:space="0"/>
            </w:tcBorders>
            <w:noWrap w:val="0"/>
            <w:vAlign w:val="top"/>
          </w:tcPr>
          <w:p w14:paraId="4083B3FA">
            <w:pPr>
              <w:adjustRightInd w:val="0"/>
              <w:snapToGrid w:val="0"/>
              <w:ind w:firstLine="360" w:firstLineChars="200"/>
              <w:rPr>
                <w:rFonts w:hint="eastAsia" w:ascii="宋体" w:hAnsi="宋体" w:eastAsia="宋体"/>
                <w:sz w:val="18"/>
                <w:szCs w:val="18"/>
                <w:lang w:val="en-US" w:eastAsia="zh-CN"/>
              </w:rPr>
            </w:pPr>
            <w:r>
              <w:rPr>
                <w:rFonts w:hint="eastAsia" w:ascii="宋体" w:hAnsi="宋体"/>
                <w:sz w:val="18"/>
                <w:szCs w:val="18"/>
              </w:rPr>
              <w:t>3）儿童滑梯溅落区水深应为0.3m</w:t>
            </w:r>
            <w:r>
              <w:rPr>
                <w:rFonts w:hint="eastAsia" w:ascii="宋体" w:hAnsi="宋体"/>
                <w:sz w:val="18"/>
                <w:szCs w:val="18"/>
                <w:lang w:val="en-US" w:eastAsia="zh-CN"/>
              </w:rPr>
              <w:t>-</w:t>
            </w:r>
            <w:r>
              <w:rPr>
                <w:rFonts w:hint="eastAsia" w:ascii="宋体" w:hAnsi="宋体"/>
                <w:sz w:val="18"/>
                <w:szCs w:val="18"/>
              </w:rPr>
              <w:t>0.6m；</w:t>
            </w:r>
          </w:p>
          <w:p w14:paraId="772010C2">
            <w:pPr>
              <w:adjustRightInd w:val="0"/>
              <w:snapToGrid w:val="0"/>
              <w:ind w:firstLine="360" w:firstLineChars="200"/>
              <w:rPr>
                <w:rFonts w:hint="eastAsia" w:ascii="宋体" w:hAnsi="宋体"/>
                <w:sz w:val="18"/>
                <w:szCs w:val="18"/>
              </w:rPr>
            </w:pPr>
            <w:r>
              <w:rPr>
                <w:rFonts w:hint="eastAsia" w:ascii="宋体" w:hAnsi="宋体"/>
                <w:sz w:val="18"/>
                <w:szCs w:val="18"/>
              </w:rPr>
              <w:t>4）幼儿池水深应不大于0.3m，儿童池水深应不大于0.6m；</w:t>
            </w:r>
          </w:p>
          <w:p w14:paraId="37520B9B">
            <w:pPr>
              <w:adjustRightInd w:val="0"/>
              <w:snapToGrid w:val="0"/>
              <w:ind w:firstLine="360" w:firstLineChars="200"/>
              <w:rPr>
                <w:rFonts w:hint="eastAsia" w:ascii="宋体" w:hAnsi="宋体"/>
                <w:sz w:val="18"/>
                <w:szCs w:val="18"/>
              </w:rPr>
            </w:pPr>
            <w:r>
              <w:rPr>
                <w:rFonts w:hint="eastAsia" w:ascii="宋体" w:hAnsi="宋体"/>
                <w:sz w:val="18"/>
                <w:szCs w:val="18"/>
              </w:rPr>
              <w:t>5）碰碰船水池水深应不大于1.5m；</w:t>
            </w:r>
          </w:p>
          <w:p w14:paraId="5FAE5073">
            <w:pPr>
              <w:adjustRightInd w:val="0"/>
              <w:snapToGrid w:val="0"/>
              <w:rPr>
                <w:rFonts w:hint="eastAsia" w:ascii="宋体" w:hAnsi="宋体"/>
                <w:sz w:val="18"/>
                <w:szCs w:val="18"/>
                <w:lang w:val="en-US" w:eastAsia="zh-CN"/>
              </w:rPr>
            </w:pPr>
            <w:r>
              <w:rPr>
                <w:rFonts w:hint="eastAsia" w:ascii="宋体" w:hAnsi="宋体"/>
                <w:sz w:val="18"/>
                <w:szCs w:val="18"/>
              </w:rPr>
              <w:t>c）游乐池的边沿应采取防止周边雨水、污水等流入池内的措施；</w:t>
            </w:r>
          </w:p>
          <w:p w14:paraId="0BAC981A">
            <w:pPr>
              <w:adjustRightInd w:val="0"/>
              <w:snapToGrid w:val="0"/>
              <w:rPr>
                <w:rFonts w:hint="eastAsia"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val="en-US" w:eastAsia="zh-CN"/>
              </w:rPr>
              <w:t>游乐池在水面宽或不易观察到的区域、造波池在水深超过1.5m的区域的两侧应设立高位监护哨；</w:t>
            </w:r>
          </w:p>
          <w:p w14:paraId="31E9EFA3">
            <w:pPr>
              <w:adjustRightInd w:val="0"/>
              <w:snapToGrid w:val="0"/>
              <w:rPr>
                <w:rFonts w:hint="eastAsia" w:ascii="宋体" w:hAnsi="宋体"/>
                <w:sz w:val="18"/>
                <w:szCs w:val="18"/>
                <w:lang w:val="en-US" w:eastAsia="zh-CN"/>
              </w:rPr>
            </w:pPr>
            <w:r>
              <w:rPr>
                <w:rFonts w:hint="eastAsia" w:ascii="宋体" w:hAnsi="宋体"/>
                <w:sz w:val="18"/>
                <w:szCs w:val="18"/>
                <w:lang w:val="en-US" w:eastAsia="zh-CN"/>
              </w:rPr>
              <w:t>e</w:t>
            </w:r>
            <w:r>
              <w:rPr>
                <w:rFonts w:hint="eastAsia" w:ascii="宋体" w:hAnsi="宋体"/>
                <w:sz w:val="18"/>
                <w:szCs w:val="18"/>
              </w:rPr>
              <w:t>）</w:t>
            </w:r>
            <w:r>
              <w:rPr>
                <w:rFonts w:hint="eastAsia" w:ascii="宋体" w:hAnsi="宋体"/>
                <w:sz w:val="18"/>
                <w:szCs w:val="18"/>
                <w:lang w:val="en-US" w:eastAsia="zh-CN"/>
              </w:rPr>
              <w:t>单元之间网（桥）应牢固可靠，吊桥摆幅不应过大，两侧护栏应安全可靠；</w:t>
            </w:r>
          </w:p>
          <w:p w14:paraId="63998357">
            <w:pPr>
              <w:adjustRightInd w:val="0"/>
              <w:snapToGrid w:val="0"/>
              <w:rPr>
                <w:rFonts w:hint="eastAsia" w:ascii="宋体" w:hAnsi="宋体"/>
                <w:sz w:val="18"/>
                <w:szCs w:val="18"/>
                <w:lang w:val="en-US" w:eastAsia="zh-CN"/>
              </w:rPr>
            </w:pPr>
            <w:r>
              <w:rPr>
                <w:rFonts w:hint="eastAsia" w:ascii="宋体" w:hAnsi="宋体"/>
                <w:sz w:val="18"/>
                <w:szCs w:val="18"/>
                <w:lang w:val="en-US" w:eastAsia="zh-CN"/>
              </w:rPr>
              <w:t>f</w:t>
            </w:r>
            <w:r>
              <w:rPr>
                <w:rFonts w:hint="eastAsia" w:ascii="宋体" w:hAnsi="宋体"/>
                <w:sz w:val="18"/>
                <w:szCs w:val="18"/>
              </w:rPr>
              <w:t>）</w:t>
            </w:r>
            <w:r>
              <w:rPr>
                <w:rFonts w:hint="eastAsia" w:ascii="宋体" w:hAnsi="宋体"/>
                <w:sz w:val="18"/>
                <w:szCs w:val="18"/>
                <w:lang w:val="en-US" w:eastAsia="zh-CN"/>
              </w:rPr>
              <w:t>应在造波池周边的高位监护哨明显处设置凸起手动复位式紧急事故停止按钮，造波池的出波口应设置安全栅栏，在深水区域长度方向至少3m的距离应设置安全隔离网或浮动警戒线等装置并设置安全警示标志；</w:t>
            </w:r>
          </w:p>
          <w:p w14:paraId="5D9B8841">
            <w:pPr>
              <w:adjustRightInd w:val="0"/>
              <w:snapToGrid w:val="0"/>
              <w:rPr>
                <w:rFonts w:hint="eastAsia" w:ascii="宋体" w:hAnsi="宋体"/>
                <w:sz w:val="18"/>
                <w:szCs w:val="18"/>
                <w:lang w:val="en-US" w:eastAsia="zh-CN"/>
              </w:rPr>
            </w:pPr>
            <w:r>
              <w:rPr>
                <w:rFonts w:hint="eastAsia" w:ascii="宋体" w:hAnsi="宋体"/>
                <w:sz w:val="18"/>
                <w:szCs w:val="18"/>
                <w:lang w:val="en-US" w:eastAsia="zh-CN"/>
              </w:rPr>
              <w:t>g）水循环系统的回水口至少应设置两套独立、固定、非专业人员不能移动的安全格栅，且避免设置在乘员活动水域。若因无法避让而设置在乘员可触及的池壁时,安全格栅应设置成球冠形状,且在安全格栅上部水线以上位置设置“危险、切勿靠近”等安全警示标志；</w:t>
            </w:r>
          </w:p>
          <w:p w14:paraId="623B7D6C">
            <w:pPr>
              <w:adjustRightInd w:val="0"/>
              <w:snapToGrid w:val="0"/>
              <w:rPr>
                <w:rFonts w:hint="eastAsia" w:ascii="宋体" w:hAnsi="宋体"/>
                <w:sz w:val="18"/>
                <w:szCs w:val="18"/>
                <w:lang w:val="en-US" w:eastAsia="zh-CN"/>
              </w:rPr>
            </w:pPr>
            <w:r>
              <w:rPr>
                <w:rFonts w:hint="eastAsia" w:ascii="宋体" w:hAnsi="宋体"/>
                <w:sz w:val="18"/>
                <w:szCs w:val="18"/>
                <w:lang w:val="en-US" w:eastAsia="zh-CN"/>
              </w:rPr>
              <w:t>h</w:t>
            </w:r>
            <w:r>
              <w:rPr>
                <w:rFonts w:hint="eastAsia" w:ascii="宋体" w:hAnsi="宋体"/>
                <w:sz w:val="18"/>
                <w:szCs w:val="18"/>
              </w:rPr>
              <w:t>）</w:t>
            </w:r>
            <w:r>
              <w:rPr>
                <w:rFonts w:hint="eastAsia" w:ascii="宋体" w:hAnsi="宋体"/>
                <w:sz w:val="18"/>
                <w:szCs w:val="18"/>
                <w:lang w:val="en-US" w:eastAsia="zh-CN"/>
              </w:rPr>
              <w:t>水上游乐区域应配备足够的救生人员和救生圈、救生棒、安全绳、担架等应急救援工具以及通讯联络器材或设备；</w:t>
            </w:r>
          </w:p>
          <w:p w14:paraId="49B46204">
            <w:pPr>
              <w:adjustRightInd w:val="0"/>
              <w:snapToGrid w:val="0"/>
              <w:rPr>
                <w:rFonts w:hint="eastAsia" w:ascii="宋体" w:hAnsi="宋体"/>
                <w:sz w:val="18"/>
                <w:szCs w:val="18"/>
                <w:lang w:val="en-US" w:eastAsia="zh-CN"/>
              </w:rPr>
            </w:pPr>
            <w:r>
              <w:rPr>
                <w:rFonts w:hint="eastAsia" w:ascii="宋体" w:hAnsi="宋体"/>
                <w:sz w:val="18"/>
                <w:szCs w:val="18"/>
                <w:lang w:val="en-US" w:eastAsia="zh-CN"/>
              </w:rPr>
              <w:t>i</w:t>
            </w:r>
            <w:r>
              <w:rPr>
                <w:rFonts w:hint="eastAsia" w:ascii="宋体" w:hAnsi="宋体"/>
                <w:sz w:val="18"/>
                <w:szCs w:val="18"/>
              </w:rPr>
              <w:t>）</w:t>
            </w:r>
            <w:r>
              <w:rPr>
                <w:rFonts w:hint="eastAsia" w:ascii="宋体" w:hAnsi="宋体"/>
                <w:sz w:val="18"/>
                <w:szCs w:val="18"/>
                <w:lang w:val="en-US" w:eastAsia="zh-CN"/>
              </w:rPr>
              <w:t>皮筏提升机与出发平台、溅落区应有隔离措施，出发平台和溅落区的控制箱应采用安全电压，并设置急停开关；</w:t>
            </w:r>
          </w:p>
          <w:p w14:paraId="0D3AA188">
            <w:pPr>
              <w:adjustRightInd w:val="0"/>
              <w:snapToGrid w:val="0"/>
              <w:rPr>
                <w:rFonts w:hint="eastAsia" w:ascii="宋体" w:hAnsi="宋体"/>
                <w:sz w:val="18"/>
                <w:szCs w:val="18"/>
                <w:lang w:val="en-US" w:eastAsia="zh-CN"/>
              </w:rPr>
            </w:pPr>
            <w:r>
              <w:rPr>
                <w:rFonts w:hint="eastAsia" w:ascii="宋体" w:hAnsi="宋体"/>
                <w:sz w:val="18"/>
                <w:szCs w:val="18"/>
                <w:lang w:val="en-US" w:eastAsia="zh-CN"/>
              </w:rPr>
              <w:t>j</w:t>
            </w:r>
            <w:r>
              <w:rPr>
                <w:rFonts w:hint="eastAsia" w:ascii="宋体" w:hAnsi="宋体"/>
                <w:sz w:val="18"/>
                <w:szCs w:val="18"/>
              </w:rPr>
              <w:t>）</w:t>
            </w:r>
            <w:r>
              <w:rPr>
                <w:rFonts w:hint="eastAsia" w:ascii="宋体" w:hAnsi="宋体"/>
                <w:sz w:val="18"/>
                <w:szCs w:val="18"/>
                <w:lang w:val="en-US" w:eastAsia="zh-CN"/>
              </w:rPr>
              <w:t>水上游乐区域入口处应设置淋浴消毒装置和浸脚消毒池，消毒池的池长应不小于2m、深0.2m。</w:t>
            </w:r>
          </w:p>
          <w:p w14:paraId="1B7B0890">
            <w:pPr>
              <w:adjustRightInd w:val="0"/>
              <w:snapToGrid w:val="0"/>
              <w:rPr>
                <w:rFonts w:hint="eastAsia" w:ascii="宋体" w:hAnsi="宋体"/>
                <w:sz w:val="18"/>
                <w:szCs w:val="18"/>
                <w:lang w:val="en-US" w:eastAsia="zh-CN"/>
              </w:rPr>
            </w:pPr>
            <w:r>
              <w:rPr>
                <w:rFonts w:hint="eastAsia" w:ascii="宋体" w:hAnsi="宋体"/>
                <w:sz w:val="18"/>
                <w:szCs w:val="18"/>
                <w:lang w:val="en-US" w:eastAsia="zh-CN"/>
              </w:rPr>
              <w:t>k</w:t>
            </w:r>
            <w:r>
              <w:rPr>
                <w:rFonts w:hint="eastAsia" w:ascii="宋体" w:hAnsi="宋体"/>
                <w:sz w:val="18"/>
                <w:szCs w:val="18"/>
              </w:rPr>
              <w:t>）垂钓场所应与水上游乐设施、游泳场所有明确划分，并注明注意事项</w:t>
            </w:r>
            <w:r>
              <w:rPr>
                <w:rFonts w:hint="eastAsia" w:ascii="宋体" w:hAnsi="宋体"/>
                <w:sz w:val="18"/>
                <w:szCs w:val="18"/>
                <w:lang w:eastAsia="zh-CN"/>
              </w:rPr>
              <w:t>，</w:t>
            </w:r>
            <w:r>
              <w:rPr>
                <w:rFonts w:hint="eastAsia" w:ascii="宋体" w:hAnsi="宋体"/>
                <w:sz w:val="18"/>
                <w:szCs w:val="18"/>
              </w:rPr>
              <w:t>周边配备救生</w:t>
            </w:r>
            <w:r>
              <w:rPr>
                <w:rFonts w:hint="eastAsia" w:ascii="宋体" w:hAnsi="宋体"/>
                <w:sz w:val="18"/>
                <w:szCs w:val="18"/>
                <w:lang w:val="en-US" w:eastAsia="zh-CN"/>
              </w:rPr>
              <w:t>器材</w:t>
            </w:r>
            <w:r>
              <w:rPr>
                <w:rFonts w:hint="eastAsia" w:ascii="宋体" w:hAnsi="宋体"/>
                <w:sz w:val="18"/>
                <w:szCs w:val="18"/>
              </w:rPr>
              <w:t>。</w:t>
            </w:r>
          </w:p>
        </w:tc>
        <w:tc>
          <w:tcPr>
            <w:tcW w:w="709" w:type="dxa"/>
            <w:tcBorders>
              <w:top w:val="single" w:color="auto" w:sz="8" w:space="0"/>
              <w:bottom w:val="single" w:color="auto" w:sz="8" w:space="0"/>
            </w:tcBorders>
            <w:noWrap w:val="0"/>
            <w:vAlign w:val="center"/>
          </w:tcPr>
          <w:p w14:paraId="06A23069">
            <w:pPr>
              <w:adjustRightInd w:val="0"/>
              <w:snapToGrid w:val="0"/>
              <w:jc w:val="center"/>
              <w:rPr>
                <w:bCs/>
                <w:sz w:val="18"/>
                <w:szCs w:val="18"/>
              </w:rPr>
            </w:pPr>
          </w:p>
        </w:tc>
        <w:tc>
          <w:tcPr>
            <w:tcW w:w="709" w:type="dxa"/>
            <w:tcBorders>
              <w:top w:val="single" w:color="auto" w:sz="8" w:space="0"/>
              <w:bottom w:val="single" w:color="auto" w:sz="8" w:space="0"/>
            </w:tcBorders>
            <w:noWrap w:val="0"/>
            <w:vAlign w:val="center"/>
          </w:tcPr>
          <w:p w14:paraId="67039AFF">
            <w:pPr>
              <w:adjustRightInd w:val="0"/>
              <w:snapToGrid w:val="0"/>
              <w:jc w:val="center"/>
              <w:rPr>
                <w:rFonts w:hint="eastAsia"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5FCE6336">
            <w:pPr>
              <w:ind w:firstLine="180" w:firstLineChars="100"/>
              <w:rPr>
                <w:rFonts w:hint="eastAsia" w:ascii="宋体" w:hAnsi="宋体" w:eastAsia="宋体" w:cs="宋体"/>
                <w:kern w:val="2"/>
                <w:sz w:val="18"/>
                <w:szCs w:val="18"/>
                <w:lang w:val="en-US" w:eastAsia="zh-CN" w:bidi="ar-SA"/>
              </w:rPr>
            </w:pPr>
          </w:p>
        </w:tc>
        <w:tc>
          <w:tcPr>
            <w:tcW w:w="2693" w:type="dxa"/>
            <w:tcBorders>
              <w:top w:val="single" w:color="auto" w:sz="8" w:space="0"/>
              <w:bottom w:val="single" w:color="auto" w:sz="8" w:space="0"/>
            </w:tcBorders>
            <w:noWrap w:val="0"/>
            <w:vAlign w:val="center"/>
          </w:tcPr>
          <w:p w14:paraId="177F3136">
            <w:pPr>
              <w:adjustRightInd w:val="0"/>
              <w:snapToGrid w:val="0"/>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5F98E43F">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noWrap w:val="0"/>
            <w:vAlign w:val="center"/>
          </w:tcPr>
          <w:p w14:paraId="3B383476">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1B6ED030">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p>
        </w:tc>
      </w:tr>
      <w:tr w14:paraId="4D595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1D59C72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3.</w:t>
            </w:r>
            <w:r>
              <w:rPr>
                <w:rFonts w:hint="eastAsia" w:ascii="宋体" w:hAnsi="宋体"/>
                <w:bCs/>
                <w:sz w:val="18"/>
                <w:szCs w:val="18"/>
                <w:lang w:val="en-US" w:eastAsia="zh-CN"/>
              </w:rPr>
              <w:t>7</w:t>
            </w:r>
          </w:p>
        </w:tc>
        <w:tc>
          <w:tcPr>
            <w:tcW w:w="5849" w:type="dxa"/>
            <w:tcBorders>
              <w:top w:val="single" w:color="auto" w:sz="8" w:space="0"/>
              <w:bottom w:val="single" w:color="auto" w:sz="8" w:space="0"/>
            </w:tcBorders>
            <w:noWrap w:val="0"/>
            <w:vAlign w:val="top"/>
          </w:tcPr>
          <w:p w14:paraId="04EABB91">
            <w:pPr>
              <w:adjustRightInd w:val="0"/>
              <w:snapToGrid w:val="0"/>
              <w:rPr>
                <w:rFonts w:hint="eastAsia" w:ascii="宋体" w:hAnsi="宋体"/>
                <w:sz w:val="18"/>
                <w:szCs w:val="18"/>
              </w:rPr>
            </w:pPr>
            <w:r>
              <w:rPr>
                <w:rFonts w:hint="eastAsia" w:ascii="宋体" w:hAnsi="宋体"/>
                <w:sz w:val="18"/>
                <w:szCs w:val="18"/>
              </w:rPr>
              <w:t>滑雪设备设施应下列要求：</w:t>
            </w:r>
          </w:p>
          <w:p w14:paraId="637EE2C8">
            <w:pPr>
              <w:adjustRightInd w:val="0"/>
              <w:snapToGrid w:val="0"/>
              <w:rPr>
                <w:rFonts w:hint="eastAsia" w:ascii="宋体" w:hAnsi="宋体"/>
                <w:sz w:val="18"/>
                <w:szCs w:val="18"/>
              </w:rPr>
            </w:pPr>
            <w:r>
              <w:rPr>
                <w:rFonts w:hint="eastAsia" w:ascii="宋体" w:hAnsi="宋体"/>
                <w:sz w:val="18"/>
                <w:szCs w:val="18"/>
              </w:rPr>
              <w:t>a）现场</w:t>
            </w:r>
            <w:r>
              <w:rPr>
                <w:rFonts w:ascii="宋体" w:hAnsi="宋体"/>
                <w:sz w:val="18"/>
                <w:szCs w:val="18"/>
              </w:rPr>
              <w:t>配备足够的救护人员，</w:t>
            </w:r>
            <w:r>
              <w:rPr>
                <w:rFonts w:hint="eastAsia" w:ascii="宋体" w:hAnsi="宋体"/>
                <w:sz w:val="18"/>
                <w:szCs w:val="18"/>
              </w:rPr>
              <w:t>应有不少于5名的滑雪技术指导人员；</w:t>
            </w:r>
          </w:p>
          <w:p w14:paraId="6F8579CF">
            <w:pPr>
              <w:adjustRightInd w:val="0"/>
              <w:snapToGrid w:val="0"/>
              <w:rPr>
                <w:rFonts w:hint="eastAsia" w:ascii="宋体" w:hAnsi="宋体"/>
                <w:sz w:val="18"/>
                <w:szCs w:val="18"/>
              </w:rPr>
            </w:pPr>
            <w:r>
              <w:rPr>
                <w:rFonts w:hint="eastAsia" w:ascii="宋体" w:hAnsi="宋体"/>
                <w:sz w:val="18"/>
                <w:szCs w:val="18"/>
              </w:rPr>
              <w:t>b）现场</w:t>
            </w:r>
            <w:r>
              <w:rPr>
                <w:rFonts w:ascii="宋体" w:hAnsi="宋体"/>
                <w:sz w:val="18"/>
                <w:szCs w:val="18"/>
              </w:rPr>
              <w:t>设立醒目的滑雪者须知</w:t>
            </w:r>
            <w:r>
              <w:rPr>
                <w:rFonts w:hint="eastAsia" w:ascii="宋体" w:hAnsi="宋体"/>
                <w:sz w:val="18"/>
                <w:szCs w:val="18"/>
              </w:rPr>
              <w:t>、滑雪者行为与安全守则，对涉及安全的事项和特殊要求作出真实说明和明确警示；</w:t>
            </w:r>
          </w:p>
          <w:p w14:paraId="61706EBD">
            <w:pPr>
              <w:adjustRightInd w:val="0"/>
              <w:snapToGrid w:val="0"/>
              <w:rPr>
                <w:rFonts w:hint="eastAsia" w:ascii="宋体" w:hAnsi="宋体"/>
                <w:sz w:val="18"/>
                <w:szCs w:val="18"/>
                <w:lang w:val="en-US" w:eastAsia="zh-CN"/>
              </w:rPr>
            </w:pPr>
            <w:r>
              <w:rPr>
                <w:rFonts w:hint="eastAsia" w:ascii="宋体" w:hAnsi="宋体"/>
                <w:sz w:val="18"/>
                <w:szCs w:val="18"/>
              </w:rPr>
              <w:t>c）</w:t>
            </w:r>
            <w:r>
              <w:rPr>
                <w:rFonts w:ascii="宋体" w:hAnsi="宋体"/>
                <w:sz w:val="18"/>
                <w:szCs w:val="18"/>
              </w:rPr>
              <w:t>设有覆盖全部滑雪</w:t>
            </w:r>
            <w:r>
              <w:rPr>
                <w:rFonts w:hint="eastAsia" w:ascii="宋体" w:hAnsi="宋体"/>
                <w:sz w:val="18"/>
                <w:szCs w:val="18"/>
                <w:lang w:val="en-US" w:eastAsia="zh-CN"/>
              </w:rPr>
              <w:t>场所</w:t>
            </w:r>
            <w:r>
              <w:rPr>
                <w:rFonts w:ascii="宋体" w:hAnsi="宋体"/>
                <w:sz w:val="18"/>
                <w:szCs w:val="18"/>
              </w:rPr>
              <w:t>的</w:t>
            </w:r>
            <w:r>
              <w:rPr>
                <w:rFonts w:hint="eastAsia" w:ascii="宋体" w:hAnsi="宋体"/>
                <w:sz w:val="18"/>
                <w:szCs w:val="18"/>
                <w:lang w:val="en-US" w:eastAsia="zh-CN"/>
              </w:rPr>
              <w:t>中英文</w:t>
            </w:r>
            <w:r>
              <w:rPr>
                <w:rFonts w:ascii="宋体" w:hAnsi="宋体"/>
                <w:sz w:val="18"/>
                <w:szCs w:val="18"/>
              </w:rPr>
              <w:t>广播</w:t>
            </w:r>
            <w:r>
              <w:rPr>
                <w:rFonts w:hint="eastAsia" w:ascii="宋体" w:hAnsi="宋体"/>
                <w:sz w:val="18"/>
                <w:szCs w:val="18"/>
                <w:lang w:val="en-US" w:eastAsia="zh-CN"/>
              </w:rPr>
              <w:t>系统</w:t>
            </w:r>
            <w:r>
              <w:rPr>
                <w:rFonts w:hint="eastAsia" w:ascii="宋体" w:hAnsi="宋体"/>
                <w:sz w:val="18"/>
                <w:szCs w:val="18"/>
              </w:rPr>
              <w:t>；</w:t>
            </w:r>
          </w:p>
        </w:tc>
        <w:tc>
          <w:tcPr>
            <w:tcW w:w="709" w:type="dxa"/>
            <w:tcBorders>
              <w:top w:val="single" w:color="auto" w:sz="8" w:space="0"/>
              <w:bottom w:val="single" w:color="auto" w:sz="8" w:space="0"/>
            </w:tcBorders>
            <w:noWrap w:val="0"/>
            <w:vAlign w:val="center"/>
          </w:tcPr>
          <w:p w14:paraId="0C02C641">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618AE115">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709" w:type="dxa"/>
            <w:tcBorders>
              <w:top w:val="single" w:color="auto" w:sz="8" w:space="0"/>
              <w:bottom w:val="single" w:color="auto" w:sz="8" w:space="0"/>
            </w:tcBorders>
            <w:noWrap w:val="0"/>
            <w:vAlign w:val="center"/>
          </w:tcPr>
          <w:p w14:paraId="3578A657">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2693" w:type="dxa"/>
            <w:tcBorders>
              <w:top w:val="single" w:color="auto" w:sz="8" w:space="0"/>
              <w:bottom w:val="single" w:color="auto" w:sz="8" w:space="0"/>
            </w:tcBorders>
            <w:noWrap w:val="0"/>
            <w:vAlign w:val="center"/>
          </w:tcPr>
          <w:p w14:paraId="731E60DC">
            <w:pPr>
              <w:adjustRightInd w:val="0"/>
              <w:snapToGrid w:val="0"/>
              <w:rPr>
                <w:rFonts w:ascii="宋体" w:hAnsi="宋体"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bottom w:val="single" w:color="auto" w:sz="8" w:space="0"/>
            </w:tcBorders>
            <w:noWrap w:val="0"/>
            <w:vAlign w:val="center"/>
          </w:tcPr>
          <w:p w14:paraId="5FF79D45">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noWrap w:val="0"/>
            <w:vAlign w:val="center"/>
          </w:tcPr>
          <w:p w14:paraId="5A3A8794">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753CCAB3">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kern w:val="0"/>
                <w:sz w:val="18"/>
                <w:szCs w:val="18"/>
                <w:lang w:eastAsia="zh-CN"/>
              </w:rPr>
              <w:t>4.3</w:t>
            </w:r>
            <w:r>
              <w:rPr>
                <w:rFonts w:hint="eastAsia" w:ascii="宋体" w:hAnsi="宋体"/>
                <w:kern w:val="0"/>
                <w:sz w:val="18"/>
                <w:szCs w:val="18"/>
              </w:rPr>
              <w:t>.</w:t>
            </w:r>
            <w:r>
              <w:rPr>
                <w:rFonts w:hint="eastAsia" w:ascii="宋体" w:hAnsi="宋体"/>
                <w:kern w:val="0"/>
                <w:sz w:val="18"/>
                <w:szCs w:val="18"/>
                <w:lang w:val="en-US" w:eastAsia="zh-CN"/>
              </w:rPr>
              <w:t>4</w:t>
            </w:r>
          </w:p>
        </w:tc>
      </w:tr>
    </w:tbl>
    <w:p w14:paraId="546ACD7F">
      <w:pPr>
        <w:pStyle w:val="168"/>
        <w:widowControl/>
        <w:numPr>
          <w:ilvl w:val="0"/>
          <w:numId w:val="0"/>
        </w:numPr>
        <w:spacing w:before="156" w:after="156"/>
        <w:ind w:left="567" w:hanging="567"/>
        <w:rPr>
          <w:rFonts w:hint="eastAsia"/>
        </w:rPr>
      </w:pPr>
    </w:p>
    <w:p w14:paraId="61578ECE">
      <w:pPr>
        <w:pStyle w:val="168"/>
        <w:widowControl/>
        <w:numPr>
          <w:ilvl w:val="0"/>
          <w:numId w:val="0"/>
        </w:numPr>
        <w:spacing w:before="156" w:after="156"/>
        <w:ind w:left="567" w:hanging="567"/>
      </w:pP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39F93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11ED764C">
            <w:pPr>
              <w:adjustRightInd w:val="0"/>
              <w:snapToGrid w:val="0"/>
              <w:jc w:val="center"/>
              <w:rPr>
                <w:rFonts w:ascii="宋体" w:hAnsi="宋体"/>
                <w:sz w:val="18"/>
                <w:szCs w:val="18"/>
              </w:rPr>
            </w:pPr>
            <w:r>
              <w:rPr>
                <w:rFonts w:ascii="宋体" w:hAnsi="宋体"/>
                <w:bCs/>
                <w:sz w:val="18"/>
                <w:szCs w:val="18"/>
              </w:rPr>
              <w:t>序号</w:t>
            </w:r>
          </w:p>
        </w:tc>
        <w:tc>
          <w:tcPr>
            <w:tcW w:w="5849" w:type="dxa"/>
            <w:tcBorders>
              <w:top w:val="single" w:color="auto" w:sz="8" w:space="0"/>
              <w:bottom w:val="single" w:color="auto" w:sz="8" w:space="0"/>
            </w:tcBorders>
            <w:noWrap w:val="0"/>
            <w:vAlign w:val="center"/>
          </w:tcPr>
          <w:p w14:paraId="6CAF0246">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0CDAA55E">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6FCAEC66">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3EA6403D">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4F0CE97E">
            <w:pPr>
              <w:adjustRightInd w:val="0"/>
              <w:snapToGrid w:val="0"/>
              <w:jc w:val="center"/>
              <w:rPr>
                <w:rFonts w:ascii="宋体" w:hAnsi="宋体"/>
                <w:sz w:val="18"/>
                <w:szCs w:val="18"/>
              </w:rPr>
            </w:pPr>
            <w:r>
              <w:rPr>
                <w:rFonts w:ascii="宋体" w:hAnsi="宋体"/>
                <w:bCs/>
                <w:sz w:val="18"/>
                <w:szCs w:val="18"/>
              </w:rPr>
              <w:t>评分标准</w:t>
            </w:r>
          </w:p>
        </w:tc>
        <w:tc>
          <w:tcPr>
            <w:tcW w:w="709" w:type="dxa"/>
            <w:tcBorders>
              <w:top w:val="single" w:color="auto" w:sz="8" w:space="0"/>
              <w:bottom w:val="single" w:color="auto" w:sz="8" w:space="0"/>
            </w:tcBorders>
            <w:noWrap w:val="0"/>
            <w:vAlign w:val="center"/>
          </w:tcPr>
          <w:p w14:paraId="72721687">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1C5D52DC">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5AA0BC54">
            <w:pPr>
              <w:adjustRightInd w:val="0"/>
              <w:snapToGrid w:val="0"/>
              <w:jc w:val="center"/>
              <w:rPr>
                <w:rFonts w:ascii="宋体" w:hAnsi="宋体"/>
                <w:sz w:val="18"/>
                <w:szCs w:val="18"/>
              </w:rPr>
            </w:pPr>
            <w:r>
              <w:rPr>
                <w:rFonts w:ascii="宋体" w:hAnsi="宋体"/>
                <w:bCs/>
                <w:sz w:val="18"/>
                <w:szCs w:val="18"/>
              </w:rPr>
              <w:t>对应条款编号</w:t>
            </w:r>
          </w:p>
        </w:tc>
      </w:tr>
      <w:tr w14:paraId="344F54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529C1B98">
            <w:pPr>
              <w:adjustRightInd w:val="0"/>
              <w:snapToGrid w:val="0"/>
              <w:jc w:val="center"/>
              <w:rPr>
                <w:rFonts w:hint="eastAsia" w:ascii="宋体" w:hAnsi="宋体" w:eastAsia="宋体"/>
                <w:bCs/>
                <w:sz w:val="18"/>
                <w:szCs w:val="18"/>
                <w:lang w:eastAsia="zh-CN"/>
              </w:rPr>
            </w:pPr>
          </w:p>
        </w:tc>
        <w:tc>
          <w:tcPr>
            <w:tcW w:w="5849" w:type="dxa"/>
            <w:tcBorders>
              <w:top w:val="single" w:color="auto" w:sz="8" w:space="0"/>
              <w:bottom w:val="single" w:color="auto" w:sz="8" w:space="0"/>
            </w:tcBorders>
            <w:noWrap w:val="0"/>
            <w:vAlign w:val="top"/>
          </w:tcPr>
          <w:p w14:paraId="3C6BFB2D">
            <w:pPr>
              <w:adjustRightInd w:val="0"/>
              <w:snapToGrid w:val="0"/>
              <w:rPr>
                <w:rFonts w:hint="eastAsia" w:ascii="宋体" w:hAnsi="宋体"/>
                <w:sz w:val="18"/>
                <w:szCs w:val="18"/>
              </w:rPr>
            </w:pPr>
            <w:r>
              <w:rPr>
                <w:rFonts w:hint="eastAsia" w:ascii="宋体" w:hAnsi="宋体"/>
                <w:sz w:val="18"/>
                <w:szCs w:val="18"/>
              </w:rPr>
              <w:t>d）雪层压实之后的厚度应不小于 30cm，雪面上不得有裸露的土石等杂物，雪层表面不得形成冰状；</w:t>
            </w:r>
          </w:p>
          <w:p w14:paraId="18116250">
            <w:pPr>
              <w:adjustRightInd w:val="0"/>
              <w:snapToGrid w:val="0"/>
              <w:rPr>
                <w:rFonts w:hint="eastAsia" w:ascii="宋体" w:hAnsi="宋体"/>
                <w:sz w:val="18"/>
                <w:szCs w:val="18"/>
              </w:rPr>
            </w:pPr>
            <w:r>
              <w:rPr>
                <w:rFonts w:hint="eastAsia" w:ascii="宋体" w:hAnsi="宋体"/>
                <w:sz w:val="18"/>
                <w:szCs w:val="18"/>
              </w:rPr>
              <w:t>e）滑雪场所提供的设施、设备器材应取得产品质量检验合格证明；</w:t>
            </w:r>
          </w:p>
          <w:p w14:paraId="6E3F8154">
            <w:pPr>
              <w:adjustRightInd w:val="0"/>
              <w:snapToGrid w:val="0"/>
              <w:rPr>
                <w:rFonts w:hint="eastAsia" w:ascii="宋体" w:hAnsi="宋体"/>
                <w:sz w:val="18"/>
                <w:szCs w:val="18"/>
              </w:rPr>
            </w:pPr>
            <w:r>
              <w:rPr>
                <w:rFonts w:hint="eastAsia" w:ascii="宋体" w:hAnsi="宋体"/>
                <w:sz w:val="18"/>
                <w:szCs w:val="18"/>
              </w:rPr>
              <w:t>f）滑雪道</w:t>
            </w:r>
            <w:r>
              <w:rPr>
                <w:rFonts w:ascii="宋体" w:hAnsi="宋体"/>
                <w:sz w:val="18"/>
                <w:szCs w:val="18"/>
              </w:rPr>
              <w:t>终点</w:t>
            </w:r>
            <w:r>
              <w:rPr>
                <w:rFonts w:hint="eastAsia" w:ascii="宋体" w:hAnsi="宋体"/>
                <w:sz w:val="18"/>
                <w:szCs w:val="18"/>
              </w:rPr>
              <w:t>停止区末端应加装安全防护措施；</w:t>
            </w:r>
          </w:p>
          <w:p w14:paraId="3E1EACBA">
            <w:pPr>
              <w:adjustRightInd w:val="0"/>
              <w:snapToGrid w:val="0"/>
              <w:rPr>
                <w:rFonts w:hint="eastAsia" w:ascii="宋体" w:hAnsi="宋体"/>
                <w:sz w:val="18"/>
                <w:szCs w:val="18"/>
              </w:rPr>
            </w:pPr>
            <w:r>
              <w:rPr>
                <w:rFonts w:hint="eastAsia" w:ascii="宋体" w:hAnsi="宋体"/>
                <w:sz w:val="18"/>
                <w:szCs w:val="18"/>
              </w:rPr>
              <w:t>g）在滑雪道的危险地段设有安全网、防撞垫等安全防护设施；安全网和防撞垫露出雪面的高度应不低于1.5 m；</w:t>
            </w:r>
          </w:p>
          <w:p w14:paraId="07302232">
            <w:pPr>
              <w:adjustRightInd w:val="0"/>
              <w:snapToGrid w:val="0"/>
              <w:rPr>
                <w:rFonts w:hint="eastAsia" w:ascii="宋体" w:hAnsi="宋体"/>
                <w:sz w:val="18"/>
                <w:szCs w:val="18"/>
              </w:rPr>
            </w:pPr>
            <w:r>
              <w:rPr>
                <w:rFonts w:hint="eastAsia" w:ascii="宋体" w:hAnsi="宋体"/>
                <w:sz w:val="18"/>
                <w:szCs w:val="18"/>
              </w:rPr>
              <w:t>h）对靠近滑雪道周围的设施或障碍物，须用弹性软体物裹围，并用安全网进行隔离；</w:t>
            </w:r>
          </w:p>
          <w:p w14:paraId="7DBFEF7A">
            <w:pPr>
              <w:adjustRightInd w:val="0"/>
              <w:snapToGrid w:val="0"/>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）设有</w:t>
            </w:r>
            <w:r>
              <w:rPr>
                <w:rFonts w:ascii="宋体" w:hAnsi="宋体"/>
                <w:sz w:val="18"/>
                <w:szCs w:val="18"/>
              </w:rPr>
              <w:t>急救室</w:t>
            </w:r>
            <w:r>
              <w:rPr>
                <w:rFonts w:hint="eastAsia" w:ascii="宋体" w:hAnsi="宋体"/>
                <w:sz w:val="18"/>
                <w:szCs w:val="18"/>
              </w:rPr>
              <w:t>，配备专用急救器材；</w:t>
            </w:r>
            <w:r>
              <w:rPr>
                <w:rFonts w:ascii="宋体" w:hAnsi="宋体"/>
                <w:sz w:val="18"/>
                <w:szCs w:val="18"/>
              </w:rPr>
              <w:t>各种急救药品和救护器材要摆放在便于取用的位置</w:t>
            </w:r>
            <w:r>
              <w:rPr>
                <w:rFonts w:hint="eastAsia" w:ascii="宋体" w:hAnsi="宋体"/>
                <w:sz w:val="18"/>
                <w:szCs w:val="18"/>
              </w:rPr>
              <w:t>；</w:t>
            </w:r>
          </w:p>
          <w:p w14:paraId="533424E6">
            <w:pPr>
              <w:adjustRightInd w:val="0"/>
              <w:snapToGrid w:val="0"/>
              <w:rPr>
                <w:rFonts w:hint="eastAsia" w:ascii="宋体" w:hAnsi="宋体"/>
                <w:sz w:val="18"/>
                <w:szCs w:val="18"/>
              </w:rPr>
            </w:pPr>
            <w:r>
              <w:rPr>
                <w:rFonts w:hint="eastAsia" w:ascii="宋体" w:hAnsi="宋体"/>
                <w:sz w:val="18"/>
                <w:szCs w:val="18"/>
              </w:rPr>
              <w:t>j）索道、魔毯等的运行应配备专人值守</w:t>
            </w:r>
            <w:r>
              <w:rPr>
                <w:rFonts w:hint="eastAsia" w:ascii="宋体" w:hAnsi="宋体"/>
                <w:sz w:val="18"/>
                <w:szCs w:val="18"/>
                <w:lang w:eastAsia="zh-CN"/>
              </w:rPr>
              <w:t>，上、下客处</w:t>
            </w:r>
            <w:r>
              <w:rPr>
                <w:rFonts w:hint="eastAsia" w:ascii="宋体" w:hAnsi="宋体"/>
                <w:sz w:val="18"/>
                <w:szCs w:val="18"/>
                <w:lang w:val="en-US" w:eastAsia="zh-CN"/>
              </w:rPr>
              <w:t>应</w:t>
            </w:r>
            <w:r>
              <w:rPr>
                <w:rFonts w:hint="eastAsia" w:ascii="宋体" w:hAnsi="宋体"/>
                <w:sz w:val="18"/>
                <w:szCs w:val="18"/>
                <w:lang w:eastAsia="zh-CN"/>
              </w:rPr>
              <w:t>设立乘用安全提示或标志。</w:t>
            </w:r>
          </w:p>
        </w:tc>
        <w:tc>
          <w:tcPr>
            <w:tcW w:w="709" w:type="dxa"/>
            <w:tcBorders>
              <w:top w:val="single" w:color="auto" w:sz="8" w:space="0"/>
              <w:bottom w:val="single" w:color="auto" w:sz="8" w:space="0"/>
            </w:tcBorders>
            <w:noWrap w:val="0"/>
            <w:vAlign w:val="center"/>
          </w:tcPr>
          <w:p w14:paraId="72442FAD">
            <w:pPr>
              <w:adjustRightInd w:val="0"/>
              <w:snapToGrid w:val="0"/>
              <w:jc w:val="center"/>
              <w:rPr>
                <w:rFonts w:ascii="宋体" w:hAnsi="宋体"/>
                <w:bCs/>
                <w:sz w:val="18"/>
                <w:szCs w:val="18"/>
              </w:rPr>
            </w:pPr>
          </w:p>
        </w:tc>
        <w:tc>
          <w:tcPr>
            <w:tcW w:w="709" w:type="dxa"/>
            <w:tcBorders>
              <w:top w:val="single" w:color="auto" w:sz="8" w:space="0"/>
              <w:bottom w:val="single" w:color="auto" w:sz="8" w:space="0"/>
            </w:tcBorders>
            <w:noWrap w:val="0"/>
            <w:vAlign w:val="center"/>
          </w:tcPr>
          <w:p w14:paraId="37E35025">
            <w:pPr>
              <w:adjustRightInd w:val="0"/>
              <w:snapToGrid w:val="0"/>
              <w:jc w:val="center"/>
              <w:rPr>
                <w:rFonts w:hint="eastAsia" w:ascii="宋体" w:hAnsi="宋体" w:eastAsia="宋体"/>
                <w:bCs/>
                <w:sz w:val="18"/>
                <w:szCs w:val="18"/>
                <w:lang w:val="en-US" w:eastAsia="zh-CN"/>
              </w:rPr>
            </w:pPr>
          </w:p>
        </w:tc>
        <w:tc>
          <w:tcPr>
            <w:tcW w:w="709" w:type="dxa"/>
            <w:tcBorders>
              <w:top w:val="single" w:color="auto" w:sz="8" w:space="0"/>
              <w:bottom w:val="single" w:color="auto" w:sz="8" w:space="0"/>
            </w:tcBorders>
            <w:noWrap w:val="0"/>
            <w:vAlign w:val="center"/>
          </w:tcPr>
          <w:p w14:paraId="68150C5D">
            <w:pPr>
              <w:ind w:firstLine="180" w:firstLineChars="100"/>
              <w:rPr>
                <w:rFonts w:hint="eastAsia" w:ascii="宋体" w:hAnsi="宋体" w:cs="宋体"/>
                <w:sz w:val="18"/>
                <w:szCs w:val="18"/>
              </w:rPr>
            </w:pPr>
          </w:p>
        </w:tc>
        <w:tc>
          <w:tcPr>
            <w:tcW w:w="2693" w:type="dxa"/>
            <w:tcBorders>
              <w:top w:val="single" w:color="auto" w:sz="8" w:space="0"/>
              <w:bottom w:val="single" w:color="auto" w:sz="8" w:space="0"/>
            </w:tcBorders>
            <w:noWrap w:val="0"/>
            <w:vAlign w:val="center"/>
          </w:tcPr>
          <w:p w14:paraId="06983831">
            <w:pPr>
              <w:adjustRightInd w:val="0"/>
              <w:snapToGrid w:val="0"/>
              <w:rPr>
                <w:rFonts w:ascii="宋体" w:hAnsi="宋体"/>
                <w:bCs/>
                <w:sz w:val="18"/>
                <w:szCs w:val="18"/>
              </w:rPr>
            </w:pPr>
          </w:p>
        </w:tc>
        <w:tc>
          <w:tcPr>
            <w:tcW w:w="709" w:type="dxa"/>
            <w:tcBorders>
              <w:top w:val="single" w:color="auto" w:sz="8" w:space="0"/>
              <w:bottom w:val="single" w:color="auto" w:sz="8" w:space="0"/>
            </w:tcBorders>
            <w:noWrap w:val="0"/>
            <w:vAlign w:val="center"/>
          </w:tcPr>
          <w:p w14:paraId="7FBC1B7B">
            <w:pPr>
              <w:adjustRightInd w:val="0"/>
              <w:snapToGrid w:val="0"/>
              <w:jc w:val="center"/>
              <w:rPr>
                <w:rFonts w:ascii="宋体" w:hAnsi="宋体"/>
                <w:bCs/>
                <w:sz w:val="18"/>
                <w:szCs w:val="18"/>
              </w:rPr>
            </w:pPr>
          </w:p>
        </w:tc>
        <w:tc>
          <w:tcPr>
            <w:tcW w:w="1419" w:type="dxa"/>
            <w:tcBorders>
              <w:top w:val="single" w:color="auto" w:sz="8" w:space="0"/>
              <w:bottom w:val="single" w:color="auto" w:sz="8" w:space="0"/>
            </w:tcBorders>
            <w:noWrap w:val="0"/>
            <w:vAlign w:val="center"/>
          </w:tcPr>
          <w:p w14:paraId="266D4BB2">
            <w:pPr>
              <w:adjustRightInd w:val="0"/>
              <w:snapToGrid w:val="0"/>
              <w:jc w:val="center"/>
              <w:rPr>
                <w:rFonts w:ascii="宋体" w:hAnsi="宋体"/>
                <w:bCs/>
                <w:sz w:val="18"/>
                <w:szCs w:val="18"/>
              </w:rPr>
            </w:pPr>
          </w:p>
        </w:tc>
        <w:tc>
          <w:tcPr>
            <w:tcW w:w="1348" w:type="dxa"/>
            <w:noWrap w:val="0"/>
            <w:vAlign w:val="center"/>
          </w:tcPr>
          <w:p w14:paraId="62BC7E9E">
            <w:pPr>
              <w:widowControl/>
              <w:tabs>
                <w:tab w:val="center" w:pos="4201"/>
                <w:tab w:val="right" w:leader="dot" w:pos="9298"/>
              </w:tabs>
              <w:autoSpaceDE w:val="0"/>
              <w:autoSpaceDN w:val="0"/>
              <w:ind w:right="34"/>
              <w:jc w:val="center"/>
              <w:rPr>
                <w:rFonts w:hint="eastAsia" w:ascii="宋体" w:hAnsi="宋体" w:eastAsia="宋体"/>
                <w:kern w:val="0"/>
                <w:sz w:val="18"/>
                <w:szCs w:val="18"/>
                <w:lang w:val="en-US" w:eastAsia="zh-CN"/>
              </w:rPr>
            </w:pPr>
          </w:p>
        </w:tc>
      </w:tr>
      <w:tr w14:paraId="4A9ED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6A6701DB">
            <w:pPr>
              <w:jc w:val="center"/>
              <w:rPr>
                <w:rFonts w:hint="eastAsia" w:ascii="宋体" w:hAnsi="Times New Roman" w:eastAsia="宋体" w:cs="Times New Roman"/>
                <w:kern w:val="0"/>
                <w:sz w:val="18"/>
                <w:szCs w:val="18"/>
                <w:lang w:val="en-US" w:eastAsia="zh-CN" w:bidi="ar-SA"/>
              </w:rPr>
            </w:pPr>
            <w:r>
              <w:rPr>
                <w:rFonts w:hint="eastAsia" w:ascii="宋体"/>
                <w:kern w:val="0"/>
                <w:sz w:val="18"/>
                <w:szCs w:val="18"/>
              </w:rPr>
              <w:t>3.</w:t>
            </w:r>
            <w:r>
              <w:rPr>
                <w:rFonts w:hint="eastAsia" w:ascii="宋体"/>
                <w:kern w:val="0"/>
                <w:sz w:val="18"/>
                <w:szCs w:val="18"/>
                <w:lang w:val="en-US" w:eastAsia="zh-CN"/>
              </w:rPr>
              <w:t>8</w:t>
            </w:r>
          </w:p>
        </w:tc>
        <w:tc>
          <w:tcPr>
            <w:tcW w:w="5849" w:type="dxa"/>
            <w:tcBorders>
              <w:top w:val="single" w:color="auto" w:sz="8" w:space="0"/>
            </w:tcBorders>
            <w:noWrap w:val="0"/>
            <w:vAlign w:val="top"/>
          </w:tcPr>
          <w:p w14:paraId="48437169">
            <w:pPr>
              <w:adjustRightInd w:val="0"/>
              <w:snapToGrid w:val="0"/>
              <w:rPr>
                <w:rFonts w:hint="eastAsia" w:ascii="宋体" w:hAnsi="宋体"/>
                <w:sz w:val="18"/>
                <w:szCs w:val="18"/>
              </w:rPr>
            </w:pPr>
            <w:r>
              <w:rPr>
                <w:rFonts w:hint="eastAsia" w:ascii="宋体" w:hAnsi="宋体"/>
                <w:sz w:val="18"/>
                <w:szCs w:val="18"/>
              </w:rPr>
              <w:t>冰上活动设备设施应符合下列要求：</w:t>
            </w:r>
          </w:p>
          <w:p w14:paraId="2F21305C">
            <w:pPr>
              <w:adjustRightInd w:val="0"/>
              <w:snapToGrid w:val="0"/>
              <w:rPr>
                <w:rFonts w:hint="eastAsia" w:ascii="宋体" w:hAnsi="宋体"/>
                <w:sz w:val="18"/>
                <w:szCs w:val="18"/>
              </w:rPr>
            </w:pPr>
            <w:r>
              <w:rPr>
                <w:rFonts w:ascii="宋体" w:hAnsi="宋体"/>
                <w:sz w:val="18"/>
                <w:szCs w:val="18"/>
              </w:rPr>
              <w:t>a</w:t>
            </w:r>
            <w:r>
              <w:rPr>
                <w:rFonts w:hint="eastAsia" w:ascii="宋体" w:hAnsi="宋体"/>
                <w:sz w:val="18"/>
                <w:szCs w:val="18"/>
              </w:rPr>
              <w:t>）现场设立醒目的“滑冰人员须知”，对涉及安全的事项和特殊要求作出真实说明和明确警示；</w:t>
            </w:r>
          </w:p>
          <w:p w14:paraId="2902381F">
            <w:pPr>
              <w:adjustRightInd w:val="0"/>
              <w:snapToGrid w:val="0"/>
              <w:rPr>
                <w:rFonts w:hint="eastAsia" w:ascii="宋体" w:hAnsi="宋体"/>
                <w:sz w:val="18"/>
                <w:szCs w:val="18"/>
              </w:rPr>
            </w:pPr>
            <w:r>
              <w:rPr>
                <w:rFonts w:hint="eastAsia" w:ascii="宋体" w:hAnsi="宋体"/>
                <w:sz w:val="18"/>
                <w:szCs w:val="18"/>
              </w:rPr>
              <w:t>b）应在醒目位置公示“冰场导览图”，至少包括应急出入口，应急逃生路线，冰场分区等；</w:t>
            </w:r>
          </w:p>
          <w:p w14:paraId="7E27394B">
            <w:pPr>
              <w:adjustRightInd w:val="0"/>
              <w:snapToGrid w:val="0"/>
              <w:rPr>
                <w:rFonts w:hint="eastAsia" w:ascii="宋体" w:hAnsi="宋体"/>
                <w:sz w:val="18"/>
                <w:szCs w:val="18"/>
              </w:rPr>
            </w:pPr>
            <w:r>
              <w:rPr>
                <w:rFonts w:hint="eastAsia" w:ascii="宋体" w:hAnsi="宋体"/>
                <w:sz w:val="18"/>
                <w:szCs w:val="18"/>
              </w:rPr>
              <w:t>c）应在滑冰场地入口处等醒目位置设置“严禁追跑打闹”、“注意安全”等必要的安全要求及警示；</w:t>
            </w:r>
          </w:p>
          <w:p w14:paraId="16F20388">
            <w:pPr>
              <w:adjustRightInd w:val="0"/>
              <w:snapToGrid w:val="0"/>
              <w:rPr>
                <w:rFonts w:hint="eastAsia" w:ascii="宋体" w:hAnsi="宋体"/>
                <w:sz w:val="18"/>
                <w:szCs w:val="18"/>
              </w:rPr>
            </w:pPr>
            <w:r>
              <w:rPr>
                <w:rFonts w:hint="eastAsia" w:ascii="宋体" w:hAnsi="宋体"/>
                <w:sz w:val="18"/>
                <w:szCs w:val="18"/>
              </w:rPr>
              <w:t>d）应有清晰、醒目的危险区域警示标志；</w:t>
            </w:r>
          </w:p>
          <w:p w14:paraId="386D777C">
            <w:pPr>
              <w:adjustRightInd w:val="0"/>
              <w:snapToGrid w:val="0"/>
              <w:rPr>
                <w:rFonts w:hint="eastAsia" w:ascii="宋体" w:hAnsi="宋体"/>
                <w:sz w:val="18"/>
                <w:szCs w:val="18"/>
              </w:rPr>
            </w:pPr>
            <w:r>
              <w:rPr>
                <w:rFonts w:hint="eastAsia" w:ascii="宋体" w:hAnsi="宋体"/>
                <w:sz w:val="18"/>
                <w:szCs w:val="18"/>
              </w:rPr>
              <w:t>e）自然水域冰层厚度应不低于 15 cm；</w:t>
            </w:r>
          </w:p>
          <w:p w14:paraId="7264966B">
            <w:pPr>
              <w:adjustRightInd w:val="0"/>
              <w:snapToGrid w:val="0"/>
              <w:rPr>
                <w:rFonts w:hint="eastAsia" w:ascii="宋体" w:hAnsi="宋体"/>
                <w:sz w:val="18"/>
                <w:szCs w:val="18"/>
              </w:rPr>
            </w:pPr>
            <w:r>
              <w:rPr>
                <w:rFonts w:hint="eastAsia" w:ascii="宋体" w:hAnsi="宋体"/>
                <w:sz w:val="18"/>
                <w:szCs w:val="18"/>
              </w:rPr>
              <w:t>f）冰上人员人均活动面积应不小于 10m</w:t>
            </w:r>
            <w:r>
              <w:rPr>
                <w:rFonts w:hint="eastAsia" w:ascii="宋体" w:hAnsi="宋体"/>
                <w:sz w:val="18"/>
                <w:szCs w:val="18"/>
                <w:vertAlign w:val="superscript"/>
              </w:rPr>
              <w:t>2</w:t>
            </w:r>
            <w:r>
              <w:rPr>
                <w:rFonts w:hint="eastAsia" w:ascii="宋体" w:hAnsi="宋体"/>
                <w:sz w:val="18"/>
                <w:szCs w:val="18"/>
              </w:rPr>
              <w:t>；</w:t>
            </w:r>
          </w:p>
          <w:p w14:paraId="4F039C71">
            <w:pPr>
              <w:adjustRightInd w:val="0"/>
              <w:snapToGrid w:val="0"/>
              <w:rPr>
                <w:rFonts w:hint="eastAsia" w:ascii="宋体" w:hAnsi="宋体"/>
                <w:sz w:val="18"/>
                <w:szCs w:val="18"/>
              </w:rPr>
            </w:pPr>
            <w:r>
              <w:rPr>
                <w:rFonts w:hint="eastAsia" w:ascii="宋体" w:hAnsi="宋体"/>
                <w:sz w:val="18"/>
                <w:szCs w:val="18"/>
              </w:rPr>
              <w:t>g）室内滑冰场地四周地面应设防滑垫，并设有座椅、扶栏；</w:t>
            </w:r>
          </w:p>
          <w:p w14:paraId="3BBF1465">
            <w:pPr>
              <w:adjustRightInd w:val="0"/>
              <w:snapToGrid w:val="0"/>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）现场应</w:t>
            </w:r>
            <w:r>
              <w:rPr>
                <w:rFonts w:ascii="宋体" w:hAnsi="宋体"/>
                <w:sz w:val="18"/>
                <w:szCs w:val="18"/>
              </w:rPr>
              <w:t>配备</w:t>
            </w:r>
            <w:r>
              <w:rPr>
                <w:rFonts w:hint="eastAsia" w:ascii="宋体" w:hAnsi="宋体"/>
                <w:sz w:val="18"/>
                <w:szCs w:val="18"/>
              </w:rPr>
              <w:t>不少于1名滑冰技术指导人员；</w:t>
            </w:r>
          </w:p>
          <w:p w14:paraId="7A7768AF">
            <w:pPr>
              <w:adjustRightInd w:val="0"/>
              <w:snapToGrid w:val="0"/>
              <w:rPr>
                <w:rFonts w:hint="eastAsia" w:ascii="宋体" w:hAnsi="宋体"/>
                <w:sz w:val="18"/>
                <w:szCs w:val="18"/>
              </w:rPr>
            </w:pPr>
            <w:r>
              <w:rPr>
                <w:rFonts w:hint="eastAsia" w:ascii="宋体" w:hAnsi="宋体"/>
                <w:sz w:val="18"/>
                <w:szCs w:val="18"/>
              </w:rPr>
              <w:t>i）室内冰场开放期间每块冰面至少有 1 名冰上安全员，室外冰场开放期间每 500m</w:t>
            </w:r>
            <w:r>
              <w:rPr>
                <w:rFonts w:hint="eastAsia" w:ascii="宋体" w:hAnsi="宋体"/>
                <w:sz w:val="18"/>
                <w:szCs w:val="18"/>
                <w:vertAlign w:val="superscript"/>
              </w:rPr>
              <w:t>2</w:t>
            </w:r>
            <w:r>
              <w:rPr>
                <w:rFonts w:hint="eastAsia" w:ascii="宋体" w:hAnsi="宋体"/>
                <w:sz w:val="18"/>
                <w:szCs w:val="18"/>
              </w:rPr>
              <w:t>至少配备1名冰上安全员；</w:t>
            </w:r>
          </w:p>
          <w:p w14:paraId="3FAC5B78">
            <w:pPr>
              <w:adjustRightInd w:val="0"/>
              <w:snapToGrid w:val="0"/>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）应</w:t>
            </w:r>
            <w:r>
              <w:rPr>
                <w:rFonts w:ascii="宋体" w:hAnsi="宋体"/>
                <w:sz w:val="18"/>
                <w:szCs w:val="18"/>
              </w:rPr>
              <w:t>设</w:t>
            </w:r>
            <w:r>
              <w:rPr>
                <w:rFonts w:hint="eastAsia" w:ascii="宋体" w:hAnsi="宋体"/>
                <w:sz w:val="18"/>
                <w:szCs w:val="18"/>
              </w:rPr>
              <w:t>有医务急救点，设置不少于1名救护人员，</w:t>
            </w:r>
            <w:r>
              <w:rPr>
                <w:rFonts w:ascii="宋体" w:hAnsi="宋体"/>
                <w:sz w:val="18"/>
                <w:szCs w:val="18"/>
              </w:rPr>
              <w:t>配有救护器材设备</w:t>
            </w:r>
            <w:r>
              <w:rPr>
                <w:rFonts w:hint="eastAsia" w:ascii="宋体" w:hAnsi="宋体"/>
                <w:sz w:val="18"/>
                <w:szCs w:val="18"/>
              </w:rPr>
              <w:t>，</w:t>
            </w:r>
            <w:r>
              <w:rPr>
                <w:rFonts w:ascii="宋体" w:hAnsi="宋体"/>
                <w:sz w:val="18"/>
                <w:szCs w:val="18"/>
              </w:rPr>
              <w:t>各种急救药品和救护器材要摆放在便于取用的位置</w:t>
            </w:r>
            <w:r>
              <w:rPr>
                <w:rFonts w:hint="eastAsia" w:ascii="宋体" w:hAnsi="宋体"/>
                <w:sz w:val="18"/>
                <w:szCs w:val="18"/>
              </w:rPr>
              <w:t>；</w:t>
            </w:r>
          </w:p>
          <w:p w14:paraId="25F2691D">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k</w:t>
            </w:r>
            <w:r>
              <w:rPr>
                <w:rFonts w:hint="eastAsia" w:ascii="宋体" w:hAnsi="宋体"/>
                <w:sz w:val="18"/>
                <w:szCs w:val="18"/>
              </w:rPr>
              <w:t>）应有中、英文广播设备，并覆盖整个滑冰场所</w:t>
            </w:r>
            <w:r>
              <w:rPr>
                <w:rFonts w:hint="eastAsia" w:ascii="宋体" w:hAnsi="宋体"/>
                <w:sz w:val="18"/>
                <w:szCs w:val="18"/>
                <w:lang w:eastAsia="zh-CN"/>
              </w:rPr>
              <w:t>。</w:t>
            </w:r>
          </w:p>
        </w:tc>
        <w:tc>
          <w:tcPr>
            <w:tcW w:w="709" w:type="dxa"/>
            <w:tcBorders>
              <w:top w:val="single" w:color="auto" w:sz="8" w:space="0"/>
            </w:tcBorders>
            <w:noWrap w:val="0"/>
            <w:vAlign w:val="center"/>
          </w:tcPr>
          <w:p w14:paraId="671F03F3">
            <w:pPr>
              <w:adjustRightInd w:val="0"/>
              <w:snapToGrid w:val="0"/>
              <w:jc w:val="center"/>
              <w:rPr>
                <w:rFonts w:ascii="Times New Roman" w:hAnsi="Times New Roman" w:eastAsia="宋体" w:cs="Times New Roman"/>
                <w:bCs/>
                <w:kern w:val="2"/>
                <w:sz w:val="18"/>
                <w:szCs w:val="18"/>
                <w:lang w:val="en-US" w:eastAsia="zh-CN" w:bidi="ar-SA"/>
              </w:rPr>
            </w:pPr>
          </w:p>
        </w:tc>
        <w:tc>
          <w:tcPr>
            <w:tcW w:w="709" w:type="dxa"/>
            <w:tcBorders>
              <w:top w:val="single" w:color="auto" w:sz="8" w:space="0"/>
            </w:tcBorders>
            <w:noWrap w:val="0"/>
            <w:vAlign w:val="center"/>
          </w:tcPr>
          <w:p w14:paraId="4AC0BB10">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709" w:type="dxa"/>
            <w:tcBorders>
              <w:top w:val="single" w:color="auto" w:sz="8" w:space="0"/>
            </w:tcBorders>
            <w:noWrap w:val="0"/>
            <w:vAlign w:val="center"/>
          </w:tcPr>
          <w:p w14:paraId="10930C42">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2693" w:type="dxa"/>
            <w:tcBorders>
              <w:top w:val="single" w:color="auto" w:sz="8" w:space="0"/>
            </w:tcBorders>
            <w:noWrap w:val="0"/>
            <w:vAlign w:val="center"/>
          </w:tcPr>
          <w:p w14:paraId="21838AC3">
            <w:pPr>
              <w:adjustRightInd w:val="0"/>
              <w:snapToGrid w:val="0"/>
              <w:rPr>
                <w:rFonts w:hint="eastAsia" w:ascii="Times New Roman" w:hAnsi="Times New Roman"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tcBorders>
            <w:noWrap w:val="0"/>
            <w:vAlign w:val="center"/>
          </w:tcPr>
          <w:p w14:paraId="7F1F7A72">
            <w:pPr>
              <w:adjustRightInd w:val="0"/>
              <w:snapToGrid w:val="0"/>
              <w:jc w:val="center"/>
              <w:rPr>
                <w:rFonts w:ascii="Times New Roman" w:hAnsi="Times New Roman" w:eastAsia="宋体" w:cs="Times New Roman"/>
                <w:bCs/>
                <w:kern w:val="2"/>
                <w:sz w:val="18"/>
                <w:szCs w:val="18"/>
                <w:lang w:val="en-US" w:eastAsia="zh-CN" w:bidi="ar-SA"/>
              </w:rPr>
            </w:pPr>
          </w:p>
        </w:tc>
        <w:tc>
          <w:tcPr>
            <w:tcW w:w="1419" w:type="dxa"/>
            <w:tcBorders>
              <w:top w:val="single" w:color="auto" w:sz="8" w:space="0"/>
            </w:tcBorders>
            <w:noWrap w:val="0"/>
            <w:vAlign w:val="center"/>
          </w:tcPr>
          <w:p w14:paraId="572E0D43">
            <w:pPr>
              <w:adjustRightInd w:val="0"/>
              <w:snapToGrid w:val="0"/>
              <w:jc w:val="center"/>
              <w:rPr>
                <w:rFonts w:ascii="Times New Roman" w:hAnsi="Times New Roman" w:eastAsia="宋体" w:cs="Times New Roman"/>
                <w:bCs/>
                <w:kern w:val="2"/>
                <w:sz w:val="18"/>
                <w:szCs w:val="18"/>
                <w:lang w:val="en-US" w:eastAsia="zh-CN" w:bidi="ar-SA"/>
              </w:rPr>
            </w:pPr>
          </w:p>
        </w:tc>
        <w:tc>
          <w:tcPr>
            <w:tcW w:w="1348" w:type="dxa"/>
            <w:noWrap w:val="0"/>
            <w:vAlign w:val="center"/>
          </w:tcPr>
          <w:p w14:paraId="23CC495C">
            <w:pPr>
              <w:widowControl/>
              <w:tabs>
                <w:tab w:val="center" w:pos="4201"/>
                <w:tab w:val="right" w:leader="dot" w:pos="9298"/>
              </w:tabs>
              <w:autoSpaceDE w:val="0"/>
              <w:autoSpaceDN w:val="0"/>
              <w:ind w:right="34" w:rightChars="0"/>
              <w:jc w:val="center"/>
              <w:rPr>
                <w:rFonts w:ascii="宋体" w:hAnsi="Times New Roman" w:eastAsia="宋体" w:cs="Times New Roman"/>
                <w:kern w:val="0"/>
                <w:sz w:val="18"/>
                <w:szCs w:val="18"/>
                <w:lang w:val="en-US" w:eastAsia="zh-CN" w:bidi="ar-SA"/>
              </w:rPr>
            </w:pPr>
            <w:r>
              <w:rPr>
                <w:rFonts w:hint="eastAsia" w:ascii="宋体" w:hAnsi="宋体"/>
                <w:sz w:val="18"/>
                <w:szCs w:val="18"/>
                <w:lang w:eastAsia="zh-CN"/>
              </w:rPr>
              <w:t>4.3</w:t>
            </w:r>
            <w:r>
              <w:rPr>
                <w:rFonts w:hint="eastAsia" w:ascii="宋体" w:hAnsi="宋体"/>
                <w:sz w:val="18"/>
                <w:szCs w:val="18"/>
              </w:rPr>
              <w:t>.</w:t>
            </w:r>
            <w:r>
              <w:rPr>
                <w:rFonts w:hint="eastAsia" w:ascii="宋体" w:hAnsi="宋体"/>
                <w:sz w:val="18"/>
                <w:szCs w:val="18"/>
                <w:lang w:val="en-US" w:eastAsia="zh-CN"/>
              </w:rPr>
              <w:t>5</w:t>
            </w:r>
          </w:p>
        </w:tc>
      </w:tr>
    </w:tbl>
    <w:p w14:paraId="68CF0B36">
      <w:pPr>
        <w:widowControl/>
        <w:spacing w:before="156" w:after="156"/>
        <w:ind w:left="567"/>
        <w:rPr>
          <w:rFonts w:hint="eastAsia"/>
        </w:rPr>
      </w:pPr>
      <w:r>
        <w:br w:type="page"/>
      </w:r>
    </w:p>
    <w:p w14:paraId="46777974">
      <w:pPr>
        <w:pStyle w:val="168"/>
        <w:widowControl/>
        <w:numPr>
          <w:ilvl w:val="0"/>
          <w:numId w:val="0"/>
        </w:numPr>
        <w:spacing w:before="156" w:after="156"/>
        <w:ind w:left="567" w:hanging="567"/>
      </w:pP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19B01F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24DA2634">
            <w:pPr>
              <w:adjustRightInd w:val="0"/>
              <w:snapToGrid w:val="0"/>
              <w:jc w:val="center"/>
              <w:rPr>
                <w:sz w:val="18"/>
                <w:szCs w:val="18"/>
              </w:rPr>
            </w:pPr>
            <w:r>
              <w:rPr>
                <w:bCs/>
                <w:sz w:val="18"/>
                <w:szCs w:val="18"/>
              </w:rPr>
              <w:t>序号</w:t>
            </w:r>
          </w:p>
        </w:tc>
        <w:tc>
          <w:tcPr>
            <w:tcW w:w="5849" w:type="dxa"/>
            <w:tcBorders>
              <w:top w:val="single" w:color="auto" w:sz="8" w:space="0"/>
              <w:bottom w:val="single" w:color="auto" w:sz="8" w:space="0"/>
            </w:tcBorders>
            <w:noWrap w:val="0"/>
            <w:vAlign w:val="center"/>
          </w:tcPr>
          <w:p w14:paraId="4146E6EF">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776EBBA7">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1385A272">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7D90E348">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2593F95E">
            <w:pPr>
              <w:adjustRightInd w:val="0"/>
              <w:snapToGrid w:val="0"/>
              <w:jc w:val="center"/>
              <w:rPr>
                <w:sz w:val="18"/>
                <w:szCs w:val="18"/>
              </w:rPr>
            </w:pPr>
            <w:r>
              <w:rPr>
                <w:bCs/>
                <w:sz w:val="18"/>
                <w:szCs w:val="18"/>
              </w:rPr>
              <w:t>评分标准</w:t>
            </w:r>
          </w:p>
        </w:tc>
        <w:tc>
          <w:tcPr>
            <w:tcW w:w="709" w:type="dxa"/>
            <w:tcBorders>
              <w:top w:val="single" w:color="auto" w:sz="8" w:space="0"/>
              <w:bottom w:val="single" w:color="auto" w:sz="8" w:space="0"/>
            </w:tcBorders>
            <w:noWrap w:val="0"/>
            <w:vAlign w:val="center"/>
          </w:tcPr>
          <w:p w14:paraId="726DC564">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6D7BA1E4">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1F32CCDA">
            <w:pPr>
              <w:adjustRightInd w:val="0"/>
              <w:snapToGrid w:val="0"/>
              <w:jc w:val="center"/>
              <w:rPr>
                <w:rFonts w:ascii="宋体" w:hAnsi="宋体"/>
                <w:sz w:val="18"/>
                <w:szCs w:val="18"/>
              </w:rPr>
            </w:pPr>
            <w:r>
              <w:rPr>
                <w:rFonts w:ascii="宋体" w:hAnsi="宋体"/>
                <w:bCs/>
                <w:sz w:val="18"/>
                <w:szCs w:val="18"/>
              </w:rPr>
              <w:t>对应条款编号</w:t>
            </w:r>
          </w:p>
        </w:tc>
      </w:tr>
      <w:tr w14:paraId="5BAB7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750A636D">
            <w:pPr>
              <w:jc w:val="center"/>
              <w:rPr>
                <w:rFonts w:hint="default" w:ascii="宋体" w:eastAsia="宋体"/>
                <w:kern w:val="0"/>
                <w:sz w:val="18"/>
                <w:szCs w:val="18"/>
                <w:lang w:val="en-US" w:eastAsia="zh-CN"/>
              </w:rPr>
            </w:pPr>
            <w:r>
              <w:rPr>
                <w:rFonts w:hint="eastAsia" w:ascii="宋体"/>
                <w:kern w:val="0"/>
                <w:sz w:val="18"/>
                <w:szCs w:val="18"/>
                <w:lang w:val="en-US" w:eastAsia="zh-CN"/>
              </w:rPr>
              <w:t>3.9</w:t>
            </w:r>
          </w:p>
        </w:tc>
        <w:tc>
          <w:tcPr>
            <w:tcW w:w="5849" w:type="dxa"/>
            <w:tcBorders>
              <w:top w:val="single" w:color="auto" w:sz="8" w:space="0"/>
              <w:bottom w:val="single" w:color="auto" w:sz="8" w:space="0"/>
            </w:tcBorders>
            <w:noWrap w:val="0"/>
            <w:vAlign w:val="top"/>
          </w:tcPr>
          <w:p w14:paraId="0191419D">
            <w:pPr>
              <w:adjustRightInd w:val="0"/>
              <w:snapToGrid w:val="0"/>
              <w:rPr>
                <w:rFonts w:hint="eastAsia" w:ascii="宋体" w:hAnsi="宋体"/>
                <w:sz w:val="18"/>
                <w:szCs w:val="18"/>
                <w:lang w:val="en-US" w:eastAsia="zh-CN"/>
              </w:rPr>
            </w:pPr>
            <w:r>
              <w:rPr>
                <w:rFonts w:hint="eastAsia" w:ascii="宋体" w:hAnsi="宋体"/>
                <w:sz w:val="18"/>
                <w:szCs w:val="18"/>
                <w:lang w:val="en-US" w:eastAsia="zh-CN"/>
              </w:rPr>
              <w:t>攀岩活动设备设施应符合下列要求：</w:t>
            </w:r>
          </w:p>
          <w:p w14:paraId="1E52C0BC">
            <w:pPr>
              <w:numPr>
                <w:ilvl w:val="0"/>
                <w:numId w:val="56"/>
              </w:numPr>
              <w:adjustRightInd w:val="0"/>
              <w:snapToGrid w:val="0"/>
              <w:rPr>
                <w:rFonts w:hint="eastAsia" w:ascii="宋体" w:hAnsi="宋体"/>
                <w:sz w:val="18"/>
                <w:szCs w:val="18"/>
              </w:rPr>
            </w:pPr>
            <w:r>
              <w:rPr>
                <w:rFonts w:hint="eastAsia" w:ascii="宋体" w:hAnsi="宋体"/>
                <w:sz w:val="18"/>
                <w:szCs w:val="18"/>
              </w:rPr>
              <w:t>攀岩的保护绳应使用登山动力绳；</w:t>
            </w:r>
          </w:p>
          <w:p w14:paraId="22829980">
            <w:pPr>
              <w:numPr>
                <w:ilvl w:val="0"/>
                <w:numId w:val="56"/>
              </w:numPr>
              <w:adjustRightInd w:val="0"/>
              <w:snapToGrid w:val="0"/>
              <w:ind w:left="0" w:leftChars="0" w:firstLine="0" w:firstLineChars="0"/>
              <w:rPr>
                <w:rFonts w:hint="eastAsia" w:ascii="宋体" w:hAnsi="宋体"/>
                <w:sz w:val="18"/>
                <w:szCs w:val="18"/>
              </w:rPr>
            </w:pPr>
            <w:r>
              <w:rPr>
                <w:rFonts w:hint="eastAsia" w:ascii="宋体" w:hAnsi="宋体"/>
                <w:sz w:val="18"/>
                <w:szCs w:val="18"/>
              </w:rPr>
              <w:t>安全带、头盔、铁锁、静力绳、扁带、挂片、膨胀钉、快挂、上升器、下降器、制动保护器等装备应为攀登专用产品，取得产品质量检验合格证明，并定期检验；</w:t>
            </w:r>
          </w:p>
          <w:p w14:paraId="5502AF71">
            <w:pPr>
              <w:numPr>
                <w:ilvl w:val="0"/>
                <w:numId w:val="56"/>
              </w:numPr>
              <w:adjustRightInd w:val="0"/>
              <w:snapToGrid w:val="0"/>
              <w:ind w:left="0" w:leftChars="0" w:firstLine="0" w:firstLineChars="0"/>
              <w:rPr>
                <w:rFonts w:hint="eastAsia" w:ascii="宋体" w:hAnsi="宋体"/>
                <w:sz w:val="18"/>
                <w:szCs w:val="18"/>
              </w:rPr>
            </w:pPr>
            <w:r>
              <w:rPr>
                <w:rFonts w:hint="eastAsia" w:ascii="宋体" w:hAnsi="宋体"/>
                <w:sz w:val="18"/>
                <w:szCs w:val="18"/>
              </w:rPr>
              <w:t>用于攀石活动的保护垫应表面平整，无明显缝隙，保护垫水平方向密度均匀，厚度不小于0.4m，保护垫覆盖范围的外侧距离岩壁纵向投影外沿不小于2.5m；</w:t>
            </w:r>
          </w:p>
          <w:p w14:paraId="7501FCB0">
            <w:pPr>
              <w:numPr>
                <w:ilvl w:val="0"/>
                <w:numId w:val="56"/>
              </w:numPr>
              <w:adjustRightInd w:val="0"/>
              <w:snapToGrid w:val="0"/>
              <w:ind w:left="0" w:leftChars="0" w:firstLine="0" w:firstLineChars="0"/>
              <w:rPr>
                <w:rFonts w:hint="eastAsia" w:ascii="宋体" w:hAnsi="宋体"/>
                <w:sz w:val="18"/>
                <w:szCs w:val="18"/>
              </w:rPr>
            </w:pPr>
            <w:r>
              <w:rPr>
                <w:rFonts w:hint="eastAsia" w:ascii="宋体" w:hAnsi="宋体"/>
                <w:sz w:val="18"/>
                <w:szCs w:val="18"/>
              </w:rPr>
              <w:t>应有清晰、醒目的危险区域警示</w:t>
            </w:r>
            <w:r>
              <w:rPr>
                <w:rFonts w:hint="eastAsia" w:ascii="宋体" w:hAnsi="宋体"/>
                <w:sz w:val="18"/>
                <w:szCs w:val="18"/>
                <w:lang w:eastAsia="zh-CN"/>
              </w:rPr>
              <w:t>标志</w:t>
            </w:r>
            <w:r>
              <w:rPr>
                <w:rFonts w:hint="eastAsia" w:ascii="宋体" w:hAnsi="宋体"/>
                <w:sz w:val="18"/>
                <w:szCs w:val="18"/>
              </w:rPr>
              <w:t>和安全防护设施；</w:t>
            </w:r>
          </w:p>
          <w:p w14:paraId="215ED12C">
            <w:pPr>
              <w:numPr>
                <w:ilvl w:val="0"/>
                <w:numId w:val="56"/>
              </w:numPr>
              <w:adjustRightInd w:val="0"/>
              <w:snapToGrid w:val="0"/>
              <w:ind w:left="0" w:leftChars="0" w:firstLine="0" w:firstLineChars="0"/>
              <w:rPr>
                <w:rFonts w:hint="eastAsia" w:ascii="宋体" w:hAnsi="宋体"/>
                <w:sz w:val="18"/>
                <w:szCs w:val="18"/>
              </w:rPr>
            </w:pPr>
            <w:r>
              <w:rPr>
                <w:rFonts w:hint="eastAsia" w:ascii="宋体" w:hAnsi="宋体"/>
                <w:sz w:val="18"/>
                <w:szCs w:val="18"/>
              </w:rPr>
              <w:t>应在醒目位置设有“攀岩活动人员须知”，对涉及安全的事项和特殊要求做出真实说明和明确警示；</w:t>
            </w:r>
          </w:p>
          <w:p w14:paraId="1CE9800C">
            <w:pPr>
              <w:numPr>
                <w:ilvl w:val="0"/>
                <w:numId w:val="0"/>
              </w:numPr>
              <w:adjustRightInd w:val="0"/>
              <w:snapToGrid w:val="0"/>
              <w:ind w:leftChars="0"/>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）攀岩场所应有不少于1名攀岩技术指导人员，人工攀岩场所应在醒目位置公示攀岩技术指导人员名录及照片；</w:t>
            </w:r>
          </w:p>
          <w:p w14:paraId="0DFDC9A8">
            <w:pPr>
              <w:adjustRightInd w:val="0"/>
              <w:snapToGrid w:val="0"/>
              <w:rPr>
                <w:rFonts w:hint="eastAsia" w:ascii="宋体" w:hAnsi="宋体"/>
                <w:sz w:val="18"/>
                <w:szCs w:val="18"/>
              </w:rPr>
            </w:pPr>
            <w:r>
              <w:rPr>
                <w:rFonts w:hint="eastAsia" w:ascii="宋体" w:hAnsi="宋体"/>
                <w:sz w:val="18"/>
                <w:szCs w:val="18"/>
                <w:lang w:val="en-US" w:eastAsia="zh-CN"/>
              </w:rPr>
              <w:t>g</w:t>
            </w:r>
            <w:r>
              <w:rPr>
                <w:rFonts w:hint="eastAsia" w:ascii="宋体" w:hAnsi="宋体"/>
                <w:sz w:val="18"/>
                <w:szCs w:val="18"/>
              </w:rPr>
              <w:t>）攀岩场所从业人员上岗应佩戴明显标识。</w:t>
            </w:r>
          </w:p>
        </w:tc>
        <w:tc>
          <w:tcPr>
            <w:tcW w:w="709" w:type="dxa"/>
            <w:tcBorders>
              <w:top w:val="single" w:color="auto" w:sz="8" w:space="0"/>
              <w:bottom w:val="single" w:color="auto" w:sz="8" w:space="0"/>
            </w:tcBorders>
            <w:noWrap w:val="0"/>
            <w:vAlign w:val="center"/>
          </w:tcPr>
          <w:p w14:paraId="33332EFC">
            <w:pPr>
              <w:adjustRightInd w:val="0"/>
              <w:snapToGrid w:val="0"/>
              <w:jc w:val="center"/>
              <w:rPr>
                <w:bCs/>
                <w:sz w:val="18"/>
                <w:szCs w:val="18"/>
              </w:rPr>
            </w:pPr>
          </w:p>
        </w:tc>
        <w:tc>
          <w:tcPr>
            <w:tcW w:w="709" w:type="dxa"/>
            <w:tcBorders>
              <w:top w:val="single" w:color="auto" w:sz="8" w:space="0"/>
              <w:bottom w:val="single" w:color="auto" w:sz="8" w:space="0"/>
            </w:tcBorders>
            <w:noWrap w:val="0"/>
            <w:vAlign w:val="center"/>
          </w:tcPr>
          <w:p w14:paraId="602C157A">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709" w:type="dxa"/>
            <w:tcBorders>
              <w:top w:val="single" w:color="auto" w:sz="8" w:space="0"/>
              <w:bottom w:val="single" w:color="auto" w:sz="8" w:space="0"/>
            </w:tcBorders>
            <w:noWrap w:val="0"/>
            <w:vAlign w:val="center"/>
          </w:tcPr>
          <w:p w14:paraId="249C3D25">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2693" w:type="dxa"/>
            <w:tcBorders>
              <w:top w:val="single" w:color="auto" w:sz="8" w:space="0"/>
              <w:bottom w:val="single" w:color="auto" w:sz="8" w:space="0"/>
            </w:tcBorders>
            <w:noWrap w:val="0"/>
            <w:vAlign w:val="center"/>
          </w:tcPr>
          <w:p w14:paraId="6762514A">
            <w:pPr>
              <w:adjustRightInd w:val="0"/>
              <w:snapToGrid w:val="0"/>
              <w:rPr>
                <w:rFonts w:hint="eastAsia" w:ascii="Times New Roman" w:hAnsi="Times New Roman"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bottom w:val="single" w:color="auto" w:sz="8" w:space="0"/>
            </w:tcBorders>
            <w:noWrap w:val="0"/>
            <w:vAlign w:val="center"/>
          </w:tcPr>
          <w:p w14:paraId="04B86A52">
            <w:pPr>
              <w:adjustRightInd w:val="0"/>
              <w:snapToGrid w:val="0"/>
              <w:jc w:val="center"/>
              <w:rPr>
                <w:bCs/>
                <w:sz w:val="18"/>
                <w:szCs w:val="18"/>
              </w:rPr>
            </w:pPr>
          </w:p>
        </w:tc>
        <w:tc>
          <w:tcPr>
            <w:tcW w:w="1419" w:type="dxa"/>
            <w:tcBorders>
              <w:top w:val="single" w:color="auto" w:sz="8" w:space="0"/>
              <w:bottom w:val="single" w:color="auto" w:sz="8" w:space="0"/>
            </w:tcBorders>
            <w:noWrap w:val="0"/>
            <w:vAlign w:val="center"/>
          </w:tcPr>
          <w:p w14:paraId="3D3CFF9F">
            <w:pPr>
              <w:adjustRightInd w:val="0"/>
              <w:snapToGrid w:val="0"/>
              <w:jc w:val="center"/>
              <w:rPr>
                <w:bCs/>
                <w:sz w:val="18"/>
                <w:szCs w:val="18"/>
              </w:rPr>
            </w:pPr>
          </w:p>
        </w:tc>
        <w:tc>
          <w:tcPr>
            <w:tcW w:w="1348" w:type="dxa"/>
            <w:noWrap w:val="0"/>
            <w:vAlign w:val="center"/>
          </w:tcPr>
          <w:p w14:paraId="0BAA579C">
            <w:pPr>
              <w:widowControl/>
              <w:tabs>
                <w:tab w:val="center" w:pos="4201"/>
                <w:tab w:val="right" w:leader="dot" w:pos="9298"/>
              </w:tabs>
              <w:autoSpaceDE w:val="0"/>
              <w:autoSpaceDN w:val="0"/>
              <w:ind w:right="34"/>
              <w:jc w:val="center"/>
              <w:rPr>
                <w:rFonts w:hint="default" w:ascii="宋体" w:hAnsi="宋体" w:eastAsia="宋体"/>
                <w:sz w:val="18"/>
                <w:szCs w:val="18"/>
                <w:lang w:val="en-US" w:eastAsia="zh-CN"/>
              </w:rPr>
            </w:pPr>
            <w:r>
              <w:rPr>
                <w:rFonts w:hint="eastAsia" w:ascii="宋体" w:hAnsi="宋体"/>
                <w:sz w:val="18"/>
                <w:szCs w:val="18"/>
                <w:lang w:val="en-US" w:eastAsia="zh-CN"/>
              </w:rPr>
              <w:t>4.3.6</w:t>
            </w:r>
          </w:p>
        </w:tc>
      </w:tr>
      <w:tr w14:paraId="4CED34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6682C13D">
            <w:pPr>
              <w:jc w:val="center"/>
              <w:rPr>
                <w:rFonts w:hint="eastAsia" w:ascii="宋体" w:hAnsi="宋体" w:eastAsia="宋体" w:cs="宋体"/>
                <w:kern w:val="2"/>
                <w:sz w:val="18"/>
                <w:szCs w:val="18"/>
                <w:lang w:val="en-US" w:eastAsia="zh-CN" w:bidi="ar-SA"/>
              </w:rPr>
            </w:pPr>
            <w:r>
              <w:rPr>
                <w:rFonts w:hint="eastAsia" w:ascii="宋体" w:hAnsi="宋体"/>
                <w:sz w:val="18"/>
                <w:szCs w:val="18"/>
              </w:rPr>
              <w:t>3.10</w:t>
            </w:r>
          </w:p>
        </w:tc>
        <w:tc>
          <w:tcPr>
            <w:tcW w:w="5849" w:type="dxa"/>
            <w:tcBorders>
              <w:top w:val="single" w:color="auto" w:sz="8" w:space="0"/>
              <w:bottom w:val="single" w:color="auto" w:sz="8" w:space="0"/>
            </w:tcBorders>
            <w:noWrap w:val="0"/>
            <w:vAlign w:val="top"/>
          </w:tcPr>
          <w:p w14:paraId="5680C212">
            <w:pPr>
              <w:adjustRightInd w:val="0"/>
              <w:snapToGrid w:val="0"/>
              <w:rPr>
                <w:rFonts w:hint="eastAsia" w:ascii="宋体" w:hAnsi="宋体"/>
                <w:sz w:val="18"/>
                <w:szCs w:val="18"/>
              </w:rPr>
            </w:pPr>
            <w:r>
              <w:rPr>
                <w:rFonts w:hint="eastAsia" w:ascii="宋体" w:hAnsi="宋体"/>
                <w:sz w:val="18"/>
                <w:szCs w:val="18"/>
              </w:rPr>
              <w:t>蹦床活动设备设施应符合下列要求：</w:t>
            </w:r>
          </w:p>
          <w:p w14:paraId="6D2CDC39">
            <w:pPr>
              <w:adjustRightInd w:val="0"/>
              <w:snapToGrid w:val="0"/>
              <w:ind w:firstLine="0" w:firstLineChars="0"/>
              <w:rPr>
                <w:rFonts w:hint="eastAsia" w:ascii="宋体" w:hAnsi="宋体"/>
                <w:sz w:val="18"/>
                <w:szCs w:val="18"/>
              </w:rPr>
            </w:pPr>
            <w:r>
              <w:rPr>
                <w:rFonts w:hint="eastAsia" w:ascii="宋体" w:hAnsi="宋体"/>
                <w:sz w:val="18"/>
                <w:szCs w:val="18"/>
                <w:lang w:val="en-US" w:eastAsia="zh-CN"/>
              </w:rPr>
              <w:t>a</w:t>
            </w:r>
            <w:r>
              <w:rPr>
                <w:rFonts w:hint="eastAsia" w:ascii="宋体" w:hAnsi="宋体"/>
                <w:sz w:val="18"/>
                <w:szCs w:val="18"/>
              </w:rPr>
              <w:t xml:space="preserve">）应在蹦床场所的醒目位置设置安全警示标志或说明； </w:t>
            </w:r>
          </w:p>
          <w:p w14:paraId="7F90B7A2">
            <w:pPr>
              <w:adjustRightInd w:val="0"/>
              <w:snapToGrid w:val="0"/>
              <w:ind w:firstLine="0" w:firstLineChars="0"/>
              <w:rPr>
                <w:rFonts w:hint="eastAsia" w:ascii="宋体" w:hAnsi="宋体"/>
                <w:sz w:val="18"/>
                <w:szCs w:val="18"/>
                <w:lang w:eastAsia="zh-CN"/>
              </w:rPr>
            </w:pPr>
            <w:r>
              <w:rPr>
                <w:rFonts w:hint="eastAsia" w:ascii="宋体" w:hAnsi="宋体"/>
                <w:sz w:val="18"/>
                <w:szCs w:val="18"/>
                <w:lang w:val="en-US" w:eastAsia="zh-CN"/>
              </w:rPr>
              <w:t>b</w:t>
            </w:r>
            <w:r>
              <w:rPr>
                <w:rFonts w:hint="eastAsia" w:ascii="宋体" w:hAnsi="宋体"/>
                <w:sz w:val="18"/>
                <w:szCs w:val="18"/>
              </w:rPr>
              <w:t>）蹦床网面上方应有不小于5m的安全高度</w:t>
            </w:r>
            <w:r>
              <w:rPr>
                <w:rFonts w:hint="eastAsia" w:ascii="宋体" w:hAnsi="宋体"/>
                <w:sz w:val="18"/>
                <w:szCs w:val="18"/>
                <w:lang w:eastAsia="zh-CN"/>
              </w:rPr>
              <w:t>，</w:t>
            </w:r>
            <w:r>
              <w:rPr>
                <w:rFonts w:hint="eastAsia" w:ascii="宋体" w:hAnsi="宋体"/>
                <w:sz w:val="18"/>
                <w:szCs w:val="18"/>
              </w:rPr>
              <w:t>每张蹦床四周应有不小于2m的安全距离</w:t>
            </w:r>
            <w:r>
              <w:rPr>
                <w:rFonts w:hint="eastAsia" w:ascii="宋体" w:hAnsi="宋体"/>
                <w:sz w:val="18"/>
                <w:szCs w:val="18"/>
                <w:lang w:eastAsia="zh-CN"/>
              </w:rPr>
              <w:t>，</w:t>
            </w:r>
            <w:r>
              <w:rPr>
                <w:rFonts w:hint="eastAsia" w:ascii="宋体" w:hAnsi="宋体"/>
                <w:sz w:val="18"/>
                <w:szCs w:val="18"/>
              </w:rPr>
              <w:t>安全区域内不应有障碍物</w:t>
            </w:r>
            <w:r>
              <w:rPr>
                <w:rFonts w:hint="eastAsia" w:ascii="宋体" w:hAnsi="宋体"/>
                <w:sz w:val="18"/>
                <w:szCs w:val="18"/>
                <w:lang w:eastAsia="zh-CN"/>
              </w:rPr>
              <w:t>；</w:t>
            </w:r>
          </w:p>
          <w:p w14:paraId="3F007725">
            <w:pPr>
              <w:adjustRightInd w:val="0"/>
              <w:snapToGrid w:val="0"/>
              <w:ind w:firstLine="0" w:firstLineChars="0"/>
              <w:rPr>
                <w:rFonts w:hint="eastAsia" w:ascii="宋体" w:hAnsi="宋体"/>
                <w:sz w:val="18"/>
                <w:szCs w:val="18"/>
                <w:lang w:eastAsia="zh-CN"/>
              </w:rPr>
            </w:pPr>
            <w:r>
              <w:rPr>
                <w:rFonts w:hint="eastAsia" w:ascii="宋体" w:hAnsi="宋体"/>
                <w:sz w:val="18"/>
                <w:szCs w:val="18"/>
                <w:lang w:val="en-US" w:eastAsia="zh-CN"/>
              </w:rPr>
              <w:t>c</w:t>
            </w:r>
            <w:r>
              <w:rPr>
                <w:rFonts w:hint="eastAsia" w:ascii="宋体" w:hAnsi="宋体"/>
                <w:sz w:val="18"/>
                <w:szCs w:val="18"/>
              </w:rPr>
              <w:t>）</w:t>
            </w:r>
            <w:r>
              <w:rPr>
                <w:rFonts w:hint="eastAsia" w:ascii="宋体" w:hAnsi="宋体"/>
                <w:sz w:val="18"/>
                <w:szCs w:val="18"/>
                <w:lang w:eastAsia="zh-CN"/>
              </w:rPr>
              <w:t>地面应平整，开放式蹦床四周1m内应铺设不低于15cm厚的海绵保护垫；</w:t>
            </w:r>
          </w:p>
          <w:p w14:paraId="40E28F13">
            <w:pPr>
              <w:adjustRightInd w:val="0"/>
              <w:snapToGrid w:val="0"/>
              <w:ind w:left="0" w:leftChars="0" w:firstLine="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）蹦床场所开放时应有不少于1名蹦床技术指导人员，选择使用开放式蹦床时，每张蹦床应安排至少1名蹦床保护员</w:t>
            </w:r>
            <w:r>
              <w:rPr>
                <w:rFonts w:hint="eastAsia" w:ascii="宋体" w:hAnsi="宋体"/>
                <w:sz w:val="18"/>
                <w:szCs w:val="18"/>
                <w:lang w:eastAsia="zh-CN"/>
              </w:rPr>
              <w:t>；</w:t>
            </w:r>
          </w:p>
          <w:p w14:paraId="5622DB07">
            <w:pPr>
              <w:adjustRightInd w:val="0"/>
              <w:snapToGrid w:val="0"/>
              <w:ind w:left="0" w:leftChars="0" w:firstLine="0" w:firstLineChars="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e</w:t>
            </w:r>
            <w:r>
              <w:rPr>
                <w:rFonts w:hint="eastAsia" w:ascii="宋体" w:hAnsi="宋体"/>
                <w:sz w:val="18"/>
                <w:szCs w:val="18"/>
              </w:rPr>
              <w:t>）应备有必要的急救药品和出现意外时应采取的急救措施</w:t>
            </w:r>
            <w:r>
              <w:rPr>
                <w:rFonts w:hint="eastAsia" w:ascii="宋体" w:hAnsi="宋体"/>
                <w:sz w:val="18"/>
                <w:szCs w:val="18"/>
                <w:lang w:eastAsia="zh-CN"/>
              </w:rPr>
              <w:t>。</w:t>
            </w:r>
          </w:p>
        </w:tc>
        <w:tc>
          <w:tcPr>
            <w:tcW w:w="709" w:type="dxa"/>
            <w:tcBorders>
              <w:top w:val="single" w:color="auto" w:sz="8" w:space="0"/>
              <w:bottom w:val="single" w:color="auto" w:sz="8" w:space="0"/>
            </w:tcBorders>
            <w:noWrap w:val="0"/>
            <w:vAlign w:val="center"/>
          </w:tcPr>
          <w:p w14:paraId="7B64341E">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6451602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709" w:type="dxa"/>
            <w:tcBorders>
              <w:top w:val="single" w:color="auto" w:sz="8" w:space="0"/>
              <w:bottom w:val="single" w:color="auto" w:sz="8" w:space="0"/>
            </w:tcBorders>
            <w:noWrap w:val="0"/>
            <w:vAlign w:val="center"/>
          </w:tcPr>
          <w:p w14:paraId="6808FAAB">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5</w:t>
            </w:r>
          </w:p>
        </w:tc>
        <w:tc>
          <w:tcPr>
            <w:tcW w:w="2693" w:type="dxa"/>
            <w:tcBorders>
              <w:top w:val="single" w:color="auto" w:sz="8" w:space="0"/>
              <w:bottom w:val="single" w:color="auto" w:sz="8" w:space="0"/>
            </w:tcBorders>
            <w:noWrap w:val="0"/>
            <w:vAlign w:val="center"/>
          </w:tcPr>
          <w:p w14:paraId="2E0265DF">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bottom w:val="single" w:color="auto" w:sz="8" w:space="0"/>
            </w:tcBorders>
            <w:noWrap w:val="0"/>
            <w:vAlign w:val="center"/>
          </w:tcPr>
          <w:p w14:paraId="52A370E2">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noWrap w:val="0"/>
            <w:vAlign w:val="center"/>
          </w:tcPr>
          <w:p w14:paraId="2E6227B5">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0251DA9B">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sz w:val="18"/>
                <w:szCs w:val="18"/>
                <w:lang w:eastAsia="zh-CN"/>
              </w:rPr>
              <w:t>4.3</w:t>
            </w:r>
            <w:r>
              <w:rPr>
                <w:rFonts w:hint="eastAsia" w:ascii="宋体" w:hAnsi="宋体"/>
                <w:sz w:val="18"/>
                <w:szCs w:val="18"/>
              </w:rPr>
              <w:t>.</w:t>
            </w:r>
            <w:r>
              <w:rPr>
                <w:rFonts w:hint="eastAsia" w:ascii="宋体" w:hAnsi="宋体"/>
                <w:sz w:val="18"/>
                <w:szCs w:val="18"/>
                <w:lang w:val="en-US" w:eastAsia="zh-CN"/>
              </w:rPr>
              <w:t>7</w:t>
            </w:r>
          </w:p>
        </w:tc>
      </w:tr>
      <w:tr w14:paraId="4F23D9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7F57F98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kern w:val="0"/>
                <w:sz w:val="18"/>
                <w:szCs w:val="18"/>
              </w:rPr>
              <w:t>3.</w:t>
            </w:r>
            <w:r>
              <w:rPr>
                <w:rFonts w:hint="eastAsia" w:ascii="宋体" w:hAnsi="宋体"/>
                <w:kern w:val="0"/>
                <w:sz w:val="18"/>
                <w:szCs w:val="18"/>
                <w:lang w:val="en-US" w:eastAsia="zh-CN"/>
              </w:rPr>
              <w:t>11</w:t>
            </w:r>
          </w:p>
        </w:tc>
        <w:tc>
          <w:tcPr>
            <w:tcW w:w="5849" w:type="dxa"/>
            <w:tcBorders>
              <w:top w:val="single" w:color="auto" w:sz="8" w:space="0"/>
            </w:tcBorders>
            <w:noWrap w:val="0"/>
            <w:vAlign w:val="top"/>
          </w:tcPr>
          <w:p w14:paraId="6BDF77A4">
            <w:pPr>
              <w:adjustRightInd w:val="0"/>
              <w:snapToGrid w:val="0"/>
              <w:rPr>
                <w:rFonts w:hint="eastAsia" w:ascii="宋体" w:hAnsi="宋体"/>
                <w:sz w:val="18"/>
                <w:szCs w:val="18"/>
              </w:rPr>
            </w:pPr>
            <w:r>
              <w:rPr>
                <w:rFonts w:hint="eastAsia" w:ascii="宋体" w:hAnsi="宋体"/>
                <w:sz w:val="18"/>
                <w:szCs w:val="18"/>
              </w:rPr>
              <w:t>儿童游乐设施、健身器械应符合下列要求：</w:t>
            </w:r>
          </w:p>
          <w:p w14:paraId="11DEAB99">
            <w:pPr>
              <w:adjustRightInd w:val="0"/>
              <w:snapToGrid w:val="0"/>
              <w:rPr>
                <w:rFonts w:hint="eastAsia" w:ascii="宋体" w:hAnsi="宋体"/>
                <w:sz w:val="18"/>
                <w:szCs w:val="18"/>
              </w:rPr>
            </w:pPr>
            <w:r>
              <w:rPr>
                <w:rFonts w:hint="eastAsia" w:ascii="宋体" w:hAnsi="宋体"/>
                <w:sz w:val="18"/>
                <w:szCs w:val="18"/>
              </w:rPr>
              <w:t>a跌落空间内不应有任何导致使用者伤害的障碍；</w:t>
            </w:r>
          </w:p>
          <w:p w14:paraId="787CE9AC">
            <w:pPr>
              <w:adjustRightInd w:val="0"/>
              <w:snapToGrid w:val="0"/>
              <w:rPr>
                <w:rFonts w:hint="eastAsia" w:ascii="宋体" w:hAnsi="宋体"/>
                <w:sz w:val="18"/>
                <w:szCs w:val="18"/>
              </w:rPr>
            </w:pPr>
            <w:r>
              <w:rPr>
                <w:rFonts w:hint="eastAsia" w:ascii="宋体" w:hAnsi="宋体"/>
                <w:sz w:val="18"/>
                <w:szCs w:val="18"/>
              </w:rPr>
              <w:t>b）健身器材在正常使用过程中，不应有任何方向的倾斜、翻倒或较明显的永久变形现象；</w:t>
            </w:r>
          </w:p>
          <w:p w14:paraId="419BECAA">
            <w:pPr>
              <w:adjustRightInd w:val="0"/>
              <w:snapToGrid w:val="0"/>
              <w:rPr>
                <w:rFonts w:hint="eastAsia" w:ascii="宋体" w:hAnsi="宋体"/>
                <w:sz w:val="18"/>
                <w:szCs w:val="18"/>
              </w:rPr>
            </w:pPr>
            <w:r>
              <w:rPr>
                <w:rFonts w:hint="eastAsia" w:ascii="宋体" w:hAnsi="宋体"/>
                <w:sz w:val="18"/>
                <w:szCs w:val="18"/>
              </w:rPr>
              <w:t>c）健身器材安装应稳固、可靠，不应有基础部件和支撑部件的松动和晃动现象；</w:t>
            </w:r>
          </w:p>
          <w:p w14:paraId="0CEEE404">
            <w:pPr>
              <w:adjustRightInd w:val="0"/>
              <w:snapToGrid w:val="0"/>
              <w:rPr>
                <w:rFonts w:hint="eastAsia" w:ascii="宋体" w:hAnsi="宋体"/>
                <w:sz w:val="18"/>
                <w:szCs w:val="18"/>
                <w:lang w:val="en-US" w:eastAsia="zh-CN"/>
              </w:rPr>
            </w:pPr>
            <w:r>
              <w:rPr>
                <w:rFonts w:hint="eastAsia" w:ascii="宋体" w:hAnsi="宋体"/>
                <w:sz w:val="18"/>
                <w:szCs w:val="18"/>
              </w:rPr>
              <w:t>d）超过安全使用寿命的健身器材，应及时报废拆除；</w:t>
            </w:r>
          </w:p>
        </w:tc>
        <w:tc>
          <w:tcPr>
            <w:tcW w:w="709" w:type="dxa"/>
            <w:tcBorders>
              <w:top w:val="single" w:color="auto" w:sz="8" w:space="0"/>
            </w:tcBorders>
            <w:noWrap w:val="0"/>
            <w:vAlign w:val="center"/>
          </w:tcPr>
          <w:p w14:paraId="307BE253">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tcBorders>
            <w:noWrap w:val="0"/>
            <w:vAlign w:val="center"/>
          </w:tcPr>
          <w:p w14:paraId="238E01EC">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709" w:type="dxa"/>
            <w:tcBorders>
              <w:top w:val="single" w:color="auto" w:sz="8" w:space="0"/>
            </w:tcBorders>
            <w:noWrap w:val="0"/>
            <w:vAlign w:val="center"/>
          </w:tcPr>
          <w:p w14:paraId="2D5B6403">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rPr>
              <w:t>5</w:t>
            </w:r>
          </w:p>
        </w:tc>
        <w:tc>
          <w:tcPr>
            <w:tcW w:w="2693" w:type="dxa"/>
            <w:tcBorders>
              <w:top w:val="single" w:color="auto" w:sz="8" w:space="0"/>
            </w:tcBorders>
            <w:noWrap w:val="0"/>
            <w:vAlign w:val="center"/>
          </w:tcPr>
          <w:p w14:paraId="4677B250">
            <w:pPr>
              <w:adjustRightInd w:val="0"/>
              <w:snapToGrid w:val="0"/>
              <w:rPr>
                <w:rFonts w:hint="eastAsia" w:ascii="宋体" w:hAnsi="宋体" w:eastAsia="宋体" w:cs="Times New Roman"/>
                <w:bCs/>
                <w:kern w:val="2"/>
                <w:sz w:val="18"/>
                <w:szCs w:val="18"/>
                <w:lang w:val="en-US" w:eastAsia="zh-CN" w:bidi="ar-SA"/>
              </w:rPr>
            </w:pPr>
            <w:r>
              <w:rPr>
                <w:rFonts w:hint="eastAsia" w:ascii="宋体" w:hAnsi="宋体" w:cs="宋体"/>
                <w:sz w:val="18"/>
                <w:szCs w:val="18"/>
              </w:rPr>
              <w:t>一处不符合扣2分。</w:t>
            </w:r>
          </w:p>
        </w:tc>
        <w:tc>
          <w:tcPr>
            <w:tcW w:w="709" w:type="dxa"/>
            <w:tcBorders>
              <w:top w:val="single" w:color="auto" w:sz="8" w:space="0"/>
            </w:tcBorders>
            <w:noWrap w:val="0"/>
            <w:vAlign w:val="center"/>
          </w:tcPr>
          <w:p w14:paraId="47590871">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tcBorders>
            <w:noWrap w:val="0"/>
            <w:vAlign w:val="center"/>
          </w:tcPr>
          <w:p w14:paraId="2D75BB2F">
            <w:pPr>
              <w:adjustRightInd w:val="0"/>
              <w:snapToGrid w:val="0"/>
              <w:jc w:val="center"/>
              <w:rPr>
                <w:rFonts w:ascii="宋体" w:hAnsi="宋体" w:eastAsia="宋体" w:cs="Times New Roman"/>
                <w:bCs/>
                <w:kern w:val="2"/>
                <w:sz w:val="18"/>
                <w:szCs w:val="18"/>
                <w:lang w:val="en-US" w:eastAsia="zh-CN" w:bidi="ar-SA"/>
              </w:rPr>
            </w:pPr>
          </w:p>
        </w:tc>
        <w:tc>
          <w:tcPr>
            <w:tcW w:w="1348" w:type="dxa"/>
            <w:noWrap w:val="0"/>
            <w:vAlign w:val="center"/>
          </w:tcPr>
          <w:p w14:paraId="3B97D449">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kern w:val="0"/>
                <w:sz w:val="18"/>
                <w:szCs w:val="18"/>
                <w:lang w:eastAsia="zh-CN"/>
              </w:rPr>
              <w:t>4.3</w:t>
            </w:r>
            <w:r>
              <w:rPr>
                <w:rFonts w:hint="eastAsia" w:ascii="宋体" w:hAnsi="宋体"/>
                <w:kern w:val="0"/>
                <w:sz w:val="18"/>
                <w:szCs w:val="18"/>
              </w:rPr>
              <w:t>.</w:t>
            </w:r>
            <w:r>
              <w:rPr>
                <w:rFonts w:hint="eastAsia" w:ascii="宋体" w:hAnsi="宋体"/>
                <w:kern w:val="0"/>
                <w:sz w:val="18"/>
                <w:szCs w:val="18"/>
                <w:lang w:val="en-US" w:eastAsia="zh-CN"/>
              </w:rPr>
              <w:t>8</w:t>
            </w:r>
          </w:p>
        </w:tc>
      </w:tr>
    </w:tbl>
    <w:p w14:paraId="7F6DAAF0">
      <w:pPr>
        <w:pStyle w:val="168"/>
        <w:widowControl/>
        <w:numPr>
          <w:ilvl w:val="0"/>
          <w:numId w:val="0"/>
        </w:numPr>
        <w:spacing w:before="156" w:after="156"/>
        <w:ind w:left="567" w:hanging="567"/>
      </w:pPr>
      <w:r>
        <w:br w:type="page"/>
      </w: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1E7528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4BBFB073">
            <w:pPr>
              <w:adjustRightInd w:val="0"/>
              <w:snapToGrid w:val="0"/>
              <w:jc w:val="center"/>
              <w:rPr>
                <w:rFonts w:ascii="宋体" w:hAnsi="宋体"/>
                <w:sz w:val="18"/>
                <w:szCs w:val="18"/>
              </w:rPr>
            </w:pPr>
            <w:r>
              <w:rPr>
                <w:rFonts w:ascii="宋体" w:hAnsi="宋体"/>
                <w:bCs/>
                <w:sz w:val="18"/>
                <w:szCs w:val="18"/>
              </w:rPr>
              <w:t>序号</w:t>
            </w:r>
          </w:p>
        </w:tc>
        <w:tc>
          <w:tcPr>
            <w:tcW w:w="5849" w:type="dxa"/>
            <w:tcBorders>
              <w:top w:val="single" w:color="auto" w:sz="8" w:space="0"/>
              <w:bottom w:val="single" w:color="auto" w:sz="8" w:space="0"/>
            </w:tcBorders>
            <w:noWrap w:val="0"/>
            <w:vAlign w:val="center"/>
          </w:tcPr>
          <w:p w14:paraId="4C35682E">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25EAC7DE">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36F34B23">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218E547A">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571B7D60">
            <w:pPr>
              <w:adjustRightInd w:val="0"/>
              <w:snapToGrid w:val="0"/>
              <w:jc w:val="center"/>
              <w:rPr>
                <w:rFonts w:ascii="宋体" w:hAnsi="宋体"/>
                <w:sz w:val="18"/>
                <w:szCs w:val="18"/>
              </w:rPr>
            </w:pPr>
            <w:r>
              <w:rPr>
                <w:rFonts w:ascii="宋体" w:hAnsi="宋体"/>
                <w:bCs/>
                <w:sz w:val="18"/>
                <w:szCs w:val="18"/>
              </w:rPr>
              <w:t>评分标准</w:t>
            </w:r>
          </w:p>
        </w:tc>
        <w:tc>
          <w:tcPr>
            <w:tcW w:w="709" w:type="dxa"/>
            <w:tcBorders>
              <w:top w:val="single" w:color="auto" w:sz="8" w:space="0"/>
              <w:bottom w:val="single" w:color="auto" w:sz="8" w:space="0"/>
            </w:tcBorders>
            <w:noWrap w:val="0"/>
            <w:vAlign w:val="center"/>
          </w:tcPr>
          <w:p w14:paraId="1401DE9C">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06249C4C">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14365411">
            <w:pPr>
              <w:adjustRightInd w:val="0"/>
              <w:snapToGrid w:val="0"/>
              <w:jc w:val="center"/>
              <w:rPr>
                <w:rFonts w:ascii="宋体" w:hAnsi="宋体"/>
                <w:sz w:val="18"/>
                <w:szCs w:val="18"/>
              </w:rPr>
            </w:pPr>
            <w:r>
              <w:rPr>
                <w:rFonts w:ascii="宋体" w:hAnsi="宋体"/>
                <w:bCs/>
                <w:sz w:val="18"/>
                <w:szCs w:val="18"/>
              </w:rPr>
              <w:t>对应条款编号</w:t>
            </w:r>
          </w:p>
        </w:tc>
      </w:tr>
      <w:tr w14:paraId="643D35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0BE5A7AD">
            <w:pPr>
              <w:adjustRightInd w:val="0"/>
              <w:snapToGrid w:val="0"/>
              <w:jc w:val="center"/>
              <w:rPr>
                <w:rFonts w:hint="default" w:ascii="宋体" w:hAnsi="宋体" w:eastAsia="宋体" w:cs="Times New Roman"/>
                <w:bCs/>
                <w:kern w:val="2"/>
                <w:sz w:val="18"/>
                <w:szCs w:val="18"/>
                <w:lang w:val="en-US" w:eastAsia="zh-CN" w:bidi="ar-SA"/>
              </w:rPr>
            </w:pPr>
          </w:p>
        </w:tc>
        <w:tc>
          <w:tcPr>
            <w:tcW w:w="5849" w:type="dxa"/>
            <w:tcBorders>
              <w:top w:val="single" w:color="auto" w:sz="8" w:space="0"/>
              <w:bottom w:val="single" w:color="auto" w:sz="8" w:space="0"/>
            </w:tcBorders>
            <w:noWrap w:val="0"/>
            <w:vAlign w:val="top"/>
          </w:tcPr>
          <w:p w14:paraId="256A095B">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）应在儿童游乐设施、健身器械等周围设置安全注意事项；</w:t>
            </w:r>
          </w:p>
          <w:p w14:paraId="1CCB88DB">
            <w:pPr>
              <w:adjustRightInd w:val="0"/>
              <w:snapToGrid w:val="0"/>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）高度较高、具有坠落危险的游乐设施应配置</w:t>
            </w:r>
            <w:r>
              <w:rPr>
                <w:rFonts w:hint="eastAsia" w:ascii="宋体" w:hAnsi="宋体"/>
                <w:sz w:val="18"/>
                <w:szCs w:val="18"/>
                <w:lang w:val="en-US" w:eastAsia="zh-CN"/>
              </w:rPr>
              <w:t>缓冲装置</w:t>
            </w:r>
            <w:r>
              <w:rPr>
                <w:rFonts w:hint="eastAsia" w:ascii="宋体" w:hAnsi="宋体"/>
                <w:sz w:val="18"/>
                <w:szCs w:val="18"/>
              </w:rPr>
              <w:t>及安全警示标志；</w:t>
            </w:r>
          </w:p>
          <w:p w14:paraId="07A9FC0E">
            <w:pPr>
              <w:adjustRightInd w:val="0"/>
              <w:snapToGrid w:val="0"/>
              <w:rPr>
                <w:rFonts w:ascii="宋体" w:hAnsi="宋体" w:eastAsia="宋体" w:cs="Times New Roman"/>
                <w:kern w:val="2"/>
                <w:sz w:val="18"/>
                <w:szCs w:val="18"/>
                <w:lang w:val="en-US" w:eastAsia="zh-CN" w:bidi="ar-SA"/>
              </w:rPr>
            </w:pPr>
            <w:r>
              <w:rPr>
                <w:rFonts w:hint="eastAsia" w:ascii="宋体" w:hAnsi="宋体"/>
                <w:sz w:val="18"/>
                <w:szCs w:val="18"/>
                <w:lang w:val="en-US" w:eastAsia="zh-CN"/>
              </w:rPr>
              <w:t>g</w:t>
            </w:r>
            <w:r>
              <w:rPr>
                <w:rFonts w:hint="eastAsia" w:ascii="宋体" w:hAnsi="宋体"/>
                <w:sz w:val="18"/>
                <w:szCs w:val="18"/>
              </w:rPr>
              <w:t>）器材或场地停用或维修时应将游乐器材卸下或封存，并张贴安全警示标志。</w:t>
            </w:r>
          </w:p>
        </w:tc>
        <w:tc>
          <w:tcPr>
            <w:tcW w:w="709" w:type="dxa"/>
            <w:tcBorders>
              <w:top w:val="single" w:color="auto" w:sz="8" w:space="0"/>
              <w:bottom w:val="single" w:color="auto" w:sz="8" w:space="0"/>
            </w:tcBorders>
            <w:noWrap w:val="0"/>
            <w:vAlign w:val="center"/>
          </w:tcPr>
          <w:p w14:paraId="213EFD76">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48BCA07B">
            <w:pPr>
              <w:adjustRightInd w:val="0"/>
              <w:snapToGrid w:val="0"/>
              <w:jc w:val="center"/>
              <w:rPr>
                <w:rFonts w:hint="eastAsia"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2512EBA1">
            <w:pPr>
              <w:ind w:firstLine="180" w:firstLineChars="100"/>
              <w:rPr>
                <w:rFonts w:hint="eastAsia" w:ascii="宋体" w:hAnsi="宋体" w:eastAsia="宋体" w:cs="宋体"/>
                <w:kern w:val="2"/>
                <w:sz w:val="18"/>
                <w:szCs w:val="18"/>
                <w:lang w:val="en-US" w:eastAsia="zh-CN" w:bidi="ar-SA"/>
              </w:rPr>
            </w:pPr>
          </w:p>
        </w:tc>
        <w:tc>
          <w:tcPr>
            <w:tcW w:w="2693" w:type="dxa"/>
            <w:tcBorders>
              <w:top w:val="single" w:color="auto" w:sz="8" w:space="0"/>
              <w:bottom w:val="single" w:color="auto" w:sz="8" w:space="0"/>
            </w:tcBorders>
            <w:noWrap w:val="0"/>
            <w:vAlign w:val="center"/>
          </w:tcPr>
          <w:p w14:paraId="75A22B7E">
            <w:pPr>
              <w:adjustRightInd w:val="0"/>
              <w:snapToGrid w:val="0"/>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noWrap w:val="0"/>
            <w:vAlign w:val="center"/>
          </w:tcPr>
          <w:p w14:paraId="1A54E264">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noWrap w:val="0"/>
            <w:vAlign w:val="center"/>
          </w:tcPr>
          <w:p w14:paraId="33974A82">
            <w:pPr>
              <w:adjustRightInd w:val="0"/>
              <w:snapToGrid w:val="0"/>
              <w:jc w:val="center"/>
              <w:rPr>
                <w:rFonts w:ascii="宋体" w:hAnsi="宋体" w:eastAsia="宋体" w:cs="Times New Roman"/>
                <w:bCs/>
                <w:kern w:val="2"/>
                <w:sz w:val="18"/>
                <w:szCs w:val="18"/>
                <w:lang w:val="en-US" w:eastAsia="zh-CN" w:bidi="ar-SA"/>
              </w:rPr>
            </w:pPr>
          </w:p>
        </w:tc>
        <w:tc>
          <w:tcPr>
            <w:tcW w:w="1348" w:type="dxa"/>
            <w:tcBorders>
              <w:top w:val="single" w:color="auto" w:sz="8" w:space="0"/>
              <w:bottom w:val="single" w:color="auto" w:sz="8" w:space="0"/>
            </w:tcBorders>
            <w:noWrap w:val="0"/>
            <w:vAlign w:val="center"/>
          </w:tcPr>
          <w:p w14:paraId="5278E93B">
            <w:pPr>
              <w:widowControl/>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p>
        </w:tc>
      </w:tr>
      <w:tr w14:paraId="0B17C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13547ED4">
            <w:pPr>
              <w:jc w:val="center"/>
              <w:rPr>
                <w:rFonts w:hint="eastAsia" w:ascii="宋体" w:hAnsi="宋体"/>
                <w:sz w:val="18"/>
                <w:szCs w:val="18"/>
              </w:rPr>
            </w:pPr>
            <w:r>
              <w:rPr>
                <w:rFonts w:hint="eastAsia" w:ascii="宋体" w:hAnsi="宋体"/>
                <w:sz w:val="18"/>
                <w:szCs w:val="18"/>
              </w:rPr>
              <w:t>3.1</w:t>
            </w:r>
            <w:r>
              <w:rPr>
                <w:rFonts w:hint="eastAsia" w:ascii="宋体" w:hAnsi="宋体"/>
                <w:sz w:val="18"/>
                <w:szCs w:val="18"/>
                <w:lang w:val="en-US" w:eastAsia="zh-CN"/>
              </w:rPr>
              <w:t>2</w:t>
            </w:r>
          </w:p>
        </w:tc>
        <w:tc>
          <w:tcPr>
            <w:tcW w:w="5849" w:type="dxa"/>
            <w:tcBorders>
              <w:top w:val="single" w:color="auto" w:sz="8" w:space="0"/>
              <w:bottom w:val="single" w:color="auto" w:sz="8" w:space="0"/>
            </w:tcBorders>
            <w:noWrap w:val="0"/>
            <w:vAlign w:val="top"/>
          </w:tcPr>
          <w:p w14:paraId="22263B6D">
            <w:pPr>
              <w:adjustRightInd w:val="0"/>
              <w:snapToGrid w:val="0"/>
              <w:rPr>
                <w:rFonts w:hint="eastAsia" w:ascii="宋体" w:hAnsi="宋体"/>
                <w:sz w:val="18"/>
                <w:szCs w:val="18"/>
              </w:rPr>
            </w:pPr>
            <w:r>
              <w:rPr>
                <w:rFonts w:hint="eastAsia" w:ascii="宋体" w:hAnsi="宋体"/>
                <w:sz w:val="18"/>
                <w:szCs w:val="18"/>
              </w:rPr>
              <w:t>动物设施应符合下列要求：</w:t>
            </w:r>
          </w:p>
          <w:p w14:paraId="257E0945">
            <w:pPr>
              <w:adjustRightInd w:val="0"/>
              <w:snapToGrid w:val="0"/>
              <w:rPr>
                <w:rFonts w:hint="eastAsia" w:ascii="宋体" w:hAnsi="宋体"/>
                <w:sz w:val="18"/>
                <w:szCs w:val="18"/>
              </w:rPr>
            </w:pPr>
            <w:r>
              <w:rPr>
                <w:rFonts w:hint="eastAsia" w:ascii="宋体" w:hAnsi="宋体"/>
                <w:sz w:val="18"/>
                <w:szCs w:val="18"/>
              </w:rPr>
              <w:t>a）应根据动物的种类、习性采取不同圈养方式并具有防逃逸措施；</w:t>
            </w:r>
          </w:p>
          <w:p w14:paraId="575A10D2">
            <w:pPr>
              <w:adjustRightInd w:val="0"/>
              <w:snapToGrid w:val="0"/>
              <w:rPr>
                <w:rFonts w:hint="eastAsia" w:ascii="宋体" w:hAnsi="宋体"/>
                <w:sz w:val="18"/>
                <w:szCs w:val="18"/>
              </w:rPr>
            </w:pPr>
            <w:r>
              <w:rPr>
                <w:rFonts w:hint="eastAsia" w:ascii="宋体" w:hAnsi="宋体"/>
                <w:sz w:val="18"/>
                <w:szCs w:val="18"/>
              </w:rPr>
              <w:t>b）动物的笼舍、围栏、护网、壕沟、</w:t>
            </w:r>
            <w:r>
              <w:rPr>
                <w:rFonts w:hint="eastAsia" w:ascii="宋体" w:hAnsi="宋体"/>
                <w:sz w:val="18"/>
                <w:szCs w:val="18"/>
                <w:lang w:val="en-US" w:eastAsia="zh-CN"/>
              </w:rPr>
              <w:t>水体、玻璃幕墙、</w:t>
            </w:r>
            <w:r>
              <w:rPr>
                <w:rFonts w:hint="eastAsia" w:ascii="宋体" w:hAnsi="宋体"/>
                <w:sz w:val="18"/>
                <w:szCs w:val="18"/>
              </w:rPr>
              <w:t>门锁等应完好有效；</w:t>
            </w:r>
          </w:p>
          <w:p w14:paraId="273E736A">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w:t>
            </w:r>
            <w:r>
              <w:rPr>
                <w:rFonts w:hint="eastAsia" w:ascii="宋体" w:hAnsi="宋体"/>
                <w:sz w:val="18"/>
                <w:szCs w:val="18"/>
                <w:lang w:val="en-US" w:eastAsia="zh-CN"/>
              </w:rPr>
              <w:t>应</w:t>
            </w:r>
            <w:r>
              <w:rPr>
                <w:rFonts w:hint="eastAsia" w:ascii="宋体" w:hAnsi="宋体"/>
                <w:sz w:val="18"/>
                <w:szCs w:val="18"/>
              </w:rPr>
              <w:t>张贴</w:t>
            </w:r>
            <w:r>
              <w:rPr>
                <w:rFonts w:hint="eastAsia" w:ascii="宋体" w:hAnsi="宋体"/>
                <w:sz w:val="18"/>
                <w:szCs w:val="18"/>
                <w:lang w:eastAsia="zh-CN"/>
              </w:rPr>
              <w:t>标志</w:t>
            </w:r>
            <w:r>
              <w:rPr>
                <w:rFonts w:hint="eastAsia" w:ascii="宋体" w:hAnsi="宋体"/>
                <w:sz w:val="18"/>
                <w:szCs w:val="18"/>
              </w:rPr>
              <w:t>，提醒游客不应在园内大声喧哗、戏弄、逗喂或惊扰动物；</w:t>
            </w:r>
          </w:p>
          <w:p w14:paraId="7E34451A">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val="en-US" w:eastAsia="zh-CN"/>
              </w:rPr>
              <w:t>应</w:t>
            </w:r>
            <w:r>
              <w:rPr>
                <w:rFonts w:hint="eastAsia" w:ascii="宋体" w:hAnsi="宋体"/>
                <w:sz w:val="18"/>
                <w:szCs w:val="18"/>
              </w:rPr>
              <w:t>设专人负责全园笼舍安全检查，每日至少组织1次自查并记录</w:t>
            </w:r>
            <w:r>
              <w:rPr>
                <w:rFonts w:hint="eastAsia" w:ascii="宋体" w:hAnsi="宋体"/>
                <w:sz w:val="18"/>
                <w:szCs w:val="18"/>
                <w:lang w:eastAsia="zh-CN"/>
              </w:rPr>
              <w:t>。</w:t>
            </w:r>
          </w:p>
        </w:tc>
        <w:tc>
          <w:tcPr>
            <w:tcW w:w="709" w:type="dxa"/>
            <w:tcBorders>
              <w:top w:val="single" w:color="auto" w:sz="8" w:space="0"/>
              <w:bottom w:val="single" w:color="auto" w:sz="8" w:space="0"/>
            </w:tcBorders>
            <w:noWrap w:val="0"/>
            <w:vAlign w:val="center"/>
          </w:tcPr>
          <w:p w14:paraId="0F40B85E">
            <w:pPr>
              <w:adjustRightInd w:val="0"/>
              <w:snapToGrid w:val="0"/>
              <w:jc w:val="center"/>
              <w:rPr>
                <w:rFonts w:ascii="宋体" w:hAnsi="宋体"/>
                <w:bCs/>
                <w:sz w:val="18"/>
                <w:szCs w:val="18"/>
              </w:rPr>
            </w:pPr>
          </w:p>
        </w:tc>
        <w:tc>
          <w:tcPr>
            <w:tcW w:w="709" w:type="dxa"/>
            <w:tcBorders>
              <w:top w:val="single" w:color="auto" w:sz="8" w:space="0"/>
              <w:bottom w:val="single" w:color="auto" w:sz="8" w:space="0"/>
            </w:tcBorders>
            <w:noWrap w:val="0"/>
            <w:vAlign w:val="center"/>
          </w:tcPr>
          <w:p w14:paraId="434ABD91">
            <w:pPr>
              <w:adjustRightInd w:val="0"/>
              <w:snapToGrid w:val="0"/>
              <w:jc w:val="center"/>
              <w:rPr>
                <w:rFonts w:hint="eastAsia" w:ascii="宋体" w:hAnsi="宋体"/>
                <w:bCs/>
                <w:sz w:val="18"/>
                <w:szCs w:val="18"/>
              </w:rPr>
            </w:pPr>
            <w:r>
              <w:rPr>
                <w:rFonts w:hint="eastAsia" w:ascii="宋体" w:hAnsi="宋体"/>
                <w:bCs/>
                <w:sz w:val="18"/>
                <w:szCs w:val="18"/>
              </w:rPr>
              <w:t>7</w:t>
            </w:r>
          </w:p>
        </w:tc>
        <w:tc>
          <w:tcPr>
            <w:tcW w:w="709" w:type="dxa"/>
            <w:tcBorders>
              <w:top w:val="single" w:color="auto" w:sz="8" w:space="0"/>
              <w:bottom w:val="single" w:color="auto" w:sz="8" w:space="0"/>
            </w:tcBorders>
            <w:noWrap w:val="0"/>
            <w:vAlign w:val="center"/>
          </w:tcPr>
          <w:p w14:paraId="0A5DFF00">
            <w:pPr>
              <w:ind w:firstLine="180" w:firstLineChars="100"/>
              <w:rPr>
                <w:rFonts w:hint="eastAsia" w:ascii="宋体" w:hAnsi="宋体" w:cs="宋体"/>
                <w:sz w:val="18"/>
                <w:szCs w:val="18"/>
              </w:rPr>
            </w:pPr>
            <w:r>
              <w:rPr>
                <w:rFonts w:hint="eastAsia" w:ascii="宋体" w:hAnsi="宋体" w:cs="宋体"/>
                <w:sz w:val="18"/>
                <w:szCs w:val="18"/>
              </w:rPr>
              <w:t>7</w:t>
            </w:r>
          </w:p>
        </w:tc>
        <w:tc>
          <w:tcPr>
            <w:tcW w:w="2693" w:type="dxa"/>
            <w:tcBorders>
              <w:top w:val="single" w:color="auto" w:sz="8" w:space="0"/>
              <w:bottom w:val="single" w:color="auto" w:sz="8" w:space="0"/>
            </w:tcBorders>
            <w:noWrap w:val="0"/>
            <w:vAlign w:val="center"/>
          </w:tcPr>
          <w:p w14:paraId="6E5A6D6C">
            <w:pPr>
              <w:adjustRightInd w:val="0"/>
              <w:snapToGrid w:val="0"/>
              <w:rPr>
                <w:rFonts w:ascii="宋体" w:hAnsi="宋体"/>
                <w:bCs/>
                <w:sz w:val="18"/>
                <w:szCs w:val="18"/>
              </w:rPr>
            </w:pPr>
            <w:r>
              <w:rPr>
                <w:rFonts w:hint="eastAsia" w:ascii="宋体" w:hAnsi="宋体" w:cs="宋体"/>
                <w:sz w:val="18"/>
                <w:szCs w:val="18"/>
              </w:rPr>
              <w:t>一处不符合扣3分。</w:t>
            </w:r>
          </w:p>
        </w:tc>
        <w:tc>
          <w:tcPr>
            <w:tcW w:w="709" w:type="dxa"/>
            <w:tcBorders>
              <w:top w:val="single" w:color="auto" w:sz="8" w:space="0"/>
              <w:bottom w:val="single" w:color="auto" w:sz="8" w:space="0"/>
            </w:tcBorders>
            <w:noWrap w:val="0"/>
            <w:vAlign w:val="center"/>
          </w:tcPr>
          <w:p w14:paraId="4C9C1248">
            <w:pPr>
              <w:adjustRightInd w:val="0"/>
              <w:snapToGrid w:val="0"/>
              <w:jc w:val="center"/>
              <w:rPr>
                <w:rFonts w:ascii="宋体" w:hAnsi="宋体"/>
                <w:bCs/>
                <w:sz w:val="18"/>
                <w:szCs w:val="18"/>
              </w:rPr>
            </w:pPr>
          </w:p>
        </w:tc>
        <w:tc>
          <w:tcPr>
            <w:tcW w:w="1419" w:type="dxa"/>
            <w:tcBorders>
              <w:top w:val="single" w:color="auto" w:sz="8" w:space="0"/>
              <w:bottom w:val="single" w:color="auto" w:sz="8" w:space="0"/>
            </w:tcBorders>
            <w:noWrap w:val="0"/>
            <w:vAlign w:val="center"/>
          </w:tcPr>
          <w:p w14:paraId="53599E27">
            <w:pPr>
              <w:adjustRightInd w:val="0"/>
              <w:snapToGrid w:val="0"/>
              <w:jc w:val="center"/>
              <w:rPr>
                <w:rFonts w:ascii="宋体" w:hAnsi="宋体"/>
                <w:bCs/>
                <w:sz w:val="18"/>
                <w:szCs w:val="18"/>
              </w:rPr>
            </w:pPr>
          </w:p>
        </w:tc>
        <w:tc>
          <w:tcPr>
            <w:tcW w:w="1348" w:type="dxa"/>
            <w:noWrap w:val="0"/>
            <w:vAlign w:val="center"/>
          </w:tcPr>
          <w:p w14:paraId="25B0EBC1">
            <w:pPr>
              <w:widowControl/>
              <w:tabs>
                <w:tab w:val="center" w:pos="4201"/>
                <w:tab w:val="right" w:leader="dot" w:pos="9298"/>
              </w:tabs>
              <w:autoSpaceDE w:val="0"/>
              <w:autoSpaceDN w:val="0"/>
              <w:ind w:right="34"/>
              <w:jc w:val="center"/>
              <w:rPr>
                <w:rFonts w:hint="eastAsia" w:ascii="宋体" w:hAnsi="宋体" w:eastAsia="宋体"/>
                <w:kern w:val="0"/>
                <w:sz w:val="18"/>
                <w:szCs w:val="18"/>
                <w:lang w:eastAsia="zh-CN"/>
              </w:rPr>
            </w:pPr>
            <w:r>
              <w:rPr>
                <w:rFonts w:hint="eastAsia" w:ascii="宋体" w:hAnsi="宋体"/>
                <w:kern w:val="0"/>
                <w:sz w:val="18"/>
                <w:szCs w:val="18"/>
                <w:lang w:eastAsia="zh-CN"/>
              </w:rPr>
              <w:t>4.3</w:t>
            </w:r>
            <w:r>
              <w:rPr>
                <w:rFonts w:hint="eastAsia" w:ascii="宋体" w:hAnsi="宋体"/>
                <w:kern w:val="0"/>
                <w:sz w:val="18"/>
                <w:szCs w:val="18"/>
              </w:rPr>
              <w:t>.</w:t>
            </w:r>
            <w:r>
              <w:rPr>
                <w:rFonts w:hint="eastAsia" w:ascii="宋体" w:hAnsi="宋体"/>
                <w:kern w:val="0"/>
                <w:sz w:val="18"/>
                <w:szCs w:val="18"/>
                <w:lang w:val="en-US" w:eastAsia="zh-CN"/>
              </w:rPr>
              <w:t>9</w:t>
            </w:r>
          </w:p>
        </w:tc>
      </w:tr>
      <w:tr w14:paraId="314D1D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21078111">
            <w:pPr>
              <w:jc w:val="center"/>
              <w:rPr>
                <w:rFonts w:hint="eastAsia" w:ascii="宋体" w:hAnsi="宋体" w:eastAsia="宋体"/>
                <w:sz w:val="18"/>
                <w:szCs w:val="18"/>
                <w:lang w:eastAsia="zh-CN"/>
              </w:rPr>
            </w:pPr>
            <w:r>
              <w:rPr>
                <w:rFonts w:hint="eastAsia" w:ascii="宋体" w:hAnsi="宋体"/>
                <w:sz w:val="18"/>
                <w:szCs w:val="18"/>
              </w:rPr>
              <w:t>3.1</w:t>
            </w:r>
            <w:r>
              <w:rPr>
                <w:rFonts w:hint="eastAsia" w:ascii="宋体" w:hAnsi="宋体"/>
                <w:sz w:val="18"/>
                <w:szCs w:val="18"/>
                <w:lang w:val="en-US" w:eastAsia="zh-CN"/>
              </w:rPr>
              <w:t>3</w:t>
            </w:r>
          </w:p>
        </w:tc>
        <w:tc>
          <w:tcPr>
            <w:tcW w:w="5849" w:type="dxa"/>
            <w:tcBorders>
              <w:top w:val="single" w:color="auto" w:sz="8" w:space="0"/>
              <w:bottom w:val="single" w:color="auto" w:sz="8" w:space="0"/>
            </w:tcBorders>
            <w:noWrap w:val="0"/>
            <w:vAlign w:val="top"/>
          </w:tcPr>
          <w:p w14:paraId="7EBCD042">
            <w:pPr>
              <w:adjustRightInd w:val="0"/>
              <w:snapToGrid w:val="0"/>
              <w:rPr>
                <w:rFonts w:hint="eastAsia" w:ascii="宋体" w:hAnsi="宋体"/>
                <w:sz w:val="18"/>
                <w:szCs w:val="18"/>
              </w:rPr>
            </w:pPr>
            <w:r>
              <w:rPr>
                <w:rFonts w:hint="eastAsia" w:ascii="宋体" w:hAnsi="宋体"/>
                <w:sz w:val="18"/>
                <w:szCs w:val="18"/>
              </w:rPr>
              <w:t>野生动物观览设备设施应符合下列要求：</w:t>
            </w:r>
          </w:p>
          <w:p w14:paraId="7B5E2D21">
            <w:pPr>
              <w:adjustRightInd w:val="0"/>
              <w:snapToGrid w:val="0"/>
              <w:rPr>
                <w:rFonts w:hint="eastAsia" w:ascii="宋体" w:hAnsi="宋体"/>
                <w:sz w:val="18"/>
                <w:szCs w:val="18"/>
              </w:rPr>
            </w:pPr>
            <w:r>
              <w:rPr>
                <w:rFonts w:hint="eastAsia" w:ascii="宋体" w:hAnsi="宋体"/>
                <w:sz w:val="18"/>
                <w:szCs w:val="18"/>
              </w:rPr>
              <w:t>a）应固定游览线路；</w:t>
            </w:r>
          </w:p>
          <w:p w14:paraId="6D083BA8">
            <w:pPr>
              <w:adjustRightInd w:val="0"/>
              <w:snapToGrid w:val="0"/>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）应对游客进行安全告知，现场张贴游人告知牌；</w:t>
            </w:r>
          </w:p>
          <w:p w14:paraId="6383C1D9">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）巡逻车应配备对讲机、报警灯、绳索、灭火器，巡逻车的保险杠外侧应加装防撞杠，玻璃窗应增设防护栏；</w:t>
            </w:r>
          </w:p>
          <w:p w14:paraId="0475A028">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val="en-US" w:eastAsia="zh-CN"/>
              </w:rPr>
              <w:t>笼网观览车辆应</w:t>
            </w:r>
            <w:r>
              <w:rPr>
                <w:rFonts w:hint="eastAsia" w:ascii="宋体" w:hAnsi="宋体"/>
                <w:sz w:val="18"/>
                <w:szCs w:val="18"/>
              </w:rPr>
              <w:t>按场内机动车辆管理</w:t>
            </w:r>
            <w:r>
              <w:rPr>
                <w:rFonts w:hint="eastAsia" w:ascii="宋体" w:hAnsi="宋体"/>
                <w:sz w:val="18"/>
                <w:szCs w:val="18"/>
                <w:lang w:eastAsia="zh-CN"/>
              </w:rPr>
              <w:t>，</w:t>
            </w:r>
            <w:r>
              <w:rPr>
                <w:rFonts w:hint="eastAsia" w:ascii="宋体" w:hAnsi="宋体"/>
                <w:sz w:val="18"/>
                <w:szCs w:val="18"/>
                <w:lang w:val="en-US" w:eastAsia="zh-CN"/>
              </w:rPr>
              <w:t>防护栏、网、逃生门等齐全完好</w:t>
            </w:r>
            <w:r>
              <w:rPr>
                <w:rFonts w:hint="eastAsia" w:ascii="宋体" w:hAnsi="宋体"/>
                <w:sz w:val="18"/>
                <w:szCs w:val="18"/>
              </w:rPr>
              <w:t>；</w:t>
            </w:r>
          </w:p>
          <w:p w14:paraId="3ED78F50">
            <w:pPr>
              <w:adjustRightInd w:val="0"/>
              <w:snapToGrid w:val="0"/>
              <w:rPr>
                <w:rFonts w:hint="eastAsia" w:ascii="宋体" w:hAnsi="宋体"/>
                <w:sz w:val="18"/>
                <w:szCs w:val="18"/>
              </w:rPr>
            </w:pPr>
            <w:r>
              <w:rPr>
                <w:rFonts w:hint="eastAsia" w:ascii="宋体" w:hAnsi="宋体"/>
                <w:sz w:val="18"/>
                <w:szCs w:val="18"/>
              </w:rPr>
              <w:t>e）自驾区游览车辆门应有锁紧装置</w:t>
            </w:r>
            <w:r>
              <w:rPr>
                <w:rFonts w:hint="eastAsia" w:ascii="宋体" w:hAnsi="宋体"/>
                <w:sz w:val="18"/>
                <w:szCs w:val="18"/>
                <w:lang w:eastAsia="zh-CN"/>
              </w:rPr>
              <w:t>，</w:t>
            </w:r>
            <w:r>
              <w:rPr>
                <w:rFonts w:hint="eastAsia" w:ascii="宋体" w:hAnsi="宋体"/>
                <w:sz w:val="18"/>
                <w:szCs w:val="18"/>
                <w:lang w:val="en-US" w:eastAsia="zh-CN"/>
              </w:rPr>
              <w:t>并</w:t>
            </w:r>
            <w:r>
              <w:rPr>
                <w:rFonts w:hint="eastAsia" w:ascii="宋体" w:hAnsi="宋体"/>
                <w:sz w:val="18"/>
                <w:szCs w:val="18"/>
              </w:rPr>
              <w:t>应配备灭火器和对讲机；</w:t>
            </w:r>
          </w:p>
          <w:p w14:paraId="06782EB8">
            <w:pPr>
              <w:adjustRightInd w:val="0"/>
              <w:snapToGrid w:val="0"/>
              <w:rPr>
                <w:rFonts w:hint="eastAsia" w:ascii="宋体" w:hAnsi="宋体"/>
                <w:sz w:val="18"/>
                <w:szCs w:val="18"/>
              </w:rPr>
            </w:pPr>
            <w:r>
              <w:rPr>
                <w:rFonts w:hint="eastAsia" w:ascii="宋体" w:hAnsi="宋体"/>
                <w:sz w:val="18"/>
                <w:szCs w:val="18"/>
              </w:rPr>
              <w:t>f）游客自驾观览的场所，应设置游客车辆观览专用通道，通道应采取隔离网、架空、强化玻璃幕墙等方式确保车辆不应与猛兽有任何接触可能。</w:t>
            </w:r>
          </w:p>
        </w:tc>
        <w:tc>
          <w:tcPr>
            <w:tcW w:w="709" w:type="dxa"/>
            <w:tcBorders>
              <w:top w:val="single" w:color="auto" w:sz="8" w:space="0"/>
              <w:bottom w:val="single" w:color="auto" w:sz="8" w:space="0"/>
            </w:tcBorders>
            <w:noWrap w:val="0"/>
            <w:vAlign w:val="center"/>
          </w:tcPr>
          <w:p w14:paraId="4B92A2C1">
            <w:pPr>
              <w:adjustRightInd w:val="0"/>
              <w:snapToGrid w:val="0"/>
              <w:jc w:val="center"/>
              <w:rPr>
                <w:rFonts w:ascii="宋体" w:hAnsi="宋体"/>
                <w:bCs/>
                <w:sz w:val="18"/>
                <w:szCs w:val="18"/>
              </w:rPr>
            </w:pPr>
          </w:p>
        </w:tc>
        <w:tc>
          <w:tcPr>
            <w:tcW w:w="709" w:type="dxa"/>
            <w:tcBorders>
              <w:top w:val="single" w:color="auto" w:sz="8" w:space="0"/>
              <w:bottom w:val="single" w:color="auto" w:sz="8" w:space="0"/>
            </w:tcBorders>
            <w:noWrap w:val="0"/>
            <w:vAlign w:val="center"/>
          </w:tcPr>
          <w:p w14:paraId="7D1AAE4F">
            <w:pPr>
              <w:adjustRightInd w:val="0"/>
              <w:snapToGrid w:val="0"/>
              <w:jc w:val="center"/>
              <w:rPr>
                <w:rFonts w:hint="eastAsia" w:ascii="宋体" w:hAnsi="宋体"/>
                <w:bCs/>
                <w:sz w:val="18"/>
                <w:szCs w:val="18"/>
              </w:rPr>
            </w:pPr>
            <w:r>
              <w:rPr>
                <w:rFonts w:hint="eastAsia" w:ascii="宋体" w:hAnsi="宋体"/>
                <w:bCs/>
                <w:sz w:val="18"/>
                <w:szCs w:val="18"/>
              </w:rPr>
              <w:t>8</w:t>
            </w:r>
          </w:p>
        </w:tc>
        <w:tc>
          <w:tcPr>
            <w:tcW w:w="709" w:type="dxa"/>
            <w:tcBorders>
              <w:top w:val="single" w:color="auto" w:sz="8" w:space="0"/>
              <w:bottom w:val="single" w:color="auto" w:sz="8" w:space="0"/>
            </w:tcBorders>
            <w:noWrap w:val="0"/>
            <w:vAlign w:val="center"/>
          </w:tcPr>
          <w:p w14:paraId="221CB65E">
            <w:pPr>
              <w:jc w:val="center"/>
              <w:rPr>
                <w:rFonts w:hint="eastAsia" w:ascii="宋体" w:hAnsi="宋体" w:cs="宋体"/>
                <w:sz w:val="18"/>
                <w:szCs w:val="18"/>
              </w:rPr>
            </w:pPr>
            <w:r>
              <w:rPr>
                <w:rFonts w:hint="eastAsia" w:ascii="宋体" w:hAnsi="宋体" w:cs="宋体"/>
                <w:sz w:val="18"/>
                <w:szCs w:val="18"/>
              </w:rPr>
              <w:t>8</w:t>
            </w:r>
          </w:p>
        </w:tc>
        <w:tc>
          <w:tcPr>
            <w:tcW w:w="2693" w:type="dxa"/>
            <w:tcBorders>
              <w:top w:val="single" w:color="auto" w:sz="8" w:space="0"/>
              <w:bottom w:val="single" w:color="auto" w:sz="8" w:space="0"/>
            </w:tcBorders>
            <w:noWrap w:val="0"/>
            <w:vAlign w:val="center"/>
          </w:tcPr>
          <w:p w14:paraId="21AC8D4E">
            <w:pPr>
              <w:adjustRightInd w:val="0"/>
              <w:snapToGrid w:val="0"/>
              <w:rPr>
                <w:rFonts w:ascii="宋体" w:hAnsi="宋体"/>
                <w:bCs/>
                <w:sz w:val="18"/>
                <w:szCs w:val="18"/>
              </w:rPr>
            </w:pPr>
            <w:r>
              <w:rPr>
                <w:rFonts w:hint="eastAsia" w:ascii="宋体" w:hAnsi="宋体" w:cs="宋体"/>
                <w:sz w:val="18"/>
                <w:szCs w:val="18"/>
              </w:rPr>
              <w:t>一处不符合扣4分。</w:t>
            </w:r>
          </w:p>
        </w:tc>
        <w:tc>
          <w:tcPr>
            <w:tcW w:w="709" w:type="dxa"/>
            <w:tcBorders>
              <w:top w:val="single" w:color="auto" w:sz="8" w:space="0"/>
              <w:bottom w:val="single" w:color="auto" w:sz="8" w:space="0"/>
            </w:tcBorders>
            <w:noWrap w:val="0"/>
            <w:vAlign w:val="center"/>
          </w:tcPr>
          <w:p w14:paraId="38245AAF">
            <w:pPr>
              <w:adjustRightInd w:val="0"/>
              <w:snapToGrid w:val="0"/>
              <w:jc w:val="center"/>
              <w:rPr>
                <w:rFonts w:ascii="宋体" w:hAnsi="宋体"/>
                <w:bCs/>
                <w:sz w:val="18"/>
                <w:szCs w:val="18"/>
              </w:rPr>
            </w:pPr>
          </w:p>
        </w:tc>
        <w:tc>
          <w:tcPr>
            <w:tcW w:w="1419" w:type="dxa"/>
            <w:tcBorders>
              <w:top w:val="single" w:color="auto" w:sz="8" w:space="0"/>
              <w:bottom w:val="single" w:color="auto" w:sz="8" w:space="0"/>
            </w:tcBorders>
            <w:noWrap w:val="0"/>
            <w:vAlign w:val="center"/>
          </w:tcPr>
          <w:p w14:paraId="563DDDAC">
            <w:pPr>
              <w:adjustRightInd w:val="0"/>
              <w:snapToGrid w:val="0"/>
              <w:jc w:val="center"/>
              <w:rPr>
                <w:rFonts w:ascii="宋体" w:hAnsi="宋体"/>
                <w:bCs/>
                <w:sz w:val="18"/>
                <w:szCs w:val="18"/>
              </w:rPr>
            </w:pPr>
          </w:p>
        </w:tc>
        <w:tc>
          <w:tcPr>
            <w:tcW w:w="1348" w:type="dxa"/>
            <w:noWrap w:val="0"/>
            <w:vAlign w:val="center"/>
          </w:tcPr>
          <w:p w14:paraId="2DF19CDD">
            <w:pPr>
              <w:widowControl/>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kern w:val="0"/>
                <w:sz w:val="18"/>
                <w:szCs w:val="18"/>
                <w:lang w:eastAsia="zh-CN"/>
              </w:rPr>
              <w:t>4.3</w:t>
            </w:r>
            <w:r>
              <w:rPr>
                <w:rFonts w:hint="eastAsia" w:ascii="宋体" w:hAnsi="宋体"/>
                <w:kern w:val="0"/>
                <w:sz w:val="18"/>
                <w:szCs w:val="18"/>
              </w:rPr>
              <w:t>.1</w:t>
            </w:r>
            <w:r>
              <w:rPr>
                <w:rFonts w:hint="eastAsia" w:ascii="宋体" w:hAnsi="宋体"/>
                <w:kern w:val="0"/>
                <w:sz w:val="18"/>
                <w:szCs w:val="18"/>
                <w:lang w:val="en-US" w:eastAsia="zh-CN"/>
              </w:rPr>
              <w:t>0</w:t>
            </w:r>
          </w:p>
        </w:tc>
      </w:tr>
      <w:tr w14:paraId="37BE0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shd w:val="clear"/>
            <w:noWrap w:val="0"/>
            <w:vAlign w:val="center"/>
          </w:tcPr>
          <w:p w14:paraId="384C1D9C">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3.1</w:t>
            </w:r>
            <w:r>
              <w:rPr>
                <w:rFonts w:hint="eastAsia" w:ascii="宋体" w:hAnsi="宋体"/>
                <w:sz w:val="18"/>
                <w:szCs w:val="18"/>
                <w:lang w:val="en-US" w:eastAsia="zh-CN"/>
              </w:rPr>
              <w:t>4</w:t>
            </w:r>
          </w:p>
        </w:tc>
        <w:tc>
          <w:tcPr>
            <w:tcW w:w="5849" w:type="dxa"/>
            <w:tcBorders>
              <w:top w:val="single" w:color="auto" w:sz="8" w:space="0"/>
              <w:bottom w:val="single" w:color="auto" w:sz="8" w:space="0"/>
            </w:tcBorders>
            <w:shd w:val="clear"/>
            <w:noWrap w:val="0"/>
            <w:vAlign w:val="center"/>
          </w:tcPr>
          <w:p w14:paraId="6EBAB3C1">
            <w:pPr>
              <w:adjustRightInd w:val="0"/>
              <w:snapToGrid w:val="0"/>
              <w:rPr>
                <w:rFonts w:hint="eastAsia" w:ascii="宋体" w:hAnsi="宋体"/>
                <w:sz w:val="18"/>
                <w:szCs w:val="18"/>
              </w:rPr>
            </w:pPr>
            <w:r>
              <w:rPr>
                <w:rFonts w:hint="eastAsia" w:ascii="宋体" w:hAnsi="宋体"/>
                <w:sz w:val="18"/>
                <w:szCs w:val="18"/>
              </w:rPr>
              <w:t>温泉</w:t>
            </w:r>
            <w:r>
              <w:rPr>
                <w:rFonts w:hint="eastAsia" w:ascii="宋体" w:hAnsi="宋体"/>
                <w:sz w:val="18"/>
                <w:szCs w:val="18"/>
                <w:lang w:val="en-US" w:eastAsia="zh-CN"/>
              </w:rPr>
              <w:t>设施</w:t>
            </w:r>
            <w:r>
              <w:rPr>
                <w:rFonts w:hint="eastAsia" w:ascii="宋体" w:hAnsi="宋体"/>
                <w:sz w:val="18"/>
                <w:szCs w:val="18"/>
              </w:rPr>
              <w:t>应符合下列要求：</w:t>
            </w:r>
          </w:p>
          <w:p w14:paraId="606F482A">
            <w:pPr>
              <w:adjustRightInd w:val="0"/>
              <w:snapToGrid w:val="0"/>
              <w:rPr>
                <w:rFonts w:hint="eastAsia" w:ascii="宋体" w:hAnsi="宋体"/>
                <w:sz w:val="18"/>
                <w:szCs w:val="18"/>
              </w:rPr>
            </w:pPr>
            <w:r>
              <w:rPr>
                <w:rFonts w:ascii="宋体" w:hAnsi="宋体"/>
                <w:sz w:val="18"/>
                <w:szCs w:val="18"/>
              </w:rPr>
              <w:t>a</w:t>
            </w:r>
            <w:r>
              <w:rPr>
                <w:rFonts w:hint="eastAsia" w:ascii="宋体" w:hAnsi="宋体"/>
                <w:sz w:val="18"/>
                <w:szCs w:val="18"/>
              </w:rPr>
              <w:t>）温泉入口处应展示沐浴温泉须知；</w:t>
            </w:r>
          </w:p>
          <w:p w14:paraId="57D84CDF">
            <w:pPr>
              <w:adjustRightInd w:val="0"/>
              <w:snapToGrid w:val="0"/>
              <w:rPr>
                <w:rFonts w:hint="eastAsia" w:ascii="宋体" w:hAnsi="宋体"/>
                <w:sz w:val="18"/>
                <w:szCs w:val="18"/>
              </w:rPr>
            </w:pPr>
            <w:r>
              <w:rPr>
                <w:rFonts w:hint="eastAsia" w:ascii="宋体" w:hAnsi="宋体"/>
                <w:sz w:val="18"/>
                <w:szCs w:val="18"/>
              </w:rPr>
              <w:t>b）温泉池底、池边、池角、台阶等固定设施安全、完好，池边应装上下扶手；</w:t>
            </w:r>
          </w:p>
          <w:p w14:paraId="00C21E35">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）照明灯具应安装防护罩；</w:t>
            </w:r>
          </w:p>
          <w:p w14:paraId="49F1381E">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）室内、外温泉应有水温和水深提示</w:t>
            </w:r>
            <w:r>
              <w:rPr>
                <w:rFonts w:hint="eastAsia" w:ascii="宋体" w:hAnsi="宋体"/>
                <w:sz w:val="18"/>
                <w:szCs w:val="18"/>
                <w:lang w:eastAsia="zh-CN"/>
              </w:rPr>
              <w:t>标志</w:t>
            </w:r>
            <w:r>
              <w:rPr>
                <w:rFonts w:hint="eastAsia" w:ascii="宋体" w:hAnsi="宋体"/>
                <w:sz w:val="18"/>
                <w:szCs w:val="18"/>
              </w:rPr>
              <w:t>，室外温泉还应设置防止坠落入水的安全警示标志；</w:t>
            </w:r>
          </w:p>
          <w:p w14:paraId="3502941D">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）浴池温度应能调节和控制，并规定合理的温度限值；</w:t>
            </w:r>
          </w:p>
          <w:p w14:paraId="072A3F58">
            <w:pPr>
              <w:adjustRightInd w:val="0"/>
              <w:snapToGrid w:val="0"/>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）温泉区应配备专职救生人员及相应救生设施</w:t>
            </w:r>
            <w:r>
              <w:rPr>
                <w:rFonts w:hint="eastAsia" w:ascii="宋体" w:hAnsi="宋体"/>
                <w:sz w:val="18"/>
                <w:szCs w:val="18"/>
                <w:lang w:eastAsia="zh-CN"/>
              </w:rPr>
              <w:t>；</w:t>
            </w:r>
          </w:p>
          <w:p w14:paraId="54B88D1F">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g</w:t>
            </w:r>
            <w:r>
              <w:rPr>
                <w:rFonts w:hint="eastAsia" w:ascii="宋体" w:hAnsi="宋体"/>
                <w:sz w:val="18"/>
                <w:szCs w:val="18"/>
              </w:rPr>
              <w:t>）更衣室地面无积水，沐浴温泉区通风良好。</w:t>
            </w:r>
          </w:p>
        </w:tc>
        <w:tc>
          <w:tcPr>
            <w:tcW w:w="709" w:type="dxa"/>
            <w:tcBorders>
              <w:top w:val="single" w:color="auto" w:sz="8" w:space="0"/>
              <w:bottom w:val="single" w:color="auto" w:sz="8" w:space="0"/>
            </w:tcBorders>
            <w:shd w:val="clear"/>
            <w:noWrap w:val="0"/>
            <w:vAlign w:val="center"/>
          </w:tcPr>
          <w:p w14:paraId="191E0DC9">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shd w:val="clear"/>
            <w:noWrap w:val="0"/>
            <w:vAlign w:val="center"/>
          </w:tcPr>
          <w:p w14:paraId="257ED6C0">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709" w:type="dxa"/>
            <w:tcBorders>
              <w:top w:val="single" w:color="auto" w:sz="8" w:space="0"/>
              <w:bottom w:val="single" w:color="auto" w:sz="8" w:space="0"/>
            </w:tcBorders>
            <w:shd w:val="clear"/>
            <w:noWrap w:val="0"/>
            <w:vAlign w:val="center"/>
          </w:tcPr>
          <w:p w14:paraId="2E977203">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2693" w:type="dxa"/>
            <w:tcBorders>
              <w:top w:val="single" w:color="auto" w:sz="8" w:space="0"/>
              <w:bottom w:val="single" w:color="auto" w:sz="8" w:space="0"/>
            </w:tcBorders>
            <w:shd w:val="clear"/>
            <w:noWrap w:val="0"/>
            <w:vAlign w:val="center"/>
          </w:tcPr>
          <w:p w14:paraId="2DCD79F2">
            <w:pPr>
              <w:jc w:val="left"/>
              <w:rPr>
                <w:rFonts w:hint="eastAsia" w:ascii="宋体" w:hAnsi="宋体" w:eastAsia="宋体" w:cs="Times New Roman"/>
                <w:kern w:val="0"/>
                <w:sz w:val="18"/>
                <w:szCs w:val="18"/>
                <w:lang w:val="en-US" w:eastAsia="zh-CN" w:bidi="ar-SA"/>
              </w:rPr>
            </w:pPr>
            <w:r>
              <w:rPr>
                <w:rFonts w:hint="eastAsia" w:ascii="宋体" w:hAnsi="宋体"/>
                <w:kern w:val="0"/>
                <w:sz w:val="18"/>
                <w:szCs w:val="18"/>
              </w:rPr>
              <w:t>一处不符合扣</w:t>
            </w:r>
            <w:r>
              <w:rPr>
                <w:rFonts w:ascii="宋体" w:hAnsi="宋体"/>
                <w:kern w:val="0"/>
                <w:sz w:val="18"/>
                <w:szCs w:val="18"/>
              </w:rPr>
              <w:t>2</w:t>
            </w:r>
            <w:r>
              <w:rPr>
                <w:rFonts w:hint="eastAsia" w:ascii="宋体" w:hAnsi="宋体"/>
                <w:kern w:val="0"/>
                <w:sz w:val="18"/>
                <w:szCs w:val="18"/>
              </w:rPr>
              <w:t>分。</w:t>
            </w:r>
          </w:p>
        </w:tc>
        <w:tc>
          <w:tcPr>
            <w:tcW w:w="709" w:type="dxa"/>
            <w:tcBorders>
              <w:top w:val="single" w:color="auto" w:sz="8" w:space="0"/>
              <w:bottom w:val="single" w:color="auto" w:sz="8" w:space="0"/>
            </w:tcBorders>
            <w:shd w:val="clear"/>
            <w:noWrap w:val="0"/>
            <w:vAlign w:val="center"/>
          </w:tcPr>
          <w:p w14:paraId="19E05CCF">
            <w:pPr>
              <w:adjustRightInd w:val="0"/>
              <w:snapToGrid w:val="0"/>
              <w:jc w:val="center"/>
              <w:rPr>
                <w:rFonts w:ascii="宋体" w:hAnsi="宋体" w:eastAsia="宋体" w:cs="Times New Roman"/>
                <w:bCs/>
                <w:kern w:val="2"/>
                <w:sz w:val="18"/>
                <w:szCs w:val="18"/>
                <w:lang w:val="en-US" w:eastAsia="zh-CN" w:bidi="ar-SA"/>
              </w:rPr>
            </w:pPr>
          </w:p>
        </w:tc>
        <w:tc>
          <w:tcPr>
            <w:tcW w:w="1419" w:type="dxa"/>
            <w:tcBorders>
              <w:top w:val="single" w:color="auto" w:sz="8" w:space="0"/>
              <w:bottom w:val="single" w:color="auto" w:sz="8" w:space="0"/>
            </w:tcBorders>
            <w:shd w:val="clear"/>
            <w:noWrap w:val="0"/>
            <w:vAlign w:val="center"/>
          </w:tcPr>
          <w:p w14:paraId="1E8D90E7">
            <w:pPr>
              <w:adjustRightInd w:val="0"/>
              <w:snapToGrid w:val="0"/>
              <w:jc w:val="center"/>
              <w:rPr>
                <w:rFonts w:ascii="宋体" w:hAnsi="宋体" w:eastAsia="宋体" w:cs="Times New Roman"/>
                <w:bCs/>
                <w:kern w:val="2"/>
                <w:sz w:val="18"/>
                <w:szCs w:val="18"/>
                <w:lang w:val="en-US" w:eastAsia="zh-CN" w:bidi="ar-SA"/>
              </w:rPr>
            </w:pPr>
          </w:p>
        </w:tc>
        <w:tc>
          <w:tcPr>
            <w:tcW w:w="1348" w:type="dxa"/>
            <w:shd w:val="clear"/>
            <w:noWrap w:val="0"/>
            <w:vAlign w:val="center"/>
          </w:tcPr>
          <w:p w14:paraId="64F52675">
            <w:pPr>
              <w:tabs>
                <w:tab w:val="center" w:pos="4201"/>
                <w:tab w:val="right" w:leader="dot" w:pos="9298"/>
              </w:tabs>
              <w:autoSpaceDE w:val="0"/>
              <w:autoSpaceDN w:val="0"/>
              <w:ind w:right="34" w:rightChars="0"/>
              <w:jc w:val="center"/>
              <w:rPr>
                <w:rFonts w:hint="eastAsia" w:ascii="宋体" w:hAnsi="宋体" w:eastAsia="宋体" w:cs="Times New Roman"/>
                <w:kern w:val="0"/>
                <w:sz w:val="18"/>
                <w:szCs w:val="18"/>
                <w:lang w:val="en-US" w:eastAsia="zh-CN" w:bidi="ar-SA"/>
              </w:rPr>
            </w:pPr>
            <w:r>
              <w:rPr>
                <w:rFonts w:hint="eastAsia" w:ascii="宋体" w:hAnsi="宋体"/>
                <w:kern w:val="0"/>
                <w:sz w:val="18"/>
                <w:szCs w:val="18"/>
                <w:lang w:eastAsia="zh-CN"/>
              </w:rPr>
              <w:t>4.3</w:t>
            </w:r>
            <w:r>
              <w:rPr>
                <w:rFonts w:hint="eastAsia" w:ascii="宋体" w:hAnsi="宋体"/>
                <w:kern w:val="0"/>
                <w:sz w:val="18"/>
                <w:szCs w:val="18"/>
              </w:rPr>
              <w:t>.1</w:t>
            </w:r>
            <w:r>
              <w:rPr>
                <w:rFonts w:hint="eastAsia" w:ascii="宋体" w:hAnsi="宋体"/>
                <w:kern w:val="0"/>
                <w:sz w:val="18"/>
                <w:szCs w:val="18"/>
                <w:lang w:val="en-US" w:eastAsia="zh-CN"/>
              </w:rPr>
              <w:t>2</w:t>
            </w:r>
          </w:p>
        </w:tc>
      </w:tr>
    </w:tbl>
    <w:p w14:paraId="56A458A0">
      <w:pPr>
        <w:rPr>
          <w:rFonts w:hint="eastAsia"/>
        </w:rPr>
      </w:pPr>
      <w:r>
        <w:rPr>
          <w:rFonts w:hint="eastAsia"/>
        </w:rPr>
        <w:br w:type="page"/>
      </w:r>
    </w:p>
    <w:p w14:paraId="3CC474B3">
      <w:pPr>
        <w:pStyle w:val="168"/>
        <w:widowControl/>
        <w:numPr>
          <w:ilvl w:val="0"/>
          <w:numId w:val="0"/>
        </w:numPr>
        <w:spacing w:before="156" w:after="156"/>
        <w:ind w:left="567" w:hanging="567"/>
      </w:pPr>
      <w:r>
        <w:rPr>
          <w:rFonts w:hint="eastAsia"/>
        </w:rPr>
        <w:t>表D.1 生产设备设施要素的安全生产等级评定细则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5849"/>
        <w:gridCol w:w="709"/>
        <w:gridCol w:w="709"/>
        <w:gridCol w:w="709"/>
        <w:gridCol w:w="2693"/>
        <w:gridCol w:w="709"/>
        <w:gridCol w:w="1419"/>
        <w:gridCol w:w="1348"/>
      </w:tblGrid>
      <w:tr w14:paraId="363333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208" w:type="dxa"/>
            <w:tcBorders>
              <w:top w:val="single" w:color="auto" w:sz="8" w:space="0"/>
              <w:bottom w:val="single" w:color="auto" w:sz="8" w:space="0"/>
            </w:tcBorders>
            <w:noWrap w:val="0"/>
            <w:vAlign w:val="center"/>
          </w:tcPr>
          <w:p w14:paraId="1C02CE05">
            <w:pPr>
              <w:adjustRightInd w:val="0"/>
              <w:snapToGrid w:val="0"/>
              <w:jc w:val="center"/>
              <w:rPr>
                <w:rFonts w:ascii="宋体" w:hAnsi="宋体"/>
                <w:sz w:val="18"/>
                <w:szCs w:val="18"/>
              </w:rPr>
            </w:pPr>
            <w:r>
              <w:rPr>
                <w:rFonts w:ascii="宋体" w:hAnsi="宋体"/>
                <w:bCs/>
                <w:sz w:val="18"/>
                <w:szCs w:val="18"/>
              </w:rPr>
              <w:t>序号</w:t>
            </w:r>
          </w:p>
        </w:tc>
        <w:tc>
          <w:tcPr>
            <w:tcW w:w="5849" w:type="dxa"/>
            <w:tcBorders>
              <w:top w:val="single" w:color="auto" w:sz="8" w:space="0"/>
              <w:bottom w:val="single" w:color="auto" w:sz="8" w:space="0"/>
            </w:tcBorders>
            <w:noWrap w:val="0"/>
            <w:vAlign w:val="center"/>
          </w:tcPr>
          <w:p w14:paraId="32076DF9">
            <w:pPr>
              <w:adjustRightInd w:val="0"/>
              <w:snapToGrid w:val="0"/>
              <w:jc w:val="center"/>
              <w:rPr>
                <w:rFonts w:ascii="宋体" w:hAnsi="宋体"/>
                <w:sz w:val="18"/>
                <w:szCs w:val="18"/>
              </w:rPr>
            </w:pPr>
            <w:r>
              <w:rPr>
                <w:rFonts w:ascii="宋体" w:hAnsi="宋体"/>
                <w:bCs/>
                <w:sz w:val="18"/>
                <w:szCs w:val="18"/>
              </w:rPr>
              <w:t>评定内容</w:t>
            </w:r>
          </w:p>
        </w:tc>
        <w:tc>
          <w:tcPr>
            <w:tcW w:w="709" w:type="dxa"/>
            <w:tcBorders>
              <w:top w:val="single" w:color="auto" w:sz="8" w:space="0"/>
              <w:bottom w:val="single" w:color="auto" w:sz="8" w:space="0"/>
            </w:tcBorders>
            <w:noWrap w:val="0"/>
            <w:vAlign w:val="center"/>
          </w:tcPr>
          <w:p w14:paraId="6B48AADE">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7E3B7ED6">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02E0A679">
            <w:pPr>
              <w:adjustRightInd w:val="0"/>
              <w:snapToGrid w:val="0"/>
              <w:jc w:val="center"/>
              <w:rPr>
                <w:rFonts w:ascii="宋体" w:hAnsi="宋体"/>
                <w:sz w:val="18"/>
                <w:szCs w:val="18"/>
              </w:rPr>
            </w:pPr>
            <w:r>
              <w:rPr>
                <w:rFonts w:ascii="宋体" w:hAnsi="宋体"/>
                <w:bCs/>
                <w:sz w:val="18"/>
                <w:szCs w:val="18"/>
              </w:rPr>
              <w:t>评定条款分值</w:t>
            </w:r>
          </w:p>
        </w:tc>
        <w:tc>
          <w:tcPr>
            <w:tcW w:w="2693" w:type="dxa"/>
            <w:tcBorders>
              <w:top w:val="single" w:color="auto" w:sz="8" w:space="0"/>
              <w:bottom w:val="single" w:color="auto" w:sz="8" w:space="0"/>
            </w:tcBorders>
            <w:noWrap w:val="0"/>
            <w:vAlign w:val="center"/>
          </w:tcPr>
          <w:p w14:paraId="3DEE0EDA">
            <w:pPr>
              <w:adjustRightInd w:val="0"/>
              <w:snapToGrid w:val="0"/>
              <w:jc w:val="center"/>
              <w:rPr>
                <w:rFonts w:ascii="宋体" w:hAnsi="宋体"/>
                <w:sz w:val="18"/>
                <w:szCs w:val="18"/>
              </w:rPr>
            </w:pPr>
            <w:r>
              <w:rPr>
                <w:rFonts w:ascii="宋体" w:hAnsi="宋体"/>
                <w:bCs/>
                <w:sz w:val="18"/>
                <w:szCs w:val="18"/>
              </w:rPr>
              <w:t>评分标准</w:t>
            </w:r>
          </w:p>
        </w:tc>
        <w:tc>
          <w:tcPr>
            <w:tcW w:w="709" w:type="dxa"/>
            <w:tcBorders>
              <w:top w:val="single" w:color="auto" w:sz="8" w:space="0"/>
              <w:bottom w:val="single" w:color="auto" w:sz="8" w:space="0"/>
            </w:tcBorders>
            <w:noWrap w:val="0"/>
            <w:vAlign w:val="center"/>
          </w:tcPr>
          <w:p w14:paraId="13C81879">
            <w:pPr>
              <w:adjustRightInd w:val="0"/>
              <w:snapToGrid w:val="0"/>
              <w:jc w:val="center"/>
              <w:rPr>
                <w:rFonts w:ascii="宋体" w:hAnsi="宋体"/>
                <w:sz w:val="18"/>
                <w:szCs w:val="18"/>
              </w:rPr>
            </w:pPr>
            <w:r>
              <w:rPr>
                <w:rFonts w:ascii="宋体" w:hAnsi="宋体"/>
                <w:bCs/>
                <w:sz w:val="18"/>
                <w:szCs w:val="18"/>
              </w:rPr>
              <w:t>评定得分</w:t>
            </w:r>
          </w:p>
        </w:tc>
        <w:tc>
          <w:tcPr>
            <w:tcW w:w="1419" w:type="dxa"/>
            <w:tcBorders>
              <w:top w:val="single" w:color="auto" w:sz="8" w:space="0"/>
              <w:bottom w:val="single" w:color="auto" w:sz="8" w:space="0"/>
            </w:tcBorders>
            <w:noWrap w:val="0"/>
            <w:vAlign w:val="center"/>
          </w:tcPr>
          <w:p w14:paraId="5BD66BD6">
            <w:pPr>
              <w:adjustRightInd w:val="0"/>
              <w:snapToGrid w:val="0"/>
              <w:jc w:val="center"/>
              <w:rPr>
                <w:rFonts w:ascii="宋体" w:hAnsi="宋体"/>
                <w:sz w:val="18"/>
                <w:szCs w:val="18"/>
              </w:rPr>
            </w:pPr>
            <w:r>
              <w:rPr>
                <w:rFonts w:ascii="宋体" w:hAnsi="宋体"/>
                <w:bCs/>
                <w:sz w:val="18"/>
                <w:szCs w:val="18"/>
              </w:rPr>
              <w:t>扣分说明</w:t>
            </w:r>
          </w:p>
        </w:tc>
        <w:tc>
          <w:tcPr>
            <w:tcW w:w="1348" w:type="dxa"/>
            <w:tcBorders>
              <w:top w:val="single" w:color="auto" w:sz="8" w:space="0"/>
              <w:bottom w:val="single" w:color="auto" w:sz="8" w:space="0"/>
            </w:tcBorders>
            <w:noWrap w:val="0"/>
            <w:vAlign w:val="center"/>
          </w:tcPr>
          <w:p w14:paraId="7A43C8D7">
            <w:pPr>
              <w:adjustRightInd w:val="0"/>
              <w:snapToGrid w:val="0"/>
              <w:jc w:val="center"/>
              <w:rPr>
                <w:rFonts w:ascii="宋体" w:hAnsi="宋体"/>
                <w:sz w:val="18"/>
                <w:szCs w:val="18"/>
              </w:rPr>
            </w:pPr>
            <w:r>
              <w:rPr>
                <w:rFonts w:ascii="宋体" w:hAnsi="宋体"/>
                <w:bCs/>
                <w:sz w:val="18"/>
                <w:szCs w:val="18"/>
              </w:rPr>
              <w:t>对应条款编号</w:t>
            </w:r>
          </w:p>
        </w:tc>
      </w:tr>
      <w:tr w14:paraId="0491B9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208" w:type="dxa"/>
            <w:noWrap w:val="0"/>
            <w:vAlign w:val="center"/>
          </w:tcPr>
          <w:p w14:paraId="7EE8AAED">
            <w:pPr>
              <w:jc w:val="center"/>
              <w:rPr>
                <w:rFonts w:hint="eastAsia" w:ascii="宋体" w:hAnsi="宋体"/>
                <w:sz w:val="18"/>
                <w:szCs w:val="18"/>
              </w:rPr>
            </w:pPr>
            <w:r>
              <w:rPr>
                <w:rFonts w:hint="eastAsia" w:ascii="宋体" w:hAnsi="宋体"/>
                <w:sz w:val="18"/>
                <w:szCs w:val="18"/>
              </w:rPr>
              <w:t>3.1</w:t>
            </w:r>
            <w:r>
              <w:rPr>
                <w:rFonts w:hint="eastAsia" w:ascii="宋体" w:hAnsi="宋体"/>
                <w:sz w:val="18"/>
                <w:szCs w:val="18"/>
                <w:lang w:val="en-US" w:eastAsia="zh-CN"/>
              </w:rPr>
              <w:t>5</w:t>
            </w:r>
          </w:p>
        </w:tc>
        <w:tc>
          <w:tcPr>
            <w:tcW w:w="5849" w:type="dxa"/>
            <w:tcBorders>
              <w:top w:val="single" w:color="auto" w:sz="8" w:space="0"/>
            </w:tcBorders>
            <w:noWrap w:val="0"/>
            <w:vAlign w:val="top"/>
          </w:tcPr>
          <w:p w14:paraId="649E2306">
            <w:pPr>
              <w:adjustRightInd w:val="0"/>
              <w:snapToGrid w:val="0"/>
              <w:rPr>
                <w:rFonts w:hint="eastAsia" w:ascii="宋体" w:hAnsi="宋体"/>
                <w:sz w:val="18"/>
                <w:szCs w:val="18"/>
              </w:rPr>
            </w:pPr>
            <w:r>
              <w:rPr>
                <w:rFonts w:hint="eastAsia" w:ascii="宋体" w:hAnsi="宋体"/>
                <w:sz w:val="18"/>
                <w:szCs w:val="18"/>
              </w:rPr>
              <w:t>冷库应符合下列要求：</w:t>
            </w:r>
          </w:p>
          <w:p w14:paraId="57B215F8">
            <w:pPr>
              <w:adjustRightInd w:val="0"/>
              <w:snapToGrid w:val="0"/>
              <w:rPr>
                <w:rFonts w:hint="eastAsia" w:ascii="宋体" w:hAnsi="宋体"/>
                <w:sz w:val="18"/>
                <w:szCs w:val="18"/>
              </w:rPr>
            </w:pPr>
            <w:r>
              <w:rPr>
                <w:rFonts w:hint="eastAsia" w:ascii="宋体" w:hAnsi="宋体"/>
                <w:sz w:val="18"/>
                <w:szCs w:val="18"/>
              </w:rPr>
              <w:t>a）冷库内不应存放有毒、有害、有异味物品或其他易燃、易爆品；</w:t>
            </w:r>
          </w:p>
          <w:p w14:paraId="6F08C945">
            <w:pPr>
              <w:adjustRightInd w:val="0"/>
              <w:snapToGrid w:val="0"/>
              <w:rPr>
                <w:rFonts w:hint="eastAsia" w:ascii="宋体" w:hAnsi="宋体"/>
                <w:sz w:val="18"/>
                <w:szCs w:val="18"/>
              </w:rPr>
            </w:pPr>
            <w:r>
              <w:rPr>
                <w:rFonts w:hint="eastAsia" w:ascii="宋体" w:hAnsi="宋体"/>
                <w:sz w:val="18"/>
                <w:szCs w:val="18"/>
              </w:rPr>
              <w:t>b）冷库应有安全警铃或可以从内部打开的保护装置</w:t>
            </w:r>
            <w:r>
              <w:rPr>
                <w:rFonts w:hint="eastAsia" w:ascii="宋体" w:hAnsi="宋体"/>
                <w:sz w:val="18"/>
                <w:szCs w:val="18"/>
                <w:lang w:eastAsia="zh-CN"/>
              </w:rPr>
              <w:t>，</w:t>
            </w:r>
            <w:r>
              <w:rPr>
                <w:rFonts w:hint="eastAsia" w:ascii="宋体" w:hAnsi="宋体"/>
                <w:sz w:val="18"/>
                <w:szCs w:val="18"/>
                <w:lang w:val="en-US" w:eastAsia="zh-CN"/>
              </w:rPr>
              <w:t>不应擅自拆除</w:t>
            </w:r>
            <w:r>
              <w:rPr>
                <w:rFonts w:hint="eastAsia" w:ascii="宋体" w:hAnsi="宋体"/>
                <w:sz w:val="18"/>
                <w:szCs w:val="18"/>
              </w:rPr>
              <w:t>；</w:t>
            </w:r>
          </w:p>
          <w:p w14:paraId="1C8C879D">
            <w:pPr>
              <w:adjustRightInd w:val="0"/>
              <w:snapToGrid w:val="0"/>
              <w:rPr>
                <w:rFonts w:hint="eastAsia" w:ascii="宋体" w:hAnsi="宋体"/>
                <w:sz w:val="18"/>
                <w:szCs w:val="18"/>
              </w:rPr>
            </w:pPr>
            <w:r>
              <w:rPr>
                <w:rFonts w:hint="eastAsia" w:ascii="宋体" w:hAnsi="宋体"/>
                <w:sz w:val="18"/>
                <w:szCs w:val="18"/>
              </w:rPr>
              <w:t>c）库内使用的工具、垫木、冻盘等设备，应勤洗、勤擦、定期消毒，防止发霉、生锈；</w:t>
            </w:r>
          </w:p>
          <w:p w14:paraId="6C9A20F5">
            <w:pPr>
              <w:adjustRightInd w:val="0"/>
              <w:snapToGrid w:val="0"/>
              <w:rPr>
                <w:rFonts w:hint="eastAsia" w:ascii="宋体" w:hAnsi="宋体"/>
                <w:sz w:val="18"/>
                <w:szCs w:val="18"/>
              </w:rPr>
            </w:pPr>
            <w:r>
              <w:rPr>
                <w:rFonts w:hint="eastAsia" w:ascii="宋体" w:hAnsi="宋体"/>
                <w:sz w:val="18"/>
                <w:szCs w:val="18"/>
              </w:rPr>
              <w:t>d）冷库应及时清除冰、霜、凝结水，库内排管和冷风机等要及时除霜；</w:t>
            </w:r>
          </w:p>
          <w:p w14:paraId="05361F59">
            <w:pPr>
              <w:adjustRightInd w:val="0"/>
              <w:snapToGrid w:val="0"/>
              <w:rPr>
                <w:rFonts w:ascii="宋体" w:hAnsi="宋体"/>
                <w:sz w:val="18"/>
                <w:szCs w:val="18"/>
              </w:rPr>
            </w:pPr>
            <w:r>
              <w:rPr>
                <w:rFonts w:hint="eastAsia" w:ascii="宋体" w:hAnsi="宋体"/>
                <w:sz w:val="18"/>
                <w:szCs w:val="18"/>
              </w:rPr>
              <w:t>e）冷库作业人员应有良好的防寒措施，应携带照明用具，不应带水作业。</w:t>
            </w:r>
          </w:p>
        </w:tc>
        <w:tc>
          <w:tcPr>
            <w:tcW w:w="709" w:type="dxa"/>
            <w:tcBorders>
              <w:top w:val="single" w:color="auto" w:sz="8" w:space="0"/>
            </w:tcBorders>
            <w:noWrap w:val="0"/>
            <w:vAlign w:val="center"/>
          </w:tcPr>
          <w:p w14:paraId="28FA19DF">
            <w:pPr>
              <w:adjustRightInd w:val="0"/>
              <w:snapToGrid w:val="0"/>
              <w:jc w:val="center"/>
              <w:rPr>
                <w:rFonts w:ascii="宋体" w:hAnsi="宋体"/>
                <w:bCs/>
                <w:sz w:val="18"/>
                <w:szCs w:val="18"/>
              </w:rPr>
            </w:pPr>
          </w:p>
        </w:tc>
        <w:tc>
          <w:tcPr>
            <w:tcW w:w="709" w:type="dxa"/>
            <w:tcBorders>
              <w:top w:val="single" w:color="auto" w:sz="8" w:space="0"/>
            </w:tcBorders>
            <w:noWrap w:val="0"/>
            <w:vAlign w:val="center"/>
          </w:tcPr>
          <w:p w14:paraId="30723479">
            <w:pPr>
              <w:adjustRightInd w:val="0"/>
              <w:snapToGrid w:val="0"/>
              <w:jc w:val="center"/>
              <w:rPr>
                <w:rFonts w:hint="eastAsia" w:ascii="宋体" w:hAnsi="宋体"/>
                <w:bCs/>
                <w:sz w:val="18"/>
                <w:szCs w:val="18"/>
              </w:rPr>
            </w:pPr>
            <w:r>
              <w:rPr>
                <w:rFonts w:hint="eastAsia" w:ascii="宋体" w:hAnsi="宋体"/>
                <w:bCs/>
                <w:sz w:val="18"/>
                <w:szCs w:val="18"/>
              </w:rPr>
              <w:t>5</w:t>
            </w:r>
          </w:p>
        </w:tc>
        <w:tc>
          <w:tcPr>
            <w:tcW w:w="709" w:type="dxa"/>
            <w:tcBorders>
              <w:top w:val="single" w:color="auto" w:sz="8" w:space="0"/>
            </w:tcBorders>
            <w:noWrap w:val="0"/>
            <w:vAlign w:val="center"/>
          </w:tcPr>
          <w:p w14:paraId="36BD7A24">
            <w:pPr>
              <w:jc w:val="center"/>
              <w:rPr>
                <w:rFonts w:hint="eastAsia" w:ascii="宋体" w:hAnsi="宋体" w:cs="宋体"/>
                <w:sz w:val="18"/>
                <w:szCs w:val="18"/>
              </w:rPr>
            </w:pPr>
            <w:r>
              <w:rPr>
                <w:rFonts w:hint="eastAsia" w:ascii="宋体" w:hAnsi="宋体" w:cs="宋体"/>
                <w:sz w:val="18"/>
                <w:szCs w:val="18"/>
              </w:rPr>
              <w:t>5</w:t>
            </w:r>
          </w:p>
        </w:tc>
        <w:tc>
          <w:tcPr>
            <w:tcW w:w="2693" w:type="dxa"/>
            <w:tcBorders>
              <w:top w:val="single" w:color="auto" w:sz="8" w:space="0"/>
            </w:tcBorders>
            <w:noWrap w:val="0"/>
            <w:vAlign w:val="center"/>
          </w:tcPr>
          <w:p w14:paraId="5F5B0D86">
            <w:pPr>
              <w:adjustRightInd w:val="0"/>
              <w:snapToGrid w:val="0"/>
              <w:rPr>
                <w:rFonts w:ascii="宋体" w:hAnsi="宋体"/>
                <w:bCs/>
                <w:sz w:val="18"/>
                <w:szCs w:val="18"/>
              </w:rPr>
            </w:pPr>
            <w:r>
              <w:rPr>
                <w:rFonts w:hint="eastAsia" w:ascii="宋体" w:hAnsi="宋体" w:cs="宋体"/>
                <w:sz w:val="18"/>
                <w:szCs w:val="18"/>
              </w:rPr>
              <w:t>一处不符合扣2分。</w:t>
            </w:r>
          </w:p>
        </w:tc>
        <w:tc>
          <w:tcPr>
            <w:tcW w:w="709" w:type="dxa"/>
            <w:tcBorders>
              <w:top w:val="single" w:color="auto" w:sz="8" w:space="0"/>
            </w:tcBorders>
            <w:noWrap w:val="0"/>
            <w:vAlign w:val="center"/>
          </w:tcPr>
          <w:p w14:paraId="21A0A82E">
            <w:pPr>
              <w:adjustRightInd w:val="0"/>
              <w:snapToGrid w:val="0"/>
              <w:jc w:val="center"/>
              <w:rPr>
                <w:rFonts w:ascii="宋体" w:hAnsi="宋体"/>
                <w:bCs/>
                <w:sz w:val="18"/>
                <w:szCs w:val="18"/>
              </w:rPr>
            </w:pPr>
          </w:p>
        </w:tc>
        <w:tc>
          <w:tcPr>
            <w:tcW w:w="1419" w:type="dxa"/>
            <w:tcBorders>
              <w:top w:val="single" w:color="auto" w:sz="8" w:space="0"/>
            </w:tcBorders>
            <w:noWrap w:val="0"/>
            <w:vAlign w:val="center"/>
          </w:tcPr>
          <w:p w14:paraId="3A750FE6">
            <w:pPr>
              <w:adjustRightInd w:val="0"/>
              <w:snapToGrid w:val="0"/>
              <w:jc w:val="center"/>
              <w:rPr>
                <w:rFonts w:ascii="宋体" w:hAnsi="宋体"/>
                <w:bCs/>
                <w:sz w:val="18"/>
                <w:szCs w:val="18"/>
              </w:rPr>
            </w:pPr>
          </w:p>
        </w:tc>
        <w:tc>
          <w:tcPr>
            <w:tcW w:w="1348" w:type="dxa"/>
            <w:noWrap w:val="0"/>
            <w:vAlign w:val="center"/>
          </w:tcPr>
          <w:p w14:paraId="58EDC8F1">
            <w:pPr>
              <w:widowControl/>
              <w:tabs>
                <w:tab w:val="center" w:pos="4201"/>
                <w:tab w:val="right" w:leader="dot" w:pos="9298"/>
              </w:tabs>
              <w:autoSpaceDE w:val="0"/>
              <w:autoSpaceDN w:val="0"/>
              <w:ind w:right="34"/>
              <w:jc w:val="center"/>
              <w:rPr>
                <w:rFonts w:hint="eastAsia" w:ascii="宋体" w:hAnsi="宋体" w:eastAsia="宋体"/>
                <w:kern w:val="0"/>
                <w:sz w:val="18"/>
                <w:szCs w:val="18"/>
                <w:lang w:eastAsia="zh-CN"/>
              </w:rPr>
            </w:pPr>
            <w:r>
              <w:rPr>
                <w:rFonts w:hint="eastAsia" w:ascii="宋体" w:hAnsi="宋体"/>
                <w:kern w:val="0"/>
                <w:sz w:val="18"/>
                <w:szCs w:val="18"/>
                <w:lang w:eastAsia="zh-CN"/>
              </w:rPr>
              <w:t>4.3</w:t>
            </w:r>
            <w:r>
              <w:rPr>
                <w:rFonts w:hint="eastAsia" w:ascii="宋体" w:hAnsi="宋体"/>
                <w:kern w:val="0"/>
                <w:sz w:val="18"/>
                <w:szCs w:val="18"/>
              </w:rPr>
              <w:t>.1</w:t>
            </w:r>
            <w:r>
              <w:rPr>
                <w:rFonts w:hint="eastAsia" w:ascii="宋体" w:hAnsi="宋体"/>
                <w:kern w:val="0"/>
                <w:sz w:val="18"/>
                <w:szCs w:val="18"/>
                <w:lang w:val="en-US" w:eastAsia="zh-CN"/>
              </w:rPr>
              <w:t>3</w:t>
            </w:r>
          </w:p>
        </w:tc>
      </w:tr>
    </w:tbl>
    <w:p w14:paraId="1BAD44AF">
      <w:pPr>
        <w:pStyle w:val="36"/>
      </w:pPr>
    </w:p>
    <w:p w14:paraId="085E8508">
      <w:pPr>
        <w:pStyle w:val="36"/>
        <w:ind w:firstLine="0" w:firstLineChars="0"/>
        <w:rPr>
          <w:rFonts w:hint="eastAsia"/>
        </w:rPr>
      </w:pPr>
      <w:r>
        <w:rPr>
          <w:rFonts w:hint="eastAsia" w:ascii="黑体" w:eastAsia="黑体"/>
        </w:rPr>
        <w:t xml:space="preserve">D.2 </w:t>
      </w:r>
      <w:r>
        <w:rPr>
          <w:rFonts w:hint="eastAsia"/>
        </w:rPr>
        <w:t xml:space="preserve"> 表D.2规定了</w:t>
      </w:r>
      <w:r>
        <w:rPr>
          <w:rFonts w:hint="eastAsia" w:hAnsi="宋体" w:cs="Arial"/>
          <w:bCs/>
          <w:szCs w:val="18"/>
        </w:rPr>
        <w:t>独立瓶组间与建筑的防火间距</w:t>
      </w:r>
      <w:r>
        <w:rPr>
          <w:rFonts w:hint="eastAsia"/>
        </w:rPr>
        <w:t>。</w:t>
      </w:r>
    </w:p>
    <w:p w14:paraId="764485BF">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表D.2　</w:t>
      </w:r>
      <w:r>
        <w:rPr>
          <w:rFonts w:hint="eastAsia"/>
        </w:rPr>
        <w:t>独立瓶组间与建筑的防火间距</w:t>
      </w:r>
    </w:p>
    <w:p w14:paraId="198F5085">
      <w:pPr>
        <w:pStyle w:val="36"/>
        <w:ind w:firstLine="360"/>
        <w:jc w:val="right"/>
        <w:rPr>
          <w:sz w:val="18"/>
          <w:szCs w:val="18"/>
        </w:rPr>
      </w:pPr>
      <w:r>
        <w:rPr>
          <w:rFonts w:hint="eastAsia"/>
          <w:sz w:val="18"/>
          <w:szCs w:val="18"/>
        </w:rPr>
        <w:t>单位为米</w:t>
      </w:r>
    </w:p>
    <w:tbl>
      <w:tblPr>
        <w:tblStyle w:val="47"/>
        <w:tblW w:w="0" w:type="auto"/>
        <w:jc w:val="center"/>
        <w:tblLayout w:type="fixed"/>
        <w:tblCellMar>
          <w:top w:w="0" w:type="dxa"/>
          <w:left w:w="0" w:type="dxa"/>
          <w:bottom w:w="0" w:type="dxa"/>
          <w:right w:w="0" w:type="dxa"/>
        </w:tblCellMar>
      </w:tblPr>
      <w:tblGrid>
        <w:gridCol w:w="4584"/>
        <w:gridCol w:w="5825"/>
        <w:gridCol w:w="4944"/>
      </w:tblGrid>
      <w:tr w14:paraId="1BC092E0">
        <w:tblPrEx>
          <w:tblCellMar>
            <w:top w:w="0" w:type="dxa"/>
            <w:left w:w="0" w:type="dxa"/>
            <w:bottom w:w="0" w:type="dxa"/>
            <w:right w:w="0" w:type="dxa"/>
          </w:tblCellMar>
        </w:tblPrEx>
        <w:trPr>
          <w:jc w:val="center"/>
        </w:trPr>
        <w:tc>
          <w:tcPr>
            <w:tcW w:w="10409"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4DE7DC1">
            <w:pPr>
              <w:widowControl/>
              <w:jc w:val="center"/>
              <w:rPr>
                <w:rFonts w:ascii="宋体" w:cs="宋体"/>
                <w:kern w:val="0"/>
                <w:sz w:val="24"/>
              </w:rPr>
            </w:pPr>
            <w:r>
              <w:rPr>
                <w:rFonts w:hint="eastAsia" w:ascii="宋体" w:hAnsi="宋体" w:cs="宋体"/>
                <w:kern w:val="0"/>
                <w:sz w:val="18"/>
                <w:szCs w:val="18"/>
              </w:rPr>
              <w:t>项目</w:t>
            </w:r>
          </w:p>
        </w:tc>
        <w:tc>
          <w:tcPr>
            <w:tcW w:w="494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0FA7F68">
            <w:pPr>
              <w:widowControl/>
              <w:jc w:val="center"/>
              <w:rPr>
                <w:rFonts w:ascii="宋体" w:cs="宋体"/>
                <w:kern w:val="0"/>
                <w:sz w:val="24"/>
              </w:rPr>
            </w:pPr>
            <w:r>
              <w:rPr>
                <w:rFonts w:hint="eastAsia" w:ascii="宋体" w:hAnsi="宋体" w:cs="宋体"/>
                <w:kern w:val="0"/>
                <w:sz w:val="18"/>
                <w:szCs w:val="18"/>
              </w:rPr>
              <w:t>防火间距</w:t>
            </w:r>
          </w:p>
        </w:tc>
      </w:tr>
      <w:tr w14:paraId="50FEEFB7">
        <w:tblPrEx>
          <w:tblCellMar>
            <w:top w:w="0" w:type="dxa"/>
            <w:left w:w="0" w:type="dxa"/>
            <w:bottom w:w="0" w:type="dxa"/>
            <w:right w:w="0" w:type="dxa"/>
          </w:tblCellMar>
        </w:tblPrEx>
        <w:trPr>
          <w:jc w:val="center"/>
        </w:trPr>
        <w:tc>
          <w:tcPr>
            <w:tcW w:w="10409" w:type="dxa"/>
            <w:gridSpan w:val="2"/>
            <w:tcBorders>
              <w:top w:val="nil"/>
              <w:left w:val="single" w:color="auto" w:sz="8" w:space="0"/>
              <w:bottom w:val="single" w:color="auto" w:sz="8" w:space="0"/>
              <w:right w:val="single" w:color="auto" w:sz="8" w:space="0"/>
            </w:tcBorders>
            <w:noWrap w:val="0"/>
            <w:vAlign w:val="center"/>
          </w:tcPr>
          <w:p w14:paraId="4D3DA781">
            <w:pPr>
              <w:widowControl/>
              <w:jc w:val="center"/>
              <w:rPr>
                <w:rFonts w:ascii="宋体" w:cs="宋体"/>
                <w:kern w:val="0"/>
                <w:sz w:val="24"/>
              </w:rPr>
            </w:pPr>
            <w:r>
              <w:rPr>
                <w:rFonts w:hint="eastAsia" w:ascii="宋体" w:hAnsi="宋体" w:cs="宋体"/>
                <w:kern w:val="0"/>
                <w:sz w:val="18"/>
                <w:szCs w:val="18"/>
              </w:rPr>
              <w:t>明火、散发火花地点</w:t>
            </w:r>
          </w:p>
        </w:tc>
        <w:tc>
          <w:tcPr>
            <w:tcW w:w="494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39FB884">
            <w:pPr>
              <w:widowControl/>
              <w:jc w:val="center"/>
              <w:rPr>
                <w:rFonts w:ascii="宋体" w:cs="宋体"/>
                <w:kern w:val="0"/>
                <w:sz w:val="24"/>
              </w:rPr>
            </w:pPr>
            <w:r>
              <w:rPr>
                <w:rFonts w:ascii="宋体" w:hAnsi="宋体" w:cs="宋体"/>
                <w:kern w:val="0"/>
                <w:sz w:val="18"/>
                <w:szCs w:val="18"/>
              </w:rPr>
              <w:t>25</w:t>
            </w:r>
          </w:p>
        </w:tc>
      </w:tr>
      <w:tr w14:paraId="2BA8C537">
        <w:tblPrEx>
          <w:tblCellMar>
            <w:top w:w="0" w:type="dxa"/>
            <w:left w:w="0" w:type="dxa"/>
            <w:bottom w:w="0" w:type="dxa"/>
            <w:right w:w="0" w:type="dxa"/>
          </w:tblCellMar>
        </w:tblPrEx>
        <w:trPr>
          <w:jc w:val="center"/>
        </w:trPr>
        <w:tc>
          <w:tcPr>
            <w:tcW w:w="10409" w:type="dxa"/>
            <w:gridSpan w:val="2"/>
            <w:tcBorders>
              <w:top w:val="nil"/>
              <w:left w:val="single" w:color="auto" w:sz="8" w:space="0"/>
              <w:bottom w:val="single" w:color="auto" w:sz="8" w:space="0"/>
              <w:right w:val="single" w:color="auto" w:sz="8" w:space="0"/>
            </w:tcBorders>
            <w:noWrap w:val="0"/>
            <w:vAlign w:val="center"/>
          </w:tcPr>
          <w:p w14:paraId="54464FE2">
            <w:pPr>
              <w:widowControl/>
              <w:jc w:val="center"/>
              <w:rPr>
                <w:rFonts w:ascii="宋体" w:cs="宋体"/>
                <w:kern w:val="0"/>
                <w:sz w:val="24"/>
              </w:rPr>
            </w:pPr>
            <w:r>
              <w:rPr>
                <w:rFonts w:hint="eastAsia" w:ascii="宋体" w:hAnsi="宋体" w:cs="宋体"/>
                <w:kern w:val="0"/>
                <w:sz w:val="18"/>
                <w:szCs w:val="18"/>
              </w:rPr>
              <w:t>重要公共建筑、一类高层民用建筑</w:t>
            </w:r>
          </w:p>
        </w:tc>
        <w:tc>
          <w:tcPr>
            <w:tcW w:w="494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FE44E6">
            <w:pPr>
              <w:widowControl/>
              <w:jc w:val="center"/>
              <w:rPr>
                <w:rFonts w:ascii="宋体" w:cs="宋体"/>
                <w:kern w:val="0"/>
                <w:sz w:val="24"/>
              </w:rPr>
            </w:pPr>
            <w:r>
              <w:rPr>
                <w:rFonts w:ascii="宋体" w:hAnsi="宋体" w:cs="宋体"/>
                <w:kern w:val="0"/>
                <w:sz w:val="18"/>
                <w:szCs w:val="18"/>
              </w:rPr>
              <w:t>15</w:t>
            </w:r>
          </w:p>
        </w:tc>
      </w:tr>
      <w:tr w14:paraId="49D747E5">
        <w:tblPrEx>
          <w:tblCellMar>
            <w:top w:w="0" w:type="dxa"/>
            <w:left w:w="0" w:type="dxa"/>
            <w:bottom w:w="0" w:type="dxa"/>
            <w:right w:w="0" w:type="dxa"/>
          </w:tblCellMar>
        </w:tblPrEx>
        <w:trPr>
          <w:jc w:val="center"/>
        </w:trPr>
        <w:tc>
          <w:tcPr>
            <w:tcW w:w="10409" w:type="dxa"/>
            <w:gridSpan w:val="2"/>
            <w:tcBorders>
              <w:top w:val="nil"/>
              <w:left w:val="single" w:color="auto" w:sz="8" w:space="0"/>
              <w:bottom w:val="single" w:color="auto" w:sz="8" w:space="0"/>
              <w:right w:val="single" w:color="auto" w:sz="8" w:space="0"/>
            </w:tcBorders>
            <w:noWrap w:val="0"/>
            <w:vAlign w:val="center"/>
          </w:tcPr>
          <w:p w14:paraId="6BC5A28D">
            <w:pPr>
              <w:widowControl/>
              <w:jc w:val="center"/>
              <w:rPr>
                <w:rFonts w:ascii="宋体" w:cs="宋体"/>
                <w:kern w:val="0"/>
                <w:sz w:val="24"/>
              </w:rPr>
            </w:pPr>
            <w:r>
              <w:rPr>
                <w:rFonts w:hint="eastAsia" w:ascii="宋体" w:hAnsi="宋体" w:cs="宋体"/>
                <w:kern w:val="0"/>
                <w:sz w:val="18"/>
                <w:szCs w:val="18"/>
              </w:rPr>
              <w:t>民用建筑</w:t>
            </w:r>
          </w:p>
        </w:tc>
        <w:tc>
          <w:tcPr>
            <w:tcW w:w="494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2CAA137">
            <w:pPr>
              <w:widowControl/>
              <w:jc w:val="center"/>
              <w:rPr>
                <w:rFonts w:ascii="宋体" w:cs="宋体"/>
                <w:kern w:val="0"/>
                <w:sz w:val="24"/>
              </w:rPr>
            </w:pPr>
            <w:r>
              <w:rPr>
                <w:rFonts w:ascii="宋体" w:hAnsi="宋体" w:cs="宋体"/>
                <w:kern w:val="0"/>
                <w:sz w:val="18"/>
                <w:szCs w:val="18"/>
              </w:rPr>
              <w:t>10</w:t>
            </w:r>
          </w:p>
        </w:tc>
      </w:tr>
      <w:tr w14:paraId="62C66950">
        <w:tblPrEx>
          <w:tblCellMar>
            <w:top w:w="0" w:type="dxa"/>
            <w:left w:w="0" w:type="dxa"/>
            <w:bottom w:w="0" w:type="dxa"/>
            <w:right w:w="0" w:type="dxa"/>
          </w:tblCellMar>
        </w:tblPrEx>
        <w:trPr>
          <w:jc w:val="center"/>
        </w:trPr>
        <w:tc>
          <w:tcPr>
            <w:tcW w:w="4584"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035B0D">
            <w:pPr>
              <w:widowControl/>
              <w:jc w:val="center"/>
              <w:rPr>
                <w:rFonts w:ascii="宋体" w:cs="宋体"/>
                <w:kern w:val="0"/>
                <w:sz w:val="24"/>
              </w:rPr>
            </w:pPr>
            <w:r>
              <w:rPr>
                <w:rFonts w:hint="eastAsia" w:ascii="宋体" w:hAnsi="宋体" w:cs="宋体"/>
                <w:kern w:val="0"/>
                <w:sz w:val="18"/>
                <w:szCs w:val="18"/>
              </w:rPr>
              <w:t>道路（路边）</w:t>
            </w:r>
          </w:p>
        </w:tc>
        <w:tc>
          <w:tcPr>
            <w:tcW w:w="582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7E4DE1">
            <w:pPr>
              <w:widowControl/>
              <w:jc w:val="center"/>
              <w:rPr>
                <w:rFonts w:ascii="宋体" w:cs="宋体"/>
                <w:kern w:val="0"/>
                <w:sz w:val="24"/>
              </w:rPr>
            </w:pPr>
            <w:r>
              <w:rPr>
                <w:rFonts w:hint="eastAsia" w:ascii="宋体" w:hAnsi="宋体" w:cs="宋体"/>
                <w:kern w:val="0"/>
                <w:sz w:val="18"/>
                <w:szCs w:val="18"/>
              </w:rPr>
              <w:t>主要</w:t>
            </w:r>
          </w:p>
        </w:tc>
        <w:tc>
          <w:tcPr>
            <w:tcW w:w="494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BC3D679">
            <w:pPr>
              <w:widowControl/>
              <w:jc w:val="center"/>
              <w:rPr>
                <w:rFonts w:ascii="宋体" w:cs="宋体"/>
                <w:kern w:val="0"/>
                <w:sz w:val="24"/>
              </w:rPr>
            </w:pPr>
            <w:r>
              <w:rPr>
                <w:rFonts w:ascii="宋体" w:hAnsi="宋体" w:cs="宋体"/>
                <w:kern w:val="0"/>
                <w:sz w:val="18"/>
                <w:szCs w:val="18"/>
              </w:rPr>
              <w:t>10</w:t>
            </w:r>
          </w:p>
        </w:tc>
      </w:tr>
      <w:tr w14:paraId="08ED87D4">
        <w:tblPrEx>
          <w:tblCellMar>
            <w:top w:w="0" w:type="dxa"/>
            <w:left w:w="0" w:type="dxa"/>
            <w:bottom w:w="0" w:type="dxa"/>
            <w:right w:w="0" w:type="dxa"/>
          </w:tblCellMar>
        </w:tblPrEx>
        <w:trPr>
          <w:jc w:val="center"/>
        </w:trPr>
        <w:tc>
          <w:tcPr>
            <w:tcW w:w="4584" w:type="dxa"/>
            <w:vMerge w:val="continue"/>
            <w:tcBorders>
              <w:top w:val="nil"/>
              <w:left w:val="single" w:color="auto" w:sz="8" w:space="0"/>
              <w:bottom w:val="single" w:color="auto" w:sz="8" w:space="0"/>
              <w:right w:val="single" w:color="auto" w:sz="8" w:space="0"/>
            </w:tcBorders>
            <w:noWrap w:val="0"/>
            <w:vAlign w:val="center"/>
          </w:tcPr>
          <w:p w14:paraId="3D21CF2C">
            <w:pPr>
              <w:widowControl/>
              <w:jc w:val="left"/>
              <w:rPr>
                <w:rFonts w:ascii="宋体" w:cs="宋体"/>
                <w:kern w:val="0"/>
                <w:sz w:val="24"/>
              </w:rPr>
            </w:pPr>
          </w:p>
        </w:tc>
        <w:tc>
          <w:tcPr>
            <w:tcW w:w="582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574342E">
            <w:pPr>
              <w:widowControl/>
              <w:jc w:val="center"/>
              <w:rPr>
                <w:rFonts w:ascii="宋体" w:cs="宋体"/>
                <w:kern w:val="0"/>
                <w:sz w:val="24"/>
              </w:rPr>
            </w:pPr>
            <w:r>
              <w:rPr>
                <w:rFonts w:hint="eastAsia" w:ascii="宋体" w:hAnsi="宋体" w:cs="宋体"/>
                <w:kern w:val="0"/>
                <w:sz w:val="18"/>
                <w:szCs w:val="18"/>
              </w:rPr>
              <w:t>次要</w:t>
            </w:r>
          </w:p>
        </w:tc>
        <w:tc>
          <w:tcPr>
            <w:tcW w:w="494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1AD4555">
            <w:pPr>
              <w:widowControl/>
              <w:jc w:val="center"/>
              <w:rPr>
                <w:rFonts w:ascii="宋体" w:cs="宋体"/>
                <w:kern w:val="0"/>
                <w:sz w:val="24"/>
              </w:rPr>
            </w:pPr>
            <w:r>
              <w:rPr>
                <w:rFonts w:ascii="宋体" w:hAnsi="宋体" w:cs="宋体"/>
                <w:kern w:val="0"/>
                <w:sz w:val="18"/>
                <w:szCs w:val="18"/>
              </w:rPr>
              <w:t>5</w:t>
            </w:r>
          </w:p>
        </w:tc>
      </w:tr>
    </w:tbl>
    <w:p w14:paraId="71E8C682">
      <w:pPr>
        <w:pStyle w:val="36"/>
        <w:ind w:firstLine="0" w:firstLineChars="0"/>
        <w:rPr>
          <w:rFonts w:hint="eastAsia"/>
        </w:rPr>
      </w:pPr>
    </w:p>
    <w:p w14:paraId="1800C56C">
      <w:pPr>
        <w:pStyle w:val="36"/>
        <w:ind w:firstLine="0" w:firstLineChars="0"/>
        <w:rPr>
          <w:rFonts w:hint="eastAsia"/>
        </w:rPr>
      </w:pPr>
    </w:p>
    <w:p w14:paraId="3B699A2B">
      <w:pPr>
        <w:pStyle w:val="36"/>
        <w:ind w:firstLine="0" w:firstLineChars="0"/>
        <w:rPr>
          <w:rFonts w:hint="eastAsia"/>
        </w:rPr>
      </w:pPr>
    </w:p>
    <w:p w14:paraId="06BD031C">
      <w:pPr>
        <w:pStyle w:val="36"/>
        <w:ind w:firstLine="0" w:firstLineChars="0"/>
        <w:rPr>
          <w:rFonts w:hint="eastAsia"/>
        </w:rPr>
      </w:pPr>
    </w:p>
    <w:p w14:paraId="2B35F077">
      <w:pPr>
        <w:pStyle w:val="36"/>
        <w:ind w:firstLine="0" w:firstLineChars="0"/>
        <w:rPr>
          <w:rFonts w:hint="eastAsia"/>
        </w:rPr>
      </w:pPr>
    </w:p>
    <w:p w14:paraId="196C3DB4">
      <w:pPr>
        <w:pStyle w:val="36"/>
        <w:ind w:firstLine="0" w:firstLineChars="0"/>
        <w:rPr>
          <w:rFonts w:hint="eastAsia"/>
        </w:rPr>
      </w:pPr>
    </w:p>
    <w:p w14:paraId="15662DE5">
      <w:pPr>
        <w:pStyle w:val="174"/>
        <w:rPr>
          <w:rFonts w:hint="eastAsia"/>
        </w:rPr>
      </w:pPr>
      <w:bookmarkStart w:id="498" w:name="_Toc31584"/>
      <w:bookmarkEnd w:id="498"/>
      <w:bookmarkStart w:id="499" w:name="_Toc3738"/>
      <w:bookmarkEnd w:id="499"/>
    </w:p>
    <w:p w14:paraId="693EB659">
      <w:pPr>
        <w:pStyle w:val="160"/>
        <w:rPr>
          <w:rFonts w:hint="eastAsia"/>
        </w:rPr>
      </w:pPr>
      <w:bookmarkStart w:id="500" w:name="_Toc651"/>
      <w:bookmarkStart w:id="501" w:name="_Toc22004"/>
      <w:r>
        <w:br w:type="textWrapping"/>
      </w:r>
      <w:bookmarkStart w:id="502" w:name="_Toc498348145"/>
      <w:bookmarkStart w:id="503" w:name="_Toc482169118"/>
      <w:bookmarkStart w:id="504" w:name="_Toc482114506"/>
      <w:bookmarkStart w:id="505" w:name="_Toc484965504"/>
      <w:bookmarkStart w:id="506" w:name="_Toc482172281"/>
      <w:bookmarkStart w:id="507" w:name="_Toc482175058"/>
      <w:bookmarkStart w:id="508" w:name="_Toc486261041"/>
      <w:bookmarkStart w:id="509" w:name="_Toc484984813"/>
      <w:bookmarkStart w:id="510" w:name="_Toc484958280"/>
      <w:bookmarkStart w:id="511" w:name="_Toc498325685"/>
      <w:bookmarkStart w:id="512" w:name="_Toc484965774"/>
      <w:bookmarkStart w:id="513" w:name="_Toc498286356"/>
      <w:bookmarkStart w:id="514" w:name="_Toc504594726"/>
      <w:bookmarkStart w:id="515" w:name="_Toc482198497"/>
      <w:bookmarkStart w:id="516" w:name="_Toc482172340"/>
      <w:bookmarkStart w:id="517" w:name="_Toc482189185"/>
      <w:bookmarkStart w:id="518" w:name="_Toc498337280"/>
      <w:bookmarkStart w:id="519" w:name="_Toc482174636"/>
      <w:bookmarkStart w:id="520" w:name="_Toc504931851"/>
      <w:bookmarkStart w:id="521" w:name="_Toc482174152"/>
      <w:r>
        <w:rPr>
          <w:rFonts w:hint="eastAsia"/>
        </w:rPr>
        <w:t>（规范性附录）</w:t>
      </w:r>
      <w:r>
        <w:br w:type="textWrapping"/>
      </w:r>
      <w:r>
        <w:rPr>
          <w:rFonts w:hint="eastAsia"/>
        </w:rPr>
        <w:t>特种设备要素的安全生产等级评定细则</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6153467A">
      <w:pPr>
        <w:pStyle w:val="36"/>
        <w:ind w:firstLine="0" w:firstLineChars="0"/>
        <w:rPr>
          <w:rFonts w:hint="eastAsia" w:hAnsi="宋体"/>
        </w:rPr>
      </w:pPr>
      <w:r>
        <w:rPr>
          <w:rFonts w:hint="eastAsia" w:ascii="黑体" w:hAnsi="黑体" w:eastAsia="黑体"/>
        </w:rPr>
        <w:t xml:space="preserve">E.1  </w:t>
      </w:r>
      <w:r>
        <w:rPr>
          <w:rFonts w:hint="eastAsia" w:hAnsi="宋体"/>
        </w:rPr>
        <w:t>表E.1给出了特种设备要素的安全生产等级评定细则，总分110分。</w:t>
      </w:r>
    </w:p>
    <w:p w14:paraId="38C39689">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E</w:t>
      </w:r>
      <w:r>
        <w:rPr>
          <w:rFonts w:hint="eastAsia" w:ascii="黑体" w:hAnsi="Times New Roman" w:eastAsia="黑体" w:cs="Times New Roman"/>
          <w:kern w:val="2"/>
          <w:sz w:val="21"/>
          <w:szCs w:val="21"/>
          <w:lang w:val="en-US" w:eastAsia="zh-CN" w:bidi="ar-SA"/>
        </w:rPr>
        <w:t>.</w:t>
      </w:r>
      <w:r>
        <w:rPr>
          <w:rFonts w:hint="eastAsia" w:cs="Times New Roman"/>
          <w:kern w:val="2"/>
          <w:sz w:val="21"/>
          <w:szCs w:val="21"/>
          <w:lang w:val="en-US" w:eastAsia="zh-CN" w:bidi="ar-SA"/>
        </w:rPr>
        <w:t>1</w:t>
      </w:r>
      <w:r>
        <w:rPr>
          <w:rFonts w:hint="eastAsia" w:ascii="黑体" w:hAnsi="Times New Roman" w:eastAsia="黑体" w:cs="Times New Roman"/>
          <w:kern w:val="2"/>
          <w:sz w:val="21"/>
          <w:szCs w:val="21"/>
          <w:lang w:val="en-US" w:eastAsia="zh-CN" w:bidi="ar-SA"/>
        </w:rPr>
        <w:t>　</w:t>
      </w:r>
      <w:r>
        <w:rPr>
          <w:rFonts w:hint="eastAsia"/>
        </w:rPr>
        <w:t>特种设备要素的安全生产等级评定细则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8"/>
        <w:gridCol w:w="5955"/>
        <w:gridCol w:w="649"/>
        <w:gridCol w:w="669"/>
        <w:gridCol w:w="666"/>
        <w:gridCol w:w="3006"/>
        <w:gridCol w:w="679"/>
        <w:gridCol w:w="1557"/>
        <w:gridCol w:w="1354"/>
      </w:tblGrid>
      <w:tr w14:paraId="378D57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18" w:type="dxa"/>
            <w:tcBorders>
              <w:top w:val="single" w:color="auto" w:sz="8" w:space="0"/>
              <w:bottom w:val="single" w:color="auto" w:sz="8" w:space="0"/>
            </w:tcBorders>
            <w:noWrap w:val="0"/>
            <w:vAlign w:val="center"/>
          </w:tcPr>
          <w:p w14:paraId="70835B48">
            <w:pPr>
              <w:adjustRightInd w:val="0"/>
              <w:snapToGrid w:val="0"/>
              <w:jc w:val="center"/>
              <w:rPr>
                <w:rFonts w:ascii="宋体" w:hAnsi="宋体"/>
                <w:sz w:val="18"/>
                <w:szCs w:val="18"/>
              </w:rPr>
            </w:pPr>
            <w:r>
              <w:rPr>
                <w:rFonts w:ascii="宋体" w:hAnsi="宋体"/>
                <w:sz w:val="18"/>
                <w:szCs w:val="18"/>
              </w:rPr>
              <w:t>序号</w:t>
            </w:r>
          </w:p>
        </w:tc>
        <w:tc>
          <w:tcPr>
            <w:tcW w:w="5955" w:type="dxa"/>
            <w:tcBorders>
              <w:top w:val="single" w:color="auto" w:sz="8" w:space="0"/>
              <w:bottom w:val="single" w:color="auto" w:sz="8" w:space="0"/>
            </w:tcBorders>
            <w:noWrap w:val="0"/>
            <w:vAlign w:val="center"/>
          </w:tcPr>
          <w:p w14:paraId="45CFFF76">
            <w:pPr>
              <w:adjustRightInd w:val="0"/>
              <w:snapToGrid w:val="0"/>
              <w:jc w:val="center"/>
              <w:rPr>
                <w:rFonts w:ascii="宋体" w:hAnsi="宋体"/>
                <w:sz w:val="18"/>
                <w:szCs w:val="18"/>
              </w:rPr>
            </w:pPr>
            <w:r>
              <w:rPr>
                <w:rFonts w:hint="eastAsia" w:ascii="宋体" w:hAnsi="宋体"/>
                <w:sz w:val="18"/>
                <w:szCs w:val="18"/>
              </w:rPr>
              <w:t>评定内容</w:t>
            </w:r>
          </w:p>
        </w:tc>
        <w:tc>
          <w:tcPr>
            <w:tcW w:w="649" w:type="dxa"/>
            <w:tcBorders>
              <w:top w:val="single" w:color="auto" w:sz="8" w:space="0"/>
              <w:bottom w:val="single" w:color="auto" w:sz="8" w:space="0"/>
            </w:tcBorders>
            <w:noWrap w:val="0"/>
            <w:vAlign w:val="center"/>
          </w:tcPr>
          <w:p w14:paraId="1134AC59">
            <w:pPr>
              <w:adjustRightInd w:val="0"/>
              <w:snapToGrid w:val="0"/>
              <w:jc w:val="center"/>
              <w:rPr>
                <w:rFonts w:ascii="宋体" w:hAnsi="宋体"/>
                <w:sz w:val="18"/>
                <w:szCs w:val="18"/>
              </w:rPr>
            </w:pPr>
            <w:r>
              <w:rPr>
                <w:rFonts w:hint="eastAsia" w:ascii="宋体" w:hAnsi="宋体"/>
                <w:sz w:val="18"/>
                <w:szCs w:val="18"/>
              </w:rPr>
              <w:t>评定要素分值</w:t>
            </w:r>
          </w:p>
        </w:tc>
        <w:tc>
          <w:tcPr>
            <w:tcW w:w="669" w:type="dxa"/>
            <w:tcBorders>
              <w:top w:val="single" w:color="auto" w:sz="8" w:space="0"/>
              <w:bottom w:val="single" w:color="auto" w:sz="8" w:space="0"/>
            </w:tcBorders>
            <w:noWrap w:val="0"/>
            <w:vAlign w:val="center"/>
          </w:tcPr>
          <w:p w14:paraId="38152EA9">
            <w:pPr>
              <w:adjustRightInd w:val="0"/>
              <w:snapToGrid w:val="0"/>
              <w:jc w:val="center"/>
              <w:rPr>
                <w:rFonts w:ascii="宋体" w:hAnsi="宋体"/>
                <w:sz w:val="18"/>
                <w:szCs w:val="18"/>
              </w:rPr>
            </w:pPr>
            <w:r>
              <w:rPr>
                <w:rFonts w:hint="eastAsia" w:ascii="宋体" w:hAnsi="宋体"/>
                <w:sz w:val="18"/>
                <w:szCs w:val="18"/>
              </w:rPr>
              <w:t>评定细项分值</w:t>
            </w:r>
          </w:p>
        </w:tc>
        <w:tc>
          <w:tcPr>
            <w:tcW w:w="666" w:type="dxa"/>
            <w:tcBorders>
              <w:top w:val="single" w:color="auto" w:sz="8" w:space="0"/>
              <w:bottom w:val="single" w:color="auto" w:sz="8" w:space="0"/>
            </w:tcBorders>
            <w:noWrap w:val="0"/>
            <w:vAlign w:val="center"/>
          </w:tcPr>
          <w:p w14:paraId="23BFAA69">
            <w:pPr>
              <w:adjustRightInd w:val="0"/>
              <w:snapToGrid w:val="0"/>
              <w:jc w:val="center"/>
              <w:rPr>
                <w:rFonts w:ascii="宋体" w:hAnsi="宋体"/>
                <w:sz w:val="18"/>
                <w:szCs w:val="18"/>
              </w:rPr>
            </w:pPr>
            <w:r>
              <w:rPr>
                <w:rFonts w:hint="eastAsia" w:ascii="宋体" w:hAnsi="宋体"/>
                <w:sz w:val="18"/>
                <w:szCs w:val="18"/>
              </w:rPr>
              <w:t>评定条款分值</w:t>
            </w:r>
          </w:p>
        </w:tc>
        <w:tc>
          <w:tcPr>
            <w:tcW w:w="3006" w:type="dxa"/>
            <w:tcBorders>
              <w:top w:val="single" w:color="auto" w:sz="8" w:space="0"/>
              <w:bottom w:val="single" w:color="auto" w:sz="8" w:space="0"/>
            </w:tcBorders>
            <w:noWrap w:val="0"/>
            <w:vAlign w:val="center"/>
          </w:tcPr>
          <w:p w14:paraId="1099171A">
            <w:pPr>
              <w:adjustRightInd w:val="0"/>
              <w:snapToGrid w:val="0"/>
              <w:jc w:val="center"/>
              <w:rPr>
                <w:rFonts w:ascii="宋体" w:hAnsi="宋体"/>
                <w:sz w:val="18"/>
                <w:szCs w:val="18"/>
              </w:rPr>
            </w:pPr>
            <w:r>
              <w:rPr>
                <w:rFonts w:hint="eastAsia" w:ascii="宋体" w:hAnsi="宋体"/>
                <w:sz w:val="18"/>
                <w:szCs w:val="18"/>
              </w:rPr>
              <w:t>评分标准</w:t>
            </w:r>
          </w:p>
        </w:tc>
        <w:tc>
          <w:tcPr>
            <w:tcW w:w="679" w:type="dxa"/>
            <w:tcBorders>
              <w:top w:val="single" w:color="auto" w:sz="8" w:space="0"/>
              <w:bottom w:val="single" w:color="auto" w:sz="8" w:space="0"/>
            </w:tcBorders>
            <w:noWrap w:val="0"/>
            <w:vAlign w:val="center"/>
          </w:tcPr>
          <w:p w14:paraId="5EFBB99E">
            <w:pPr>
              <w:adjustRightInd w:val="0"/>
              <w:snapToGrid w:val="0"/>
              <w:jc w:val="center"/>
              <w:rPr>
                <w:rFonts w:ascii="宋体" w:hAnsi="宋体"/>
                <w:sz w:val="18"/>
                <w:szCs w:val="18"/>
              </w:rPr>
            </w:pPr>
            <w:r>
              <w:rPr>
                <w:rFonts w:hint="eastAsia" w:ascii="宋体" w:hAnsi="宋体"/>
                <w:sz w:val="18"/>
                <w:szCs w:val="18"/>
              </w:rPr>
              <w:t>评定得分</w:t>
            </w:r>
          </w:p>
        </w:tc>
        <w:tc>
          <w:tcPr>
            <w:tcW w:w="1557" w:type="dxa"/>
            <w:tcBorders>
              <w:top w:val="single" w:color="auto" w:sz="8" w:space="0"/>
              <w:bottom w:val="single" w:color="auto" w:sz="8" w:space="0"/>
            </w:tcBorders>
            <w:noWrap w:val="0"/>
            <w:vAlign w:val="center"/>
          </w:tcPr>
          <w:p w14:paraId="004FD77D">
            <w:pPr>
              <w:adjustRightInd w:val="0"/>
              <w:snapToGrid w:val="0"/>
              <w:jc w:val="center"/>
              <w:rPr>
                <w:rFonts w:ascii="宋体" w:hAnsi="宋体"/>
                <w:sz w:val="18"/>
                <w:szCs w:val="18"/>
              </w:rPr>
            </w:pPr>
            <w:r>
              <w:rPr>
                <w:rFonts w:hint="eastAsia" w:ascii="宋体" w:hAnsi="宋体"/>
                <w:sz w:val="18"/>
                <w:szCs w:val="18"/>
              </w:rPr>
              <w:t>扣分说明</w:t>
            </w:r>
          </w:p>
        </w:tc>
        <w:tc>
          <w:tcPr>
            <w:tcW w:w="1354" w:type="dxa"/>
            <w:tcBorders>
              <w:top w:val="single" w:color="auto" w:sz="8" w:space="0"/>
              <w:bottom w:val="single" w:color="auto" w:sz="8" w:space="0"/>
            </w:tcBorders>
            <w:noWrap w:val="0"/>
            <w:vAlign w:val="center"/>
          </w:tcPr>
          <w:p w14:paraId="7C93E18C">
            <w:pPr>
              <w:adjustRightInd w:val="0"/>
              <w:snapToGrid w:val="0"/>
              <w:jc w:val="center"/>
              <w:rPr>
                <w:rFonts w:ascii="宋体" w:hAnsi="宋体"/>
                <w:sz w:val="18"/>
                <w:szCs w:val="18"/>
              </w:rPr>
            </w:pPr>
            <w:r>
              <w:rPr>
                <w:rFonts w:hint="eastAsia" w:ascii="宋体" w:hAnsi="宋体"/>
                <w:sz w:val="18"/>
                <w:szCs w:val="18"/>
              </w:rPr>
              <w:t>对应条款编号</w:t>
            </w:r>
          </w:p>
        </w:tc>
      </w:tr>
      <w:tr w14:paraId="290B3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18" w:type="dxa"/>
            <w:tcBorders>
              <w:top w:val="single" w:color="auto" w:sz="8" w:space="0"/>
            </w:tcBorders>
            <w:noWrap w:val="0"/>
            <w:vAlign w:val="center"/>
          </w:tcPr>
          <w:p w14:paraId="3C5841EE">
            <w:pPr>
              <w:adjustRightInd w:val="0"/>
              <w:snapToGrid w:val="0"/>
              <w:jc w:val="center"/>
              <w:rPr>
                <w:rFonts w:ascii="宋体" w:hAnsi="宋体"/>
                <w:bCs/>
                <w:sz w:val="18"/>
                <w:szCs w:val="18"/>
              </w:rPr>
            </w:pPr>
            <w:r>
              <w:rPr>
                <w:rFonts w:hint="eastAsia" w:ascii="宋体" w:hAnsi="宋体"/>
                <w:bCs/>
                <w:sz w:val="18"/>
                <w:szCs w:val="18"/>
              </w:rPr>
              <w:t>4</w:t>
            </w:r>
          </w:p>
        </w:tc>
        <w:tc>
          <w:tcPr>
            <w:tcW w:w="5955" w:type="dxa"/>
            <w:tcBorders>
              <w:top w:val="single" w:color="auto" w:sz="8" w:space="0"/>
            </w:tcBorders>
            <w:noWrap w:val="0"/>
            <w:vAlign w:val="center"/>
          </w:tcPr>
          <w:p w14:paraId="2DC1CF5C">
            <w:pPr>
              <w:adjustRightInd w:val="0"/>
              <w:snapToGrid w:val="0"/>
              <w:rPr>
                <w:rFonts w:ascii="宋体" w:hAnsi="宋体"/>
                <w:sz w:val="18"/>
                <w:szCs w:val="18"/>
              </w:rPr>
            </w:pPr>
            <w:r>
              <w:rPr>
                <w:rFonts w:hint="eastAsia" w:ascii="宋体" w:hAnsi="宋体"/>
                <w:sz w:val="18"/>
                <w:szCs w:val="18"/>
              </w:rPr>
              <w:t>特种设备</w:t>
            </w:r>
          </w:p>
        </w:tc>
        <w:tc>
          <w:tcPr>
            <w:tcW w:w="649" w:type="dxa"/>
            <w:tcBorders>
              <w:top w:val="single" w:color="auto" w:sz="8" w:space="0"/>
            </w:tcBorders>
            <w:noWrap w:val="0"/>
            <w:vAlign w:val="center"/>
          </w:tcPr>
          <w:p w14:paraId="0A05B301">
            <w:pPr>
              <w:adjustRightInd w:val="0"/>
              <w:snapToGrid w:val="0"/>
              <w:jc w:val="center"/>
              <w:rPr>
                <w:rFonts w:ascii="宋体" w:hAnsi="宋体"/>
                <w:sz w:val="18"/>
                <w:szCs w:val="18"/>
              </w:rPr>
            </w:pPr>
            <w:r>
              <w:rPr>
                <w:rFonts w:hint="eastAsia" w:ascii="宋体" w:hAnsi="宋体"/>
                <w:sz w:val="18"/>
                <w:szCs w:val="18"/>
              </w:rPr>
              <w:t>110</w:t>
            </w:r>
          </w:p>
        </w:tc>
        <w:tc>
          <w:tcPr>
            <w:tcW w:w="669" w:type="dxa"/>
            <w:tcBorders>
              <w:top w:val="single" w:color="auto" w:sz="8" w:space="0"/>
            </w:tcBorders>
            <w:noWrap w:val="0"/>
            <w:vAlign w:val="center"/>
          </w:tcPr>
          <w:p w14:paraId="0DBA56D2">
            <w:pPr>
              <w:adjustRightInd w:val="0"/>
              <w:snapToGrid w:val="0"/>
              <w:jc w:val="center"/>
              <w:rPr>
                <w:rFonts w:ascii="宋体" w:hAnsi="宋体"/>
                <w:sz w:val="18"/>
                <w:szCs w:val="18"/>
              </w:rPr>
            </w:pPr>
          </w:p>
        </w:tc>
        <w:tc>
          <w:tcPr>
            <w:tcW w:w="666" w:type="dxa"/>
            <w:tcBorders>
              <w:top w:val="single" w:color="auto" w:sz="8" w:space="0"/>
            </w:tcBorders>
            <w:noWrap w:val="0"/>
            <w:vAlign w:val="center"/>
          </w:tcPr>
          <w:p w14:paraId="4DAAE533">
            <w:pPr>
              <w:adjustRightInd w:val="0"/>
              <w:snapToGrid w:val="0"/>
              <w:jc w:val="center"/>
              <w:rPr>
                <w:rFonts w:ascii="宋体" w:hAnsi="宋体"/>
                <w:sz w:val="18"/>
                <w:szCs w:val="18"/>
              </w:rPr>
            </w:pPr>
          </w:p>
        </w:tc>
        <w:tc>
          <w:tcPr>
            <w:tcW w:w="3006" w:type="dxa"/>
            <w:tcBorders>
              <w:top w:val="single" w:color="auto" w:sz="8" w:space="0"/>
            </w:tcBorders>
            <w:noWrap w:val="0"/>
            <w:vAlign w:val="center"/>
          </w:tcPr>
          <w:p w14:paraId="04DEFAA4">
            <w:pPr>
              <w:adjustRightInd w:val="0"/>
              <w:snapToGrid w:val="0"/>
              <w:rPr>
                <w:rFonts w:ascii="宋体" w:hAnsi="宋体"/>
                <w:sz w:val="18"/>
                <w:szCs w:val="18"/>
              </w:rPr>
            </w:pPr>
          </w:p>
        </w:tc>
        <w:tc>
          <w:tcPr>
            <w:tcW w:w="679" w:type="dxa"/>
            <w:tcBorders>
              <w:top w:val="single" w:color="auto" w:sz="8" w:space="0"/>
            </w:tcBorders>
            <w:noWrap w:val="0"/>
            <w:vAlign w:val="top"/>
          </w:tcPr>
          <w:p w14:paraId="1192B150">
            <w:pPr>
              <w:adjustRightInd w:val="0"/>
              <w:snapToGrid w:val="0"/>
              <w:rPr>
                <w:rFonts w:ascii="宋体" w:hAnsi="宋体"/>
                <w:sz w:val="18"/>
                <w:szCs w:val="18"/>
              </w:rPr>
            </w:pPr>
          </w:p>
        </w:tc>
        <w:tc>
          <w:tcPr>
            <w:tcW w:w="1557" w:type="dxa"/>
            <w:tcBorders>
              <w:top w:val="single" w:color="auto" w:sz="8" w:space="0"/>
            </w:tcBorders>
            <w:noWrap w:val="0"/>
            <w:vAlign w:val="top"/>
          </w:tcPr>
          <w:p w14:paraId="106AF21B">
            <w:pPr>
              <w:adjustRightInd w:val="0"/>
              <w:snapToGrid w:val="0"/>
              <w:rPr>
                <w:rFonts w:ascii="宋体" w:hAnsi="宋体"/>
                <w:sz w:val="18"/>
                <w:szCs w:val="18"/>
              </w:rPr>
            </w:pPr>
          </w:p>
        </w:tc>
        <w:tc>
          <w:tcPr>
            <w:tcW w:w="1354" w:type="dxa"/>
            <w:tcBorders>
              <w:top w:val="single" w:color="auto" w:sz="8" w:space="0"/>
            </w:tcBorders>
            <w:noWrap w:val="0"/>
            <w:vAlign w:val="center"/>
          </w:tcPr>
          <w:p w14:paraId="2A435755">
            <w:pPr>
              <w:adjustRightInd w:val="0"/>
              <w:snapToGrid w:val="0"/>
              <w:jc w:val="center"/>
              <w:rPr>
                <w:rFonts w:hint="eastAsia" w:ascii="宋体" w:hAnsi="宋体" w:eastAsia="宋体"/>
                <w:sz w:val="18"/>
                <w:szCs w:val="18"/>
                <w:lang w:eastAsia="zh-CN"/>
              </w:rPr>
            </w:pPr>
            <w:r>
              <w:rPr>
                <w:rFonts w:hint="eastAsia" w:ascii="宋体" w:hAnsi="宋体"/>
                <w:sz w:val="18"/>
                <w:szCs w:val="18"/>
                <w:lang w:eastAsia="zh-CN"/>
              </w:rPr>
              <w:t>4.4</w:t>
            </w:r>
          </w:p>
        </w:tc>
      </w:tr>
      <w:tr w14:paraId="06086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38041DB0">
            <w:pPr>
              <w:adjustRightInd w:val="0"/>
              <w:snapToGrid w:val="0"/>
              <w:jc w:val="center"/>
              <w:rPr>
                <w:rFonts w:ascii="宋体" w:hAnsi="宋体"/>
                <w:bCs/>
                <w:sz w:val="18"/>
                <w:szCs w:val="18"/>
              </w:rPr>
            </w:pPr>
            <w:r>
              <w:rPr>
                <w:rFonts w:hint="eastAsia" w:ascii="宋体" w:hAnsi="宋体"/>
                <w:bCs/>
                <w:sz w:val="18"/>
                <w:szCs w:val="18"/>
              </w:rPr>
              <w:t>4.1</w:t>
            </w:r>
          </w:p>
        </w:tc>
        <w:tc>
          <w:tcPr>
            <w:tcW w:w="5955" w:type="dxa"/>
            <w:noWrap w:val="0"/>
            <w:vAlign w:val="center"/>
          </w:tcPr>
          <w:p w14:paraId="5E2BD207">
            <w:pPr>
              <w:adjustRightInd w:val="0"/>
              <w:snapToGrid w:val="0"/>
              <w:rPr>
                <w:rFonts w:ascii="宋体" w:hAnsi="宋体"/>
                <w:sz w:val="18"/>
                <w:szCs w:val="18"/>
              </w:rPr>
            </w:pPr>
            <w:r>
              <w:rPr>
                <w:rFonts w:hint="eastAsia" w:ascii="宋体" w:hAnsi="宋体"/>
                <w:sz w:val="18"/>
                <w:szCs w:val="18"/>
              </w:rPr>
              <w:t>一般要求</w:t>
            </w:r>
          </w:p>
        </w:tc>
        <w:tc>
          <w:tcPr>
            <w:tcW w:w="649" w:type="dxa"/>
            <w:noWrap w:val="0"/>
            <w:vAlign w:val="center"/>
          </w:tcPr>
          <w:p w14:paraId="352ED17E">
            <w:pPr>
              <w:adjustRightInd w:val="0"/>
              <w:snapToGrid w:val="0"/>
              <w:jc w:val="center"/>
              <w:rPr>
                <w:rFonts w:ascii="宋体" w:hAnsi="宋体"/>
                <w:sz w:val="18"/>
                <w:szCs w:val="18"/>
              </w:rPr>
            </w:pPr>
          </w:p>
        </w:tc>
        <w:tc>
          <w:tcPr>
            <w:tcW w:w="669" w:type="dxa"/>
            <w:noWrap w:val="0"/>
            <w:vAlign w:val="center"/>
          </w:tcPr>
          <w:p w14:paraId="534FD92D">
            <w:pPr>
              <w:adjustRightInd w:val="0"/>
              <w:snapToGrid w:val="0"/>
              <w:jc w:val="center"/>
              <w:rPr>
                <w:rFonts w:ascii="宋体" w:hAnsi="宋体"/>
                <w:sz w:val="18"/>
                <w:szCs w:val="18"/>
              </w:rPr>
            </w:pPr>
            <w:r>
              <w:rPr>
                <w:rFonts w:hint="eastAsia" w:ascii="宋体" w:hAnsi="宋体"/>
                <w:sz w:val="18"/>
                <w:szCs w:val="18"/>
              </w:rPr>
              <w:t>5</w:t>
            </w:r>
          </w:p>
        </w:tc>
        <w:tc>
          <w:tcPr>
            <w:tcW w:w="666" w:type="dxa"/>
            <w:noWrap w:val="0"/>
            <w:vAlign w:val="center"/>
          </w:tcPr>
          <w:p w14:paraId="37E4F9F1">
            <w:pPr>
              <w:adjustRightInd w:val="0"/>
              <w:snapToGrid w:val="0"/>
              <w:jc w:val="center"/>
              <w:rPr>
                <w:rFonts w:ascii="宋体" w:hAnsi="宋体"/>
                <w:sz w:val="18"/>
                <w:szCs w:val="18"/>
              </w:rPr>
            </w:pPr>
          </w:p>
        </w:tc>
        <w:tc>
          <w:tcPr>
            <w:tcW w:w="3006" w:type="dxa"/>
            <w:noWrap w:val="0"/>
            <w:vAlign w:val="center"/>
          </w:tcPr>
          <w:p w14:paraId="20E66006">
            <w:pPr>
              <w:adjustRightInd w:val="0"/>
              <w:snapToGrid w:val="0"/>
              <w:rPr>
                <w:rFonts w:ascii="宋体" w:hAnsi="宋体"/>
                <w:sz w:val="18"/>
                <w:szCs w:val="18"/>
              </w:rPr>
            </w:pPr>
          </w:p>
        </w:tc>
        <w:tc>
          <w:tcPr>
            <w:tcW w:w="679" w:type="dxa"/>
            <w:noWrap w:val="0"/>
            <w:vAlign w:val="top"/>
          </w:tcPr>
          <w:p w14:paraId="0D1CB210">
            <w:pPr>
              <w:adjustRightInd w:val="0"/>
              <w:snapToGrid w:val="0"/>
              <w:rPr>
                <w:rFonts w:ascii="宋体" w:hAnsi="宋体"/>
                <w:sz w:val="18"/>
                <w:szCs w:val="18"/>
              </w:rPr>
            </w:pPr>
          </w:p>
        </w:tc>
        <w:tc>
          <w:tcPr>
            <w:tcW w:w="1557" w:type="dxa"/>
            <w:noWrap w:val="0"/>
            <w:vAlign w:val="top"/>
          </w:tcPr>
          <w:p w14:paraId="7C30E5C4">
            <w:pPr>
              <w:adjustRightInd w:val="0"/>
              <w:snapToGrid w:val="0"/>
              <w:rPr>
                <w:rFonts w:ascii="宋体" w:hAnsi="宋体"/>
                <w:sz w:val="18"/>
                <w:szCs w:val="18"/>
              </w:rPr>
            </w:pPr>
          </w:p>
        </w:tc>
        <w:tc>
          <w:tcPr>
            <w:tcW w:w="1354" w:type="dxa"/>
            <w:noWrap w:val="0"/>
            <w:vAlign w:val="center"/>
          </w:tcPr>
          <w:p w14:paraId="7CAF16D2">
            <w:pPr>
              <w:adjustRightInd w:val="0"/>
              <w:snapToGrid w:val="0"/>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r w14:paraId="3FA6A4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629A9525">
            <w:pPr>
              <w:adjustRightInd w:val="0"/>
              <w:snapToGrid w:val="0"/>
              <w:jc w:val="center"/>
              <w:rPr>
                <w:rFonts w:ascii="宋体" w:hAnsi="宋体"/>
                <w:bCs/>
                <w:sz w:val="18"/>
                <w:szCs w:val="18"/>
              </w:rPr>
            </w:pPr>
            <w:r>
              <w:rPr>
                <w:rFonts w:hint="eastAsia" w:ascii="宋体" w:hAnsi="宋体"/>
                <w:sz w:val="18"/>
                <w:szCs w:val="18"/>
              </w:rPr>
              <w:t>4</w:t>
            </w:r>
            <w:r>
              <w:rPr>
                <w:rFonts w:ascii="宋体" w:hAnsi="宋体"/>
                <w:sz w:val="18"/>
                <w:szCs w:val="18"/>
              </w:rPr>
              <w:t>.1.</w:t>
            </w:r>
            <w:r>
              <w:rPr>
                <w:rFonts w:hint="eastAsia" w:ascii="宋体" w:hAnsi="宋体"/>
                <w:sz w:val="18"/>
                <w:szCs w:val="18"/>
              </w:rPr>
              <w:t>1</w:t>
            </w:r>
          </w:p>
        </w:tc>
        <w:tc>
          <w:tcPr>
            <w:tcW w:w="5955" w:type="dxa"/>
            <w:noWrap w:val="0"/>
            <w:vAlign w:val="center"/>
          </w:tcPr>
          <w:p w14:paraId="2AB3FE10">
            <w:pPr>
              <w:adjustRightInd w:val="0"/>
              <w:snapToGrid w:val="0"/>
              <w:rPr>
                <w:rFonts w:ascii="宋体" w:hAnsi="宋体"/>
                <w:sz w:val="18"/>
                <w:szCs w:val="18"/>
              </w:rPr>
            </w:pPr>
            <w:r>
              <w:rPr>
                <w:rFonts w:hint="eastAsia" w:ascii="宋体" w:hAnsi="宋体"/>
                <w:sz w:val="18"/>
                <w:szCs w:val="18"/>
              </w:rPr>
              <w:t>应将特种设备安全检验合格标志及相关牌照和证书固定在设备现场显著位置。</w:t>
            </w:r>
          </w:p>
        </w:tc>
        <w:tc>
          <w:tcPr>
            <w:tcW w:w="649" w:type="dxa"/>
            <w:noWrap w:val="0"/>
            <w:vAlign w:val="center"/>
          </w:tcPr>
          <w:p w14:paraId="2A28B949">
            <w:pPr>
              <w:adjustRightInd w:val="0"/>
              <w:snapToGrid w:val="0"/>
              <w:jc w:val="center"/>
              <w:rPr>
                <w:rFonts w:ascii="宋体" w:hAnsi="宋体"/>
                <w:sz w:val="18"/>
                <w:szCs w:val="18"/>
              </w:rPr>
            </w:pPr>
          </w:p>
        </w:tc>
        <w:tc>
          <w:tcPr>
            <w:tcW w:w="669" w:type="dxa"/>
            <w:noWrap w:val="0"/>
            <w:vAlign w:val="center"/>
          </w:tcPr>
          <w:p w14:paraId="5E5AC3DB">
            <w:pPr>
              <w:adjustRightInd w:val="0"/>
              <w:snapToGrid w:val="0"/>
              <w:jc w:val="center"/>
              <w:rPr>
                <w:rFonts w:ascii="宋体" w:hAnsi="宋体"/>
                <w:sz w:val="18"/>
                <w:szCs w:val="18"/>
              </w:rPr>
            </w:pPr>
          </w:p>
        </w:tc>
        <w:tc>
          <w:tcPr>
            <w:tcW w:w="666" w:type="dxa"/>
            <w:noWrap w:val="0"/>
            <w:vAlign w:val="center"/>
          </w:tcPr>
          <w:p w14:paraId="349A1BE4">
            <w:pPr>
              <w:adjustRightInd w:val="0"/>
              <w:snapToGrid w:val="0"/>
              <w:jc w:val="center"/>
              <w:rPr>
                <w:rFonts w:ascii="宋体" w:hAnsi="宋体"/>
                <w:sz w:val="18"/>
                <w:szCs w:val="18"/>
              </w:rPr>
            </w:pPr>
            <w:r>
              <w:rPr>
                <w:rFonts w:hint="eastAsia" w:ascii="宋体" w:hAnsi="宋体"/>
                <w:sz w:val="18"/>
                <w:szCs w:val="18"/>
              </w:rPr>
              <w:t>5</w:t>
            </w:r>
          </w:p>
        </w:tc>
        <w:tc>
          <w:tcPr>
            <w:tcW w:w="3006" w:type="dxa"/>
            <w:noWrap w:val="0"/>
            <w:vAlign w:val="center"/>
          </w:tcPr>
          <w:p w14:paraId="064F1641">
            <w:pPr>
              <w:adjustRightInd w:val="0"/>
              <w:snapToGrid w:val="0"/>
              <w:rPr>
                <w:rFonts w:ascii="宋体" w:hAnsi="宋体"/>
                <w:sz w:val="18"/>
                <w:szCs w:val="18"/>
              </w:rPr>
            </w:pPr>
            <w:r>
              <w:rPr>
                <w:rFonts w:hint="eastAsia" w:ascii="宋体" w:hAnsi="宋体"/>
                <w:sz w:val="18"/>
                <w:szCs w:val="18"/>
              </w:rPr>
              <w:t>有一台特种设备安全检验合格标志未固定在显著位置上的，</w:t>
            </w:r>
            <w:r>
              <w:rPr>
                <w:rFonts w:hint="eastAsia" w:ascii="宋体" w:hAnsi="宋体"/>
                <w:sz w:val="18"/>
                <w:szCs w:val="18"/>
                <w:lang w:val="en-US" w:eastAsia="zh-CN"/>
              </w:rPr>
              <w:t>不得分</w:t>
            </w:r>
            <w:r>
              <w:rPr>
                <w:rFonts w:hint="eastAsia" w:ascii="宋体" w:hAnsi="宋体"/>
                <w:sz w:val="18"/>
                <w:szCs w:val="18"/>
              </w:rPr>
              <w:t xml:space="preserve">。 </w:t>
            </w:r>
          </w:p>
        </w:tc>
        <w:tc>
          <w:tcPr>
            <w:tcW w:w="679" w:type="dxa"/>
            <w:noWrap w:val="0"/>
            <w:vAlign w:val="top"/>
          </w:tcPr>
          <w:p w14:paraId="74083882">
            <w:pPr>
              <w:adjustRightInd w:val="0"/>
              <w:snapToGrid w:val="0"/>
              <w:rPr>
                <w:rFonts w:ascii="宋体" w:hAnsi="宋体"/>
                <w:sz w:val="18"/>
                <w:szCs w:val="18"/>
              </w:rPr>
            </w:pPr>
          </w:p>
        </w:tc>
        <w:tc>
          <w:tcPr>
            <w:tcW w:w="1557" w:type="dxa"/>
            <w:noWrap w:val="0"/>
            <w:vAlign w:val="top"/>
          </w:tcPr>
          <w:p w14:paraId="67228497">
            <w:pPr>
              <w:adjustRightInd w:val="0"/>
              <w:snapToGrid w:val="0"/>
              <w:rPr>
                <w:rFonts w:ascii="宋体" w:hAnsi="宋体"/>
                <w:sz w:val="18"/>
                <w:szCs w:val="18"/>
              </w:rPr>
            </w:pPr>
          </w:p>
        </w:tc>
        <w:tc>
          <w:tcPr>
            <w:tcW w:w="1354" w:type="dxa"/>
            <w:noWrap w:val="0"/>
            <w:vAlign w:val="center"/>
          </w:tcPr>
          <w:p w14:paraId="19FF9C7D">
            <w:pPr>
              <w:adjustRightInd w:val="0"/>
              <w:snapToGrid w:val="0"/>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r w14:paraId="13471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298367F9">
            <w:pPr>
              <w:adjustRightInd w:val="0"/>
              <w:snapToGrid w:val="0"/>
              <w:jc w:val="center"/>
              <w:rPr>
                <w:rFonts w:ascii="宋体" w:hAnsi="宋体"/>
                <w:bCs/>
                <w:sz w:val="18"/>
                <w:szCs w:val="18"/>
              </w:rPr>
            </w:pPr>
            <w:r>
              <w:rPr>
                <w:rFonts w:hint="eastAsia" w:ascii="宋体" w:hAnsi="宋体"/>
                <w:bCs/>
                <w:sz w:val="18"/>
                <w:szCs w:val="18"/>
              </w:rPr>
              <w:t>4</w:t>
            </w:r>
            <w:r>
              <w:rPr>
                <w:rFonts w:ascii="宋体" w:hAnsi="宋体"/>
                <w:bCs/>
                <w:sz w:val="18"/>
                <w:szCs w:val="18"/>
              </w:rPr>
              <w:t>.2</w:t>
            </w:r>
          </w:p>
        </w:tc>
        <w:tc>
          <w:tcPr>
            <w:tcW w:w="5955" w:type="dxa"/>
            <w:noWrap w:val="0"/>
            <w:vAlign w:val="center"/>
          </w:tcPr>
          <w:p w14:paraId="322EF0EB">
            <w:pPr>
              <w:adjustRightInd w:val="0"/>
              <w:snapToGrid w:val="0"/>
              <w:rPr>
                <w:rFonts w:hint="eastAsia" w:ascii="宋体" w:hAnsi="宋体" w:eastAsia="宋体"/>
                <w:sz w:val="18"/>
                <w:szCs w:val="18"/>
                <w:lang w:eastAsia="zh-CN"/>
              </w:rPr>
            </w:pPr>
            <w:r>
              <w:rPr>
                <w:rFonts w:hint="eastAsia" w:ascii="宋体" w:hAnsi="宋体"/>
                <w:sz w:val="18"/>
                <w:szCs w:val="18"/>
              </w:rPr>
              <w:t>锅炉</w:t>
            </w:r>
          </w:p>
        </w:tc>
        <w:tc>
          <w:tcPr>
            <w:tcW w:w="649" w:type="dxa"/>
            <w:noWrap w:val="0"/>
            <w:vAlign w:val="center"/>
          </w:tcPr>
          <w:p w14:paraId="22BE0A0F">
            <w:pPr>
              <w:adjustRightInd w:val="0"/>
              <w:snapToGrid w:val="0"/>
              <w:jc w:val="center"/>
              <w:rPr>
                <w:rFonts w:ascii="宋体" w:hAnsi="宋体"/>
                <w:sz w:val="18"/>
                <w:szCs w:val="18"/>
              </w:rPr>
            </w:pPr>
          </w:p>
        </w:tc>
        <w:tc>
          <w:tcPr>
            <w:tcW w:w="669" w:type="dxa"/>
            <w:noWrap w:val="0"/>
            <w:vAlign w:val="center"/>
          </w:tcPr>
          <w:p w14:paraId="3E50CAC5">
            <w:pPr>
              <w:adjustRightInd w:val="0"/>
              <w:snapToGrid w:val="0"/>
              <w:jc w:val="center"/>
              <w:rPr>
                <w:rFonts w:ascii="宋体" w:hAnsi="宋体"/>
                <w:sz w:val="18"/>
                <w:szCs w:val="18"/>
              </w:rPr>
            </w:pPr>
            <w:r>
              <w:rPr>
                <w:rFonts w:hint="eastAsia" w:ascii="宋体" w:hAnsi="宋体"/>
                <w:sz w:val="18"/>
                <w:szCs w:val="18"/>
              </w:rPr>
              <w:t>10</w:t>
            </w:r>
          </w:p>
        </w:tc>
        <w:tc>
          <w:tcPr>
            <w:tcW w:w="666" w:type="dxa"/>
            <w:noWrap w:val="0"/>
            <w:vAlign w:val="center"/>
          </w:tcPr>
          <w:p w14:paraId="3408540C">
            <w:pPr>
              <w:adjustRightInd w:val="0"/>
              <w:snapToGrid w:val="0"/>
              <w:jc w:val="center"/>
              <w:rPr>
                <w:rFonts w:hint="eastAsia" w:ascii="宋体" w:hAnsi="宋体"/>
                <w:sz w:val="18"/>
                <w:szCs w:val="18"/>
              </w:rPr>
            </w:pPr>
          </w:p>
        </w:tc>
        <w:tc>
          <w:tcPr>
            <w:tcW w:w="3006" w:type="dxa"/>
            <w:noWrap w:val="0"/>
            <w:vAlign w:val="center"/>
          </w:tcPr>
          <w:p w14:paraId="7B8C3B1F">
            <w:pPr>
              <w:adjustRightInd w:val="0"/>
              <w:snapToGrid w:val="0"/>
              <w:rPr>
                <w:rFonts w:ascii="宋体" w:hAnsi="宋体"/>
                <w:sz w:val="18"/>
                <w:szCs w:val="18"/>
              </w:rPr>
            </w:pPr>
          </w:p>
        </w:tc>
        <w:tc>
          <w:tcPr>
            <w:tcW w:w="679" w:type="dxa"/>
            <w:noWrap w:val="0"/>
            <w:vAlign w:val="top"/>
          </w:tcPr>
          <w:p w14:paraId="75A320F6">
            <w:pPr>
              <w:adjustRightInd w:val="0"/>
              <w:snapToGrid w:val="0"/>
              <w:rPr>
                <w:rFonts w:ascii="宋体" w:hAnsi="宋体"/>
                <w:sz w:val="18"/>
                <w:szCs w:val="18"/>
              </w:rPr>
            </w:pPr>
          </w:p>
        </w:tc>
        <w:tc>
          <w:tcPr>
            <w:tcW w:w="1557" w:type="dxa"/>
            <w:noWrap w:val="0"/>
            <w:vAlign w:val="top"/>
          </w:tcPr>
          <w:p w14:paraId="62F2CA09">
            <w:pPr>
              <w:adjustRightInd w:val="0"/>
              <w:snapToGrid w:val="0"/>
              <w:rPr>
                <w:rFonts w:ascii="宋体" w:hAnsi="宋体"/>
                <w:sz w:val="18"/>
                <w:szCs w:val="18"/>
              </w:rPr>
            </w:pPr>
          </w:p>
        </w:tc>
        <w:tc>
          <w:tcPr>
            <w:tcW w:w="1354" w:type="dxa"/>
            <w:noWrap w:val="0"/>
            <w:vAlign w:val="center"/>
          </w:tcPr>
          <w:p w14:paraId="7E99010E">
            <w:pPr>
              <w:adjustRightInd w:val="0"/>
              <w:snapToGrid w:val="0"/>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r w14:paraId="54A99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5" w:hRule="atLeast"/>
        </w:trPr>
        <w:tc>
          <w:tcPr>
            <w:tcW w:w="818" w:type="dxa"/>
            <w:noWrap w:val="0"/>
            <w:vAlign w:val="center"/>
          </w:tcPr>
          <w:p w14:paraId="5B1C9144">
            <w:pPr>
              <w:adjustRightInd w:val="0"/>
              <w:snapToGrid w:val="0"/>
              <w:spacing w:line="240" w:lineRule="atLeast"/>
              <w:jc w:val="center"/>
              <w:rPr>
                <w:rFonts w:ascii="宋体" w:hAnsi="宋体"/>
                <w:sz w:val="18"/>
                <w:szCs w:val="18"/>
              </w:rPr>
            </w:pPr>
            <w:r>
              <w:rPr>
                <w:rFonts w:hint="eastAsia" w:ascii="宋体" w:hAnsi="宋体"/>
                <w:bCs/>
                <w:sz w:val="18"/>
                <w:szCs w:val="18"/>
              </w:rPr>
              <w:t>4.2.1</w:t>
            </w:r>
          </w:p>
        </w:tc>
        <w:tc>
          <w:tcPr>
            <w:tcW w:w="5955" w:type="dxa"/>
            <w:noWrap w:val="0"/>
            <w:vAlign w:val="center"/>
          </w:tcPr>
          <w:p w14:paraId="305ED374">
            <w:pPr>
              <w:adjustRightInd w:val="0"/>
              <w:snapToGrid w:val="0"/>
              <w:rPr>
                <w:rFonts w:hint="default" w:ascii="宋体" w:hAnsi="宋体" w:eastAsia="宋体"/>
                <w:sz w:val="18"/>
                <w:szCs w:val="18"/>
                <w:lang w:val="en-US" w:eastAsia="zh-CN"/>
              </w:rPr>
            </w:pPr>
            <w:r>
              <w:rPr>
                <w:rFonts w:hint="eastAsia" w:ascii="宋体" w:hAnsi="宋体"/>
                <w:sz w:val="18"/>
                <w:szCs w:val="18"/>
                <w:lang w:val="en-US" w:eastAsia="zh-CN"/>
              </w:rPr>
              <w:t>锅炉应符合下列要求：</w:t>
            </w:r>
          </w:p>
          <w:p w14:paraId="08940AD9">
            <w:pPr>
              <w:adjustRightInd w:val="0"/>
              <w:snapToGrid w:val="0"/>
              <w:rPr>
                <w:rFonts w:hint="eastAsia" w:ascii="宋体" w:hAnsi="宋体"/>
                <w:sz w:val="18"/>
                <w:szCs w:val="18"/>
                <w:highlight w:val="none"/>
              </w:rPr>
            </w:pPr>
            <w:r>
              <w:rPr>
                <w:rFonts w:hint="eastAsia" w:ascii="宋体" w:hAnsi="宋体"/>
                <w:sz w:val="18"/>
                <w:szCs w:val="18"/>
                <w:highlight w:val="none"/>
              </w:rPr>
              <w:t>a）除无法悬挂或者固定外，应将使用登记证悬挂在锅炉房内，并在锅炉的明显部位喷涂使用登记证号码</w:t>
            </w:r>
            <w:r>
              <w:rPr>
                <w:rFonts w:hint="eastAsia" w:ascii="宋体" w:hAnsi="宋体"/>
                <w:sz w:val="18"/>
                <w:szCs w:val="18"/>
                <w:highlight w:val="none"/>
                <w:lang w:eastAsia="zh-CN"/>
              </w:rPr>
              <w:t>；</w:t>
            </w:r>
          </w:p>
          <w:p w14:paraId="4BF2E4A0">
            <w:pPr>
              <w:adjustRightInd w:val="0"/>
              <w:snapToGrid w:val="0"/>
              <w:rPr>
                <w:rFonts w:hint="default" w:ascii="宋体" w:hAnsi="宋体"/>
                <w:sz w:val="18"/>
                <w:szCs w:val="18"/>
                <w:lang w:val="en-US"/>
              </w:rPr>
            </w:pPr>
            <w:r>
              <w:rPr>
                <w:rFonts w:hint="eastAsia" w:ascii="宋体" w:hAnsi="宋体"/>
                <w:sz w:val="18"/>
                <w:szCs w:val="18"/>
                <w:highlight w:val="none"/>
                <w:lang w:val="en-US" w:eastAsia="zh-CN"/>
              </w:rPr>
              <w:t>b</w:t>
            </w:r>
            <w:r>
              <w:rPr>
                <w:rFonts w:hint="eastAsia" w:ascii="宋体" w:hAnsi="宋体"/>
                <w:sz w:val="18"/>
                <w:szCs w:val="18"/>
                <w:highlight w:val="none"/>
              </w:rPr>
              <w:t>）安全阀外观完好，每年至少校验1次，经校验后</w:t>
            </w:r>
            <w:r>
              <w:rPr>
                <w:rFonts w:hint="eastAsia" w:ascii="宋体" w:hAnsi="宋体"/>
                <w:sz w:val="18"/>
                <w:szCs w:val="18"/>
              </w:rPr>
              <w:t>，应加锁或者铅封</w:t>
            </w:r>
            <w:r>
              <w:rPr>
                <w:rFonts w:hint="eastAsia" w:ascii="宋体" w:hAnsi="宋体"/>
                <w:sz w:val="18"/>
                <w:szCs w:val="18"/>
                <w:lang w:eastAsia="zh-CN"/>
              </w:rPr>
              <w:t>；</w:t>
            </w:r>
          </w:p>
          <w:p w14:paraId="0E979A14">
            <w:pPr>
              <w:adjustRightInd w:val="0"/>
              <w:snapToGrid w:val="0"/>
              <w:rPr>
                <w:rFonts w:hint="eastAsia" w:ascii="宋体" w:hAnsi="宋体"/>
                <w:sz w:val="18"/>
                <w:szCs w:val="18"/>
                <w:lang w:eastAsia="zh-CN"/>
              </w:rPr>
            </w:pPr>
            <w:r>
              <w:rPr>
                <w:rFonts w:hint="eastAsia" w:ascii="宋体" w:hAnsi="宋体"/>
                <w:sz w:val="18"/>
                <w:szCs w:val="18"/>
                <w:lang w:val="en-US" w:eastAsia="zh-CN"/>
              </w:rPr>
              <w:t>c</w:t>
            </w:r>
            <w:r>
              <w:rPr>
                <w:rFonts w:hint="eastAsia" w:ascii="宋体" w:hAnsi="宋体"/>
                <w:sz w:val="18"/>
                <w:szCs w:val="18"/>
              </w:rPr>
              <w:t>）压力表应定期进行校验，刻度盘上应划出指示工作压力的红线，并且注明下次校验目期。压力表校验后应加铅封</w:t>
            </w:r>
            <w:r>
              <w:rPr>
                <w:rFonts w:hint="eastAsia" w:ascii="宋体" w:hAnsi="宋体"/>
                <w:sz w:val="18"/>
                <w:szCs w:val="18"/>
                <w:lang w:eastAsia="zh-CN"/>
              </w:rPr>
              <w:t>；</w:t>
            </w:r>
          </w:p>
          <w:p w14:paraId="44A142B4">
            <w:pPr>
              <w:adjustRightInd w:val="0"/>
              <w:snapToGrid w:val="0"/>
              <w:rPr>
                <w:rFonts w:ascii="宋体" w:hAnsi="宋体"/>
                <w:sz w:val="18"/>
                <w:szCs w:val="18"/>
              </w:rPr>
            </w:pPr>
            <w:r>
              <w:rPr>
                <w:rFonts w:hint="eastAsia" w:ascii="宋体" w:hAnsi="宋体"/>
                <w:sz w:val="18"/>
                <w:szCs w:val="18"/>
                <w:lang w:val="en-US" w:eastAsia="zh-CN"/>
              </w:rPr>
              <w:t>d</w:t>
            </w:r>
            <w:r>
              <w:rPr>
                <w:rFonts w:hint="eastAsia" w:ascii="宋体" w:hAnsi="宋体"/>
                <w:sz w:val="18"/>
                <w:szCs w:val="18"/>
              </w:rPr>
              <w:t>）水位表应符合下列要求：</w:t>
            </w:r>
          </w:p>
          <w:p w14:paraId="76207654">
            <w:pPr>
              <w:adjustRightInd w:val="0"/>
              <w:snapToGrid w:val="0"/>
              <w:ind w:firstLine="360" w:firstLineChars="200"/>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）水位表应有指示最高、最低安全水位和正常水位的明显标志；</w:t>
            </w:r>
          </w:p>
          <w:p w14:paraId="5B35EF59">
            <w:pPr>
              <w:adjustRightInd w:val="0"/>
              <w:snapToGrid w:val="0"/>
              <w:ind w:firstLine="360" w:firstLineChars="200"/>
              <w:rPr>
                <w:rFonts w:ascii="宋体" w:hAnsi="宋体"/>
                <w:sz w:val="18"/>
                <w:szCs w:val="18"/>
              </w:rPr>
            </w:pPr>
            <w:r>
              <w:rPr>
                <w:rFonts w:hint="eastAsia" w:ascii="宋体" w:hAnsi="宋体"/>
                <w:sz w:val="18"/>
                <w:szCs w:val="18"/>
                <w:lang w:val="en-US" w:eastAsia="zh-CN"/>
              </w:rPr>
              <w:t>2</w:t>
            </w:r>
            <w:r>
              <w:rPr>
                <w:rFonts w:hint="eastAsia" w:ascii="宋体" w:hAnsi="宋体"/>
                <w:sz w:val="18"/>
                <w:szCs w:val="18"/>
              </w:rPr>
              <w:t>）玻璃管式水位表应有防护装置，并且不应妨碍观察真实水位；</w:t>
            </w:r>
          </w:p>
          <w:p w14:paraId="240AD98D">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）水位表应有放水阀门和接到安全地点的放水管；</w:t>
            </w:r>
          </w:p>
          <w:p w14:paraId="23E49A44">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）水位表应安装在便于观察的地方，水位表距离操作地面高于6000 mm时，应加装远程水位测量装置或者水位视频监视系统。</w:t>
            </w:r>
          </w:p>
          <w:p w14:paraId="5F340195">
            <w:pPr>
              <w:adjustRightInd w:val="0"/>
              <w:snapToGrid w:val="0"/>
              <w:jc w:val="left"/>
              <w:rPr>
                <w:rFonts w:hint="default" w:ascii="宋体" w:hAnsi="宋体"/>
                <w:sz w:val="18"/>
                <w:szCs w:val="18"/>
                <w:lang w:val="en-US"/>
              </w:rPr>
            </w:pPr>
            <w:r>
              <w:rPr>
                <w:rFonts w:hint="eastAsia" w:ascii="宋体" w:hAnsi="宋体"/>
                <w:sz w:val="18"/>
                <w:szCs w:val="18"/>
                <w:lang w:val="en-US" w:eastAsia="zh-CN"/>
              </w:rPr>
              <w:t>e</w:t>
            </w:r>
            <w:r>
              <w:rPr>
                <w:rFonts w:hint="eastAsia" w:ascii="宋体" w:hAnsi="宋体"/>
                <w:sz w:val="18"/>
                <w:szCs w:val="18"/>
              </w:rPr>
              <w:t>）锅炉的安全保护装置基本要求：</w:t>
            </w:r>
          </w:p>
          <w:p w14:paraId="29DE5517">
            <w:pPr>
              <w:adjustRightInd/>
              <w:snapToGrid w:val="0"/>
              <w:ind w:firstLine="360" w:firstLineChars="200"/>
              <w:jc w:val="left"/>
              <w:rPr>
                <w:rFonts w:hint="eastAsia" w:ascii="宋体" w:hAnsi="宋体" w:eastAsia="宋体"/>
                <w:sz w:val="18"/>
                <w:szCs w:val="18"/>
                <w:lang w:eastAsia="zh-CN"/>
              </w:rPr>
            </w:pPr>
            <w:r>
              <w:rPr>
                <w:rFonts w:hint="eastAsia" w:ascii="宋体" w:hAnsi="宋体"/>
                <w:sz w:val="18"/>
                <w:szCs w:val="18"/>
                <w:lang w:val="en-US" w:eastAsia="zh-CN"/>
              </w:rPr>
              <w:t>1</w:t>
            </w:r>
            <w:r>
              <w:rPr>
                <w:rFonts w:hint="eastAsia" w:ascii="宋体" w:hAnsi="宋体"/>
                <w:sz w:val="18"/>
                <w:szCs w:val="18"/>
              </w:rPr>
              <w:t>）蒸汽锅炉应装设高、低水位报警和低水位联锁保护装置</w:t>
            </w:r>
            <w:r>
              <w:rPr>
                <w:rFonts w:hint="eastAsia" w:ascii="宋体" w:hAnsi="宋体"/>
                <w:sz w:val="18"/>
                <w:szCs w:val="18"/>
                <w:lang w:eastAsia="zh-CN"/>
              </w:rPr>
              <w:t>；</w:t>
            </w:r>
          </w:p>
          <w:p w14:paraId="4D0F5741">
            <w:pPr>
              <w:adjustRightInd/>
              <w:snapToGrid w:val="0"/>
              <w:ind w:firstLine="360" w:firstLineChars="200"/>
              <w:jc w:val="left"/>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）额定蒸发量大于或者等于2t</w:t>
            </w:r>
            <w:r>
              <w:rPr>
                <w:rFonts w:hint="eastAsia" w:ascii="宋体" w:hAnsi="宋体"/>
                <w:sz w:val="18"/>
                <w:szCs w:val="18"/>
                <w:lang w:val="en-US" w:eastAsia="zh-CN"/>
              </w:rPr>
              <w:t>/h</w:t>
            </w:r>
            <w:r>
              <w:rPr>
                <w:rFonts w:hint="eastAsia" w:ascii="宋体" w:hAnsi="宋体"/>
                <w:sz w:val="18"/>
                <w:szCs w:val="18"/>
              </w:rPr>
              <w:t>的锅炉，应装设蒸汽超压报警和联锁保护装置</w:t>
            </w:r>
            <w:r>
              <w:rPr>
                <w:rFonts w:hint="eastAsia" w:ascii="宋体" w:hAnsi="宋体"/>
                <w:sz w:val="18"/>
                <w:szCs w:val="18"/>
                <w:lang w:eastAsia="zh-CN"/>
              </w:rPr>
              <w:t>；</w:t>
            </w:r>
          </w:p>
        </w:tc>
        <w:tc>
          <w:tcPr>
            <w:tcW w:w="649" w:type="dxa"/>
            <w:noWrap w:val="0"/>
            <w:vAlign w:val="center"/>
          </w:tcPr>
          <w:p w14:paraId="11534A1B">
            <w:pPr>
              <w:adjustRightInd w:val="0"/>
              <w:snapToGrid w:val="0"/>
              <w:jc w:val="center"/>
              <w:rPr>
                <w:rFonts w:ascii="宋体" w:hAnsi="宋体"/>
                <w:sz w:val="18"/>
                <w:szCs w:val="18"/>
              </w:rPr>
            </w:pPr>
          </w:p>
        </w:tc>
        <w:tc>
          <w:tcPr>
            <w:tcW w:w="669" w:type="dxa"/>
            <w:noWrap w:val="0"/>
            <w:vAlign w:val="center"/>
          </w:tcPr>
          <w:p w14:paraId="29C00FCB">
            <w:pPr>
              <w:adjustRightInd w:val="0"/>
              <w:snapToGrid w:val="0"/>
              <w:jc w:val="center"/>
              <w:rPr>
                <w:rFonts w:ascii="宋体" w:hAnsi="宋体"/>
                <w:sz w:val="18"/>
                <w:szCs w:val="18"/>
              </w:rPr>
            </w:pPr>
          </w:p>
        </w:tc>
        <w:tc>
          <w:tcPr>
            <w:tcW w:w="666" w:type="dxa"/>
            <w:noWrap w:val="0"/>
            <w:vAlign w:val="center"/>
          </w:tcPr>
          <w:p w14:paraId="0F61DAD1">
            <w:pPr>
              <w:adjustRightInd w:val="0"/>
              <w:snapToGrid w:val="0"/>
              <w:jc w:val="center"/>
              <w:rPr>
                <w:rFonts w:hint="default" w:ascii="宋体" w:hAnsi="宋体" w:eastAsia="宋体"/>
                <w:sz w:val="18"/>
                <w:szCs w:val="18"/>
                <w:lang w:val="en-US" w:eastAsia="zh-CN"/>
              </w:rPr>
            </w:pPr>
            <w:r>
              <w:rPr>
                <w:rFonts w:hint="eastAsia" w:ascii="宋体" w:hAnsi="宋体"/>
                <w:sz w:val="18"/>
                <w:szCs w:val="18"/>
                <w:lang w:val="en-US" w:eastAsia="zh-CN"/>
              </w:rPr>
              <w:t>10</w:t>
            </w:r>
          </w:p>
        </w:tc>
        <w:tc>
          <w:tcPr>
            <w:tcW w:w="3006" w:type="dxa"/>
            <w:noWrap w:val="0"/>
            <w:vAlign w:val="center"/>
          </w:tcPr>
          <w:p w14:paraId="3E685E7E">
            <w:pPr>
              <w:adjustRightInd w:val="0"/>
              <w:snapToGrid w:val="0"/>
              <w:rPr>
                <w:rFonts w:ascii="宋体" w:hAnsi="宋体"/>
                <w:sz w:val="18"/>
                <w:szCs w:val="18"/>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r>
              <w:rPr>
                <w:rFonts w:ascii="宋体" w:hAnsi="宋体"/>
                <w:sz w:val="18"/>
                <w:szCs w:val="18"/>
              </w:rPr>
              <w:t xml:space="preserve"> </w:t>
            </w:r>
          </w:p>
        </w:tc>
        <w:tc>
          <w:tcPr>
            <w:tcW w:w="679" w:type="dxa"/>
            <w:noWrap w:val="0"/>
            <w:vAlign w:val="top"/>
          </w:tcPr>
          <w:p w14:paraId="7002B5DD">
            <w:pPr>
              <w:adjustRightInd w:val="0"/>
              <w:snapToGrid w:val="0"/>
              <w:rPr>
                <w:rFonts w:ascii="宋体" w:hAnsi="宋体"/>
                <w:sz w:val="18"/>
                <w:szCs w:val="18"/>
              </w:rPr>
            </w:pPr>
          </w:p>
        </w:tc>
        <w:tc>
          <w:tcPr>
            <w:tcW w:w="1557" w:type="dxa"/>
            <w:noWrap w:val="0"/>
            <w:vAlign w:val="top"/>
          </w:tcPr>
          <w:p w14:paraId="5AB9881F">
            <w:pPr>
              <w:adjustRightInd w:val="0"/>
              <w:snapToGrid w:val="0"/>
              <w:rPr>
                <w:rFonts w:ascii="宋体" w:hAnsi="宋体"/>
                <w:sz w:val="18"/>
                <w:szCs w:val="18"/>
              </w:rPr>
            </w:pPr>
          </w:p>
        </w:tc>
        <w:tc>
          <w:tcPr>
            <w:tcW w:w="1354" w:type="dxa"/>
            <w:noWrap w:val="0"/>
            <w:vAlign w:val="center"/>
          </w:tcPr>
          <w:p w14:paraId="6B3A80F2">
            <w:pPr>
              <w:adjustRightInd w:val="0"/>
              <w:snapToGrid w:val="0"/>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bl>
    <w:p w14:paraId="033A8D50">
      <w:pPr>
        <w:pStyle w:val="168"/>
        <w:widowControl/>
        <w:numPr>
          <w:ilvl w:val="0"/>
          <w:numId w:val="0"/>
        </w:numPr>
        <w:spacing w:before="156" w:after="156"/>
        <w:ind w:left="567" w:hanging="567"/>
      </w:pPr>
      <w:r>
        <w:br w:type="page"/>
      </w: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5814"/>
        <w:gridCol w:w="720"/>
        <w:gridCol w:w="663"/>
        <w:gridCol w:w="743"/>
        <w:gridCol w:w="2969"/>
        <w:gridCol w:w="715"/>
        <w:gridCol w:w="1416"/>
        <w:gridCol w:w="1354"/>
      </w:tblGrid>
      <w:tr w14:paraId="011D72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0CFC7DD1">
            <w:pPr>
              <w:adjustRightInd w:val="0"/>
              <w:snapToGrid w:val="0"/>
              <w:jc w:val="center"/>
              <w:rPr>
                <w:rFonts w:ascii="宋体" w:hAnsi="宋体"/>
                <w:sz w:val="18"/>
                <w:szCs w:val="18"/>
              </w:rPr>
            </w:pPr>
            <w:r>
              <w:rPr>
                <w:rFonts w:ascii="宋体" w:hAnsi="宋体"/>
                <w:sz w:val="18"/>
                <w:szCs w:val="18"/>
              </w:rPr>
              <w:t>序号</w:t>
            </w:r>
          </w:p>
        </w:tc>
        <w:tc>
          <w:tcPr>
            <w:tcW w:w="5814" w:type="dxa"/>
            <w:noWrap w:val="0"/>
            <w:vAlign w:val="center"/>
          </w:tcPr>
          <w:p w14:paraId="1EA25CF0">
            <w:pPr>
              <w:adjustRightInd w:val="0"/>
              <w:snapToGrid w:val="0"/>
              <w:jc w:val="center"/>
              <w:rPr>
                <w:rFonts w:ascii="宋体" w:hAnsi="宋体"/>
                <w:sz w:val="18"/>
                <w:szCs w:val="18"/>
              </w:rPr>
            </w:pPr>
            <w:r>
              <w:rPr>
                <w:rFonts w:hint="eastAsia" w:ascii="宋体" w:hAnsi="宋体"/>
                <w:sz w:val="18"/>
                <w:szCs w:val="18"/>
              </w:rPr>
              <w:t>评定内容</w:t>
            </w:r>
          </w:p>
        </w:tc>
        <w:tc>
          <w:tcPr>
            <w:tcW w:w="720" w:type="dxa"/>
            <w:noWrap w:val="0"/>
            <w:vAlign w:val="center"/>
          </w:tcPr>
          <w:p w14:paraId="3594190C">
            <w:pPr>
              <w:adjustRightInd w:val="0"/>
              <w:snapToGrid w:val="0"/>
              <w:jc w:val="center"/>
              <w:rPr>
                <w:rFonts w:ascii="宋体" w:hAnsi="宋体"/>
                <w:sz w:val="18"/>
                <w:szCs w:val="18"/>
              </w:rPr>
            </w:pPr>
            <w:r>
              <w:rPr>
                <w:rFonts w:hint="eastAsia" w:ascii="宋体" w:hAnsi="宋体"/>
                <w:sz w:val="18"/>
                <w:szCs w:val="18"/>
              </w:rPr>
              <w:t>评定要素分值</w:t>
            </w:r>
          </w:p>
        </w:tc>
        <w:tc>
          <w:tcPr>
            <w:tcW w:w="663" w:type="dxa"/>
            <w:noWrap w:val="0"/>
            <w:vAlign w:val="center"/>
          </w:tcPr>
          <w:p w14:paraId="3CB91755">
            <w:pPr>
              <w:adjustRightInd w:val="0"/>
              <w:snapToGrid w:val="0"/>
              <w:jc w:val="center"/>
              <w:rPr>
                <w:rFonts w:ascii="宋体" w:hAnsi="宋体"/>
                <w:sz w:val="18"/>
                <w:szCs w:val="18"/>
              </w:rPr>
            </w:pPr>
            <w:r>
              <w:rPr>
                <w:rFonts w:hint="eastAsia" w:ascii="宋体" w:hAnsi="宋体"/>
                <w:sz w:val="18"/>
                <w:szCs w:val="18"/>
              </w:rPr>
              <w:t>评定细项分值</w:t>
            </w:r>
          </w:p>
        </w:tc>
        <w:tc>
          <w:tcPr>
            <w:tcW w:w="743" w:type="dxa"/>
            <w:noWrap w:val="0"/>
            <w:vAlign w:val="center"/>
          </w:tcPr>
          <w:p w14:paraId="428FCB77">
            <w:pPr>
              <w:adjustRightInd w:val="0"/>
              <w:snapToGrid w:val="0"/>
              <w:jc w:val="center"/>
              <w:rPr>
                <w:rFonts w:ascii="宋体" w:hAnsi="宋体"/>
                <w:sz w:val="18"/>
                <w:szCs w:val="18"/>
              </w:rPr>
            </w:pPr>
            <w:r>
              <w:rPr>
                <w:rFonts w:hint="eastAsia" w:ascii="宋体" w:hAnsi="宋体"/>
                <w:sz w:val="18"/>
                <w:szCs w:val="18"/>
              </w:rPr>
              <w:t>评定条款分值</w:t>
            </w:r>
          </w:p>
        </w:tc>
        <w:tc>
          <w:tcPr>
            <w:tcW w:w="2969" w:type="dxa"/>
            <w:noWrap w:val="0"/>
            <w:vAlign w:val="center"/>
          </w:tcPr>
          <w:p w14:paraId="3A80D443">
            <w:pPr>
              <w:adjustRightInd w:val="0"/>
              <w:snapToGrid w:val="0"/>
              <w:jc w:val="center"/>
              <w:rPr>
                <w:rFonts w:ascii="宋体" w:hAnsi="宋体"/>
                <w:sz w:val="18"/>
                <w:szCs w:val="18"/>
              </w:rPr>
            </w:pPr>
            <w:r>
              <w:rPr>
                <w:rFonts w:hint="eastAsia" w:ascii="宋体" w:hAnsi="宋体"/>
                <w:sz w:val="18"/>
                <w:szCs w:val="18"/>
              </w:rPr>
              <w:t>评分标准</w:t>
            </w:r>
          </w:p>
        </w:tc>
        <w:tc>
          <w:tcPr>
            <w:tcW w:w="715" w:type="dxa"/>
            <w:noWrap w:val="0"/>
            <w:vAlign w:val="center"/>
          </w:tcPr>
          <w:p w14:paraId="44AAFE76">
            <w:pPr>
              <w:adjustRightInd w:val="0"/>
              <w:snapToGrid w:val="0"/>
              <w:jc w:val="center"/>
              <w:rPr>
                <w:rFonts w:ascii="宋体" w:hAnsi="宋体"/>
                <w:sz w:val="18"/>
                <w:szCs w:val="18"/>
              </w:rPr>
            </w:pPr>
            <w:r>
              <w:rPr>
                <w:rFonts w:hint="eastAsia" w:ascii="宋体" w:hAnsi="宋体"/>
                <w:sz w:val="18"/>
                <w:szCs w:val="18"/>
              </w:rPr>
              <w:t>评定得分</w:t>
            </w:r>
          </w:p>
        </w:tc>
        <w:tc>
          <w:tcPr>
            <w:tcW w:w="1416" w:type="dxa"/>
            <w:noWrap w:val="0"/>
            <w:vAlign w:val="center"/>
          </w:tcPr>
          <w:p w14:paraId="0554E9A1">
            <w:pPr>
              <w:adjustRightInd w:val="0"/>
              <w:snapToGrid w:val="0"/>
              <w:jc w:val="center"/>
              <w:rPr>
                <w:rFonts w:ascii="宋体" w:hAnsi="宋体"/>
                <w:sz w:val="18"/>
                <w:szCs w:val="18"/>
              </w:rPr>
            </w:pPr>
            <w:r>
              <w:rPr>
                <w:rFonts w:hint="eastAsia" w:ascii="宋体" w:hAnsi="宋体"/>
                <w:sz w:val="18"/>
                <w:szCs w:val="18"/>
              </w:rPr>
              <w:t>扣分说明</w:t>
            </w:r>
          </w:p>
        </w:tc>
        <w:tc>
          <w:tcPr>
            <w:tcW w:w="1354" w:type="dxa"/>
            <w:noWrap w:val="0"/>
            <w:vAlign w:val="center"/>
          </w:tcPr>
          <w:p w14:paraId="6230C349">
            <w:pPr>
              <w:adjustRightInd w:val="0"/>
              <w:snapToGrid w:val="0"/>
              <w:jc w:val="center"/>
              <w:rPr>
                <w:rFonts w:ascii="宋体" w:hAnsi="宋体"/>
                <w:sz w:val="18"/>
                <w:szCs w:val="18"/>
              </w:rPr>
            </w:pPr>
            <w:r>
              <w:rPr>
                <w:rFonts w:hint="eastAsia" w:ascii="宋体" w:hAnsi="宋体"/>
                <w:sz w:val="18"/>
                <w:szCs w:val="18"/>
              </w:rPr>
              <w:t>对应条款编号</w:t>
            </w:r>
          </w:p>
        </w:tc>
      </w:tr>
      <w:tr w14:paraId="3DF65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3DE65BE6">
            <w:pPr>
              <w:adjustRightInd w:val="0"/>
              <w:snapToGrid w:val="0"/>
              <w:jc w:val="center"/>
              <w:rPr>
                <w:rFonts w:ascii="宋体" w:hAnsi="宋体"/>
                <w:sz w:val="18"/>
                <w:szCs w:val="18"/>
              </w:rPr>
            </w:pPr>
          </w:p>
        </w:tc>
        <w:tc>
          <w:tcPr>
            <w:tcW w:w="5814" w:type="dxa"/>
            <w:noWrap w:val="0"/>
            <w:vAlign w:val="center"/>
          </w:tcPr>
          <w:p w14:paraId="0C9FE7EB">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）安置在多层或者高层建筑物内的锅炉，蒸汽锅炉应配备超压联锁保护装置，热水锅炉应配备超温联锁保护装置。</w:t>
            </w:r>
          </w:p>
        </w:tc>
        <w:tc>
          <w:tcPr>
            <w:tcW w:w="720" w:type="dxa"/>
            <w:noWrap w:val="0"/>
            <w:vAlign w:val="center"/>
          </w:tcPr>
          <w:p w14:paraId="1707675F">
            <w:pPr>
              <w:adjustRightInd w:val="0"/>
              <w:snapToGrid w:val="0"/>
              <w:jc w:val="center"/>
              <w:rPr>
                <w:rFonts w:hint="eastAsia" w:ascii="宋体" w:hAnsi="宋体"/>
                <w:sz w:val="18"/>
                <w:szCs w:val="18"/>
              </w:rPr>
            </w:pPr>
          </w:p>
        </w:tc>
        <w:tc>
          <w:tcPr>
            <w:tcW w:w="663" w:type="dxa"/>
            <w:noWrap w:val="0"/>
            <w:vAlign w:val="center"/>
          </w:tcPr>
          <w:p w14:paraId="5039FE4A">
            <w:pPr>
              <w:adjustRightInd w:val="0"/>
              <w:snapToGrid w:val="0"/>
              <w:jc w:val="center"/>
              <w:rPr>
                <w:rFonts w:hint="eastAsia" w:ascii="宋体" w:hAnsi="宋体"/>
                <w:sz w:val="18"/>
                <w:szCs w:val="18"/>
              </w:rPr>
            </w:pPr>
          </w:p>
        </w:tc>
        <w:tc>
          <w:tcPr>
            <w:tcW w:w="743" w:type="dxa"/>
            <w:noWrap w:val="0"/>
            <w:vAlign w:val="center"/>
          </w:tcPr>
          <w:p w14:paraId="071A6E2F">
            <w:pPr>
              <w:adjustRightInd w:val="0"/>
              <w:snapToGrid w:val="0"/>
              <w:jc w:val="center"/>
              <w:rPr>
                <w:rFonts w:hint="eastAsia" w:ascii="宋体" w:hAnsi="宋体"/>
                <w:sz w:val="18"/>
                <w:szCs w:val="18"/>
              </w:rPr>
            </w:pPr>
          </w:p>
        </w:tc>
        <w:tc>
          <w:tcPr>
            <w:tcW w:w="2969" w:type="dxa"/>
            <w:noWrap w:val="0"/>
            <w:vAlign w:val="center"/>
          </w:tcPr>
          <w:p w14:paraId="3B0E098B">
            <w:pPr>
              <w:adjustRightInd w:val="0"/>
              <w:snapToGrid w:val="0"/>
              <w:rPr>
                <w:rFonts w:hint="eastAsia" w:ascii="宋体" w:hAnsi="宋体"/>
                <w:sz w:val="18"/>
                <w:szCs w:val="18"/>
              </w:rPr>
            </w:pPr>
          </w:p>
        </w:tc>
        <w:tc>
          <w:tcPr>
            <w:tcW w:w="715" w:type="dxa"/>
            <w:noWrap w:val="0"/>
            <w:vAlign w:val="center"/>
          </w:tcPr>
          <w:p w14:paraId="773DCC06">
            <w:pPr>
              <w:adjustRightInd w:val="0"/>
              <w:snapToGrid w:val="0"/>
              <w:jc w:val="center"/>
              <w:rPr>
                <w:rFonts w:hint="eastAsia" w:ascii="宋体" w:hAnsi="宋体"/>
                <w:sz w:val="18"/>
                <w:szCs w:val="18"/>
              </w:rPr>
            </w:pPr>
          </w:p>
        </w:tc>
        <w:tc>
          <w:tcPr>
            <w:tcW w:w="1416" w:type="dxa"/>
            <w:noWrap w:val="0"/>
            <w:vAlign w:val="center"/>
          </w:tcPr>
          <w:p w14:paraId="3C203792">
            <w:pPr>
              <w:adjustRightInd w:val="0"/>
              <w:snapToGrid w:val="0"/>
              <w:jc w:val="center"/>
              <w:rPr>
                <w:rFonts w:hint="eastAsia" w:ascii="宋体" w:hAnsi="宋体"/>
                <w:sz w:val="18"/>
                <w:szCs w:val="18"/>
              </w:rPr>
            </w:pPr>
          </w:p>
        </w:tc>
        <w:tc>
          <w:tcPr>
            <w:tcW w:w="1354" w:type="dxa"/>
            <w:noWrap w:val="0"/>
            <w:vAlign w:val="center"/>
          </w:tcPr>
          <w:p w14:paraId="69118D83">
            <w:pPr>
              <w:adjustRightInd w:val="0"/>
              <w:snapToGrid w:val="0"/>
              <w:jc w:val="center"/>
              <w:rPr>
                <w:rFonts w:hint="eastAsia" w:ascii="宋体" w:hAnsi="宋体"/>
                <w:sz w:val="18"/>
                <w:szCs w:val="18"/>
              </w:rPr>
            </w:pPr>
          </w:p>
        </w:tc>
      </w:tr>
      <w:tr w14:paraId="7F7E61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4B7BEC74">
            <w:pPr>
              <w:adjustRightInd w:val="0"/>
              <w:snapToGrid w:val="0"/>
              <w:jc w:val="center"/>
              <w:rPr>
                <w:rFonts w:ascii="宋体" w:hAnsi="宋体"/>
                <w:sz w:val="18"/>
                <w:szCs w:val="18"/>
              </w:rPr>
            </w:pPr>
            <w:r>
              <w:rPr>
                <w:rFonts w:hint="eastAsia" w:ascii="宋体" w:hAnsi="宋体"/>
                <w:sz w:val="18"/>
                <w:szCs w:val="18"/>
              </w:rPr>
              <w:t>4.3</w:t>
            </w:r>
          </w:p>
        </w:tc>
        <w:tc>
          <w:tcPr>
            <w:tcW w:w="5814" w:type="dxa"/>
            <w:noWrap w:val="0"/>
            <w:vAlign w:val="top"/>
          </w:tcPr>
          <w:p w14:paraId="3E96213B">
            <w:pPr>
              <w:ind w:right="33" w:rightChars="16"/>
              <w:jc w:val="left"/>
              <w:rPr>
                <w:rFonts w:ascii="宋体" w:hAnsi="宋体" w:cs="宋体"/>
                <w:sz w:val="18"/>
                <w:szCs w:val="18"/>
              </w:rPr>
            </w:pPr>
            <w:r>
              <w:rPr>
                <w:rFonts w:hint="eastAsia" w:ascii="宋体" w:hAnsi="宋体"/>
                <w:sz w:val="18"/>
                <w:szCs w:val="18"/>
              </w:rPr>
              <w:t>压力容器</w:t>
            </w:r>
          </w:p>
        </w:tc>
        <w:tc>
          <w:tcPr>
            <w:tcW w:w="720" w:type="dxa"/>
            <w:noWrap w:val="0"/>
            <w:vAlign w:val="center"/>
          </w:tcPr>
          <w:p w14:paraId="48D04202">
            <w:pPr>
              <w:adjustRightInd w:val="0"/>
              <w:snapToGrid w:val="0"/>
              <w:rPr>
                <w:rFonts w:ascii="宋体" w:hAnsi="宋体"/>
                <w:sz w:val="18"/>
                <w:szCs w:val="18"/>
              </w:rPr>
            </w:pPr>
          </w:p>
        </w:tc>
        <w:tc>
          <w:tcPr>
            <w:tcW w:w="663" w:type="dxa"/>
            <w:noWrap w:val="0"/>
            <w:vAlign w:val="center"/>
          </w:tcPr>
          <w:p w14:paraId="0328B738">
            <w:pPr>
              <w:adjustRightInd w:val="0"/>
              <w:snapToGrid w:val="0"/>
              <w:jc w:val="center"/>
              <w:rPr>
                <w:rFonts w:ascii="宋体" w:hAnsi="宋体"/>
                <w:sz w:val="18"/>
                <w:szCs w:val="18"/>
              </w:rPr>
            </w:pPr>
            <w:r>
              <w:rPr>
                <w:rFonts w:hint="eastAsia" w:ascii="宋体" w:hAnsi="宋体"/>
                <w:sz w:val="18"/>
                <w:szCs w:val="18"/>
              </w:rPr>
              <w:t>15</w:t>
            </w:r>
          </w:p>
        </w:tc>
        <w:tc>
          <w:tcPr>
            <w:tcW w:w="743" w:type="dxa"/>
            <w:noWrap w:val="0"/>
            <w:vAlign w:val="center"/>
          </w:tcPr>
          <w:p w14:paraId="598BEB39">
            <w:pPr>
              <w:adjustRightInd w:val="0"/>
              <w:snapToGrid w:val="0"/>
              <w:jc w:val="center"/>
              <w:rPr>
                <w:rFonts w:ascii="宋体" w:hAnsi="宋体"/>
                <w:sz w:val="18"/>
                <w:szCs w:val="18"/>
              </w:rPr>
            </w:pPr>
          </w:p>
        </w:tc>
        <w:tc>
          <w:tcPr>
            <w:tcW w:w="2969" w:type="dxa"/>
            <w:noWrap w:val="0"/>
            <w:vAlign w:val="center"/>
          </w:tcPr>
          <w:p w14:paraId="541EB00E">
            <w:pPr>
              <w:adjustRightInd w:val="0"/>
              <w:snapToGrid w:val="0"/>
              <w:rPr>
                <w:rFonts w:ascii="宋体" w:hAnsi="宋体"/>
                <w:sz w:val="18"/>
                <w:szCs w:val="18"/>
              </w:rPr>
            </w:pPr>
          </w:p>
        </w:tc>
        <w:tc>
          <w:tcPr>
            <w:tcW w:w="715" w:type="dxa"/>
            <w:noWrap w:val="0"/>
            <w:vAlign w:val="top"/>
          </w:tcPr>
          <w:p w14:paraId="6EC85B38">
            <w:pPr>
              <w:adjustRightInd w:val="0"/>
              <w:snapToGrid w:val="0"/>
              <w:rPr>
                <w:rFonts w:ascii="宋体" w:hAnsi="宋体"/>
                <w:sz w:val="18"/>
                <w:szCs w:val="18"/>
              </w:rPr>
            </w:pPr>
          </w:p>
        </w:tc>
        <w:tc>
          <w:tcPr>
            <w:tcW w:w="1416" w:type="dxa"/>
            <w:noWrap w:val="0"/>
            <w:vAlign w:val="top"/>
          </w:tcPr>
          <w:p w14:paraId="07917B7C">
            <w:pPr>
              <w:adjustRightInd w:val="0"/>
              <w:snapToGrid w:val="0"/>
              <w:rPr>
                <w:rFonts w:ascii="宋体" w:hAnsi="宋体"/>
                <w:sz w:val="18"/>
                <w:szCs w:val="18"/>
              </w:rPr>
            </w:pPr>
          </w:p>
        </w:tc>
        <w:tc>
          <w:tcPr>
            <w:tcW w:w="1354" w:type="dxa"/>
            <w:noWrap w:val="0"/>
            <w:vAlign w:val="center"/>
          </w:tcPr>
          <w:p w14:paraId="57CFE33A">
            <w:pPr>
              <w:adjustRightInd w:val="0"/>
              <w:snapToGrid w:val="0"/>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r w14:paraId="7FE305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39794B8F">
            <w:pPr>
              <w:adjustRightInd w:val="0"/>
              <w:snapToGrid w:val="0"/>
              <w:jc w:val="center"/>
              <w:rPr>
                <w:rFonts w:ascii="宋体" w:hAnsi="宋体"/>
                <w:sz w:val="18"/>
                <w:szCs w:val="18"/>
              </w:rPr>
            </w:pPr>
            <w:r>
              <w:rPr>
                <w:rFonts w:hint="eastAsia" w:ascii="宋体" w:hAnsi="宋体"/>
                <w:sz w:val="18"/>
                <w:szCs w:val="18"/>
              </w:rPr>
              <w:t>4.3.1</w:t>
            </w:r>
          </w:p>
        </w:tc>
        <w:tc>
          <w:tcPr>
            <w:tcW w:w="5814" w:type="dxa"/>
            <w:noWrap w:val="0"/>
            <w:vAlign w:val="center"/>
          </w:tcPr>
          <w:p w14:paraId="70B45D3A">
            <w:pPr>
              <w:adjustRightInd w:val="0"/>
              <w:snapToGrid w:val="0"/>
              <w:spacing w:line="240" w:lineRule="atLeast"/>
              <w:rPr>
                <w:rFonts w:hint="eastAsia" w:ascii="宋体" w:hAnsi="宋体"/>
                <w:sz w:val="18"/>
                <w:szCs w:val="18"/>
                <w:highlight w:val="none"/>
                <w:lang w:val="en-US" w:eastAsia="zh-CN"/>
              </w:rPr>
            </w:pPr>
            <w:r>
              <w:rPr>
                <w:rFonts w:hint="eastAsia" w:ascii="宋体" w:hAnsi="宋体"/>
                <w:sz w:val="18"/>
                <w:szCs w:val="18"/>
              </w:rPr>
              <w:t>固定式压力容器</w:t>
            </w:r>
            <w:r>
              <w:rPr>
                <w:rFonts w:hint="eastAsia" w:ascii="宋体" w:hAnsi="宋体"/>
                <w:sz w:val="18"/>
                <w:szCs w:val="18"/>
                <w:highlight w:val="none"/>
                <w:lang w:val="en-US" w:eastAsia="zh-CN"/>
              </w:rPr>
              <w:t>应符合下列要求：</w:t>
            </w:r>
          </w:p>
          <w:p w14:paraId="7CFBD0FF">
            <w:pPr>
              <w:numPr>
                <w:ilvl w:val="0"/>
                <w:numId w:val="57"/>
              </w:numPr>
              <w:adjustRightInd w:val="0"/>
              <w:snapToGrid w:val="0"/>
              <w:spacing w:line="240" w:lineRule="atLeast"/>
              <w:jc w:val="left"/>
              <w:rPr>
                <w:rFonts w:hint="eastAsia" w:ascii="宋体" w:hAnsi="宋体"/>
                <w:sz w:val="18"/>
                <w:szCs w:val="18"/>
                <w:highlight w:val="none"/>
                <w:lang w:eastAsia="zh-CN"/>
              </w:rPr>
            </w:pPr>
            <w:r>
              <w:rPr>
                <w:rFonts w:hint="eastAsia" w:ascii="宋体" w:hAnsi="宋体"/>
                <w:sz w:val="18"/>
                <w:szCs w:val="18"/>
                <w:highlight w:val="none"/>
              </w:rPr>
              <w:t>除无法悬挂或者固定外，应将使用登记证悬挂或者固定在压力容器本体上，并在压力容器的明显部位喷涂使用登记证号码</w:t>
            </w:r>
            <w:r>
              <w:rPr>
                <w:rFonts w:hint="eastAsia" w:ascii="宋体" w:hAnsi="宋体"/>
                <w:sz w:val="18"/>
                <w:szCs w:val="18"/>
                <w:highlight w:val="none"/>
                <w:lang w:eastAsia="zh-CN"/>
              </w:rPr>
              <w:t>；</w:t>
            </w:r>
          </w:p>
          <w:p w14:paraId="1D99BB98">
            <w:pPr>
              <w:numPr>
                <w:ilvl w:val="0"/>
                <w:numId w:val="57"/>
              </w:numPr>
              <w:adjustRightInd w:val="0"/>
              <w:snapToGrid w:val="0"/>
              <w:spacing w:line="240" w:lineRule="atLeast"/>
              <w:jc w:val="left"/>
              <w:rPr>
                <w:rFonts w:hint="default" w:ascii="宋体" w:hAnsi="宋体" w:eastAsia="宋体"/>
                <w:sz w:val="18"/>
                <w:szCs w:val="18"/>
                <w:highlight w:val="none"/>
                <w:lang w:val="en-US" w:eastAsia="zh-CN"/>
              </w:rPr>
            </w:pPr>
            <w:r>
              <w:rPr>
                <w:rFonts w:hint="eastAsia" w:ascii="宋体" w:hAnsi="宋体"/>
                <w:sz w:val="18"/>
                <w:szCs w:val="18"/>
                <w:highlight w:val="none"/>
              </w:rPr>
              <w:t>压力容器的外观应符合下列要求：</w:t>
            </w:r>
          </w:p>
          <w:p w14:paraId="40CCF795">
            <w:pPr>
              <w:adjustRightInd w:val="0"/>
              <w:snapToGrid w:val="0"/>
              <w:spacing w:line="240" w:lineRule="atLeast"/>
              <w:ind w:firstLine="360" w:firstLineChars="200"/>
              <w:jc w:val="left"/>
              <w:rPr>
                <w:rFonts w:hint="eastAsia" w:ascii="宋体" w:hAnsi="宋体"/>
                <w:sz w:val="18"/>
                <w:szCs w:val="18"/>
                <w:highlight w:val="none"/>
              </w:rPr>
            </w:pPr>
            <w:r>
              <w:rPr>
                <w:rFonts w:hint="eastAsia" w:ascii="宋体" w:hAnsi="宋体"/>
                <w:sz w:val="18"/>
                <w:szCs w:val="18"/>
                <w:highlight w:val="none"/>
                <w:lang w:val="en-US" w:eastAsia="zh-CN"/>
              </w:rPr>
              <w:t>1</w:t>
            </w:r>
            <w:r>
              <w:rPr>
                <w:rFonts w:hint="eastAsia" w:ascii="宋体" w:hAnsi="宋体"/>
                <w:sz w:val="18"/>
                <w:szCs w:val="18"/>
                <w:highlight w:val="none"/>
              </w:rPr>
              <w:t>）本体</w:t>
            </w:r>
            <w:r>
              <w:rPr>
                <w:rFonts w:ascii="宋体" w:hAnsi="宋体"/>
                <w:sz w:val="18"/>
                <w:szCs w:val="18"/>
                <w:highlight w:val="none"/>
              </w:rPr>
              <w:t>应无变形</w:t>
            </w:r>
            <w:r>
              <w:rPr>
                <w:rFonts w:hint="eastAsia" w:ascii="宋体" w:hAnsi="宋体"/>
                <w:sz w:val="18"/>
                <w:szCs w:val="18"/>
                <w:highlight w:val="none"/>
              </w:rPr>
              <w:t>、无</w:t>
            </w:r>
            <w:r>
              <w:rPr>
                <w:rFonts w:ascii="宋体" w:hAnsi="宋体"/>
                <w:sz w:val="18"/>
                <w:szCs w:val="18"/>
                <w:highlight w:val="none"/>
              </w:rPr>
              <w:t>开裂；</w:t>
            </w:r>
          </w:p>
          <w:p w14:paraId="5C538199">
            <w:pPr>
              <w:adjustRightInd w:val="0"/>
              <w:snapToGrid w:val="0"/>
              <w:spacing w:line="240" w:lineRule="atLeast"/>
              <w:ind w:firstLine="360" w:firstLineChars="200"/>
              <w:jc w:val="left"/>
              <w:rPr>
                <w:rFonts w:ascii="宋体" w:hAnsi="宋体"/>
                <w:sz w:val="18"/>
                <w:szCs w:val="18"/>
                <w:highlight w:val="none"/>
              </w:rPr>
            </w:pPr>
            <w:r>
              <w:rPr>
                <w:rFonts w:hint="eastAsia" w:ascii="宋体" w:hAnsi="宋体"/>
                <w:sz w:val="18"/>
                <w:szCs w:val="18"/>
                <w:highlight w:val="none"/>
                <w:lang w:val="en-US" w:eastAsia="zh-CN"/>
              </w:rPr>
              <w:t>2</w:t>
            </w:r>
            <w:r>
              <w:rPr>
                <w:rFonts w:hint="eastAsia" w:ascii="宋体" w:hAnsi="宋体"/>
                <w:sz w:val="18"/>
                <w:szCs w:val="18"/>
                <w:highlight w:val="none"/>
              </w:rPr>
              <w:t>）外表面无腐蚀情况；</w:t>
            </w:r>
          </w:p>
          <w:p w14:paraId="22ED9A48">
            <w:pPr>
              <w:adjustRightInd w:val="0"/>
              <w:snapToGrid w:val="0"/>
              <w:spacing w:line="240" w:lineRule="atLeast"/>
              <w:ind w:firstLine="360" w:firstLineChars="200"/>
              <w:jc w:val="left"/>
              <w:rPr>
                <w:rFonts w:hint="eastAsia" w:ascii="宋体" w:hAnsi="宋体"/>
                <w:sz w:val="18"/>
                <w:szCs w:val="18"/>
              </w:rPr>
            </w:pPr>
            <w:r>
              <w:rPr>
                <w:rFonts w:hint="eastAsia" w:ascii="宋体" w:hAnsi="宋体"/>
                <w:sz w:val="18"/>
                <w:szCs w:val="18"/>
                <w:highlight w:val="none"/>
                <w:lang w:val="en-US" w:eastAsia="zh-CN"/>
              </w:rPr>
              <w:t>3</w:t>
            </w:r>
            <w:r>
              <w:rPr>
                <w:rFonts w:hint="eastAsia" w:ascii="宋体" w:hAnsi="宋体"/>
                <w:sz w:val="18"/>
                <w:szCs w:val="18"/>
                <w:highlight w:val="none"/>
              </w:rPr>
              <w:t>）主要受压元件及其焊缝无裂纹、泄漏、</w:t>
            </w:r>
            <w:r>
              <w:rPr>
                <w:rFonts w:hint="eastAsia" w:ascii="宋体" w:hAnsi="宋体"/>
                <w:sz w:val="18"/>
                <w:szCs w:val="18"/>
              </w:rPr>
              <w:t>鼓包、变形、机械接触损伤、过热现象；</w:t>
            </w:r>
          </w:p>
          <w:p w14:paraId="0DFB07E6">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4</w:t>
            </w:r>
            <w:r>
              <w:rPr>
                <w:rFonts w:hint="eastAsia" w:ascii="宋体" w:hAnsi="宋体"/>
                <w:sz w:val="18"/>
                <w:szCs w:val="18"/>
              </w:rPr>
              <w:t>）工卡具无焊迹、电弧灼伤；</w:t>
            </w:r>
          </w:p>
          <w:p w14:paraId="39A9CA6E">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5</w:t>
            </w:r>
            <w:r>
              <w:rPr>
                <w:rFonts w:hint="eastAsia" w:ascii="宋体" w:hAnsi="宋体"/>
                <w:sz w:val="18"/>
                <w:szCs w:val="18"/>
              </w:rPr>
              <w:t>）法兰、密封面及其紧固螺栓完好；</w:t>
            </w:r>
          </w:p>
          <w:p w14:paraId="2A9EF045">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6</w:t>
            </w:r>
            <w:r>
              <w:rPr>
                <w:rFonts w:hint="eastAsia" w:ascii="宋体" w:hAnsi="宋体"/>
                <w:sz w:val="18"/>
                <w:szCs w:val="18"/>
              </w:rPr>
              <w:t>）支承、支座或者基础无下沉、倾斜、开裂；</w:t>
            </w:r>
          </w:p>
          <w:p w14:paraId="30E10671">
            <w:pPr>
              <w:adjustRightInd w:val="0"/>
              <w:snapToGrid w:val="0"/>
              <w:spacing w:line="240" w:lineRule="atLeast"/>
              <w:ind w:firstLine="360" w:firstLineChars="200"/>
              <w:jc w:val="left"/>
              <w:rPr>
                <w:rFonts w:hint="eastAsia" w:ascii="宋体" w:hAnsi="宋体"/>
                <w:sz w:val="18"/>
                <w:szCs w:val="18"/>
              </w:rPr>
            </w:pPr>
            <w:r>
              <w:rPr>
                <w:rFonts w:hint="eastAsia" w:ascii="宋体" w:hAnsi="宋体"/>
                <w:sz w:val="18"/>
                <w:szCs w:val="18"/>
                <w:lang w:val="en-US" w:eastAsia="zh-CN"/>
              </w:rPr>
              <w:t>7</w:t>
            </w:r>
            <w:r>
              <w:rPr>
                <w:rFonts w:hint="eastAsia" w:ascii="宋体" w:hAnsi="宋体"/>
                <w:sz w:val="18"/>
                <w:szCs w:val="18"/>
              </w:rPr>
              <w:t>）地脚螺栓完好。</w:t>
            </w:r>
          </w:p>
          <w:p w14:paraId="3F799637">
            <w:pPr>
              <w:adjustRightInd w:val="0"/>
              <w:snapToGrid w:val="0"/>
              <w:spacing w:line="240" w:lineRule="atLeast"/>
              <w:rPr>
                <w:rFonts w:hint="default" w:ascii="宋体" w:hAnsi="宋体" w:eastAsia="宋体"/>
                <w:sz w:val="18"/>
                <w:szCs w:val="18"/>
                <w:lang w:val="en-US" w:eastAsia="zh-CN"/>
              </w:rPr>
            </w:pPr>
            <w:r>
              <w:rPr>
                <w:rFonts w:hint="eastAsia" w:ascii="宋体" w:hAnsi="宋体"/>
                <w:sz w:val="18"/>
                <w:szCs w:val="18"/>
                <w:lang w:val="en-US" w:eastAsia="zh-CN"/>
              </w:rPr>
              <w:t>c</w:t>
            </w:r>
            <w:r>
              <w:rPr>
                <w:rFonts w:hint="eastAsia" w:ascii="宋体" w:hAnsi="宋体"/>
                <w:sz w:val="18"/>
                <w:szCs w:val="18"/>
              </w:rPr>
              <w:t>）</w:t>
            </w:r>
            <w:r>
              <w:rPr>
                <w:rFonts w:hint="eastAsia" w:ascii="宋体" w:hAnsi="宋体"/>
                <w:sz w:val="18"/>
                <w:szCs w:val="18"/>
                <w:lang w:val="en-US" w:eastAsia="zh-CN"/>
              </w:rPr>
              <w:t>安全阀每年至少校验一次，</w:t>
            </w:r>
            <w:r>
              <w:rPr>
                <w:rFonts w:hint="eastAsia" w:ascii="宋体" w:hAnsi="宋体"/>
                <w:sz w:val="18"/>
                <w:szCs w:val="18"/>
              </w:rPr>
              <w:t>校验合格的安全阀应加装有铅封，且应保持铅封完好</w:t>
            </w:r>
            <w:r>
              <w:rPr>
                <w:rFonts w:hint="eastAsia" w:ascii="宋体" w:hAnsi="宋体"/>
                <w:sz w:val="18"/>
                <w:szCs w:val="18"/>
                <w:lang w:eastAsia="zh-CN"/>
              </w:rPr>
              <w:t>；</w:t>
            </w:r>
          </w:p>
          <w:p w14:paraId="149F931B">
            <w:pPr>
              <w:adjustRightInd w:val="0"/>
              <w:snapToGrid w:val="0"/>
              <w:spacing w:line="240" w:lineRule="atLeast"/>
              <w:rPr>
                <w:rFonts w:hint="default"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）压力表在刻度盘上应划出指示工作压力的红线。压力表校验合格后，保持铅封</w:t>
            </w:r>
            <w:r>
              <w:rPr>
                <w:rFonts w:ascii="宋体" w:hAnsi="宋体"/>
                <w:sz w:val="18"/>
                <w:szCs w:val="18"/>
              </w:rPr>
              <w:t>完</w:t>
            </w:r>
            <w:r>
              <w:rPr>
                <w:rFonts w:hint="eastAsia" w:ascii="宋体" w:hAnsi="宋体"/>
                <w:sz w:val="18"/>
                <w:szCs w:val="18"/>
                <w:lang w:eastAsia="zh-CN"/>
              </w:rPr>
              <w:t>；</w:t>
            </w:r>
          </w:p>
          <w:p w14:paraId="51C149AB">
            <w:pPr>
              <w:adjustRightInd w:val="0"/>
              <w:snapToGrid w:val="0"/>
              <w:spacing w:line="240" w:lineRule="atLeast"/>
              <w:rPr>
                <w:rFonts w:hint="default" w:ascii="宋体" w:hAnsi="宋体"/>
                <w:sz w:val="18"/>
                <w:szCs w:val="18"/>
                <w:lang w:val="en-US" w:eastAsia="zh-CN"/>
              </w:rPr>
            </w:pPr>
            <w:r>
              <w:rPr>
                <w:rFonts w:hint="eastAsia" w:ascii="宋体" w:hAnsi="宋体"/>
                <w:sz w:val="18"/>
                <w:szCs w:val="18"/>
                <w:lang w:val="en-US" w:eastAsia="zh-CN"/>
              </w:rPr>
              <w:t>e</w:t>
            </w:r>
            <w:r>
              <w:rPr>
                <w:rFonts w:hint="eastAsia" w:ascii="宋体" w:hAnsi="宋体"/>
                <w:sz w:val="18"/>
                <w:szCs w:val="18"/>
              </w:rPr>
              <w:t>）液位计应安装在便于观察的位置，否则应增加其他辅助设施。大型压力容器还应有集中控制的设施和警报装置。液位计上最高和最低安全液位，应作出明显的标志。</w:t>
            </w:r>
          </w:p>
        </w:tc>
        <w:tc>
          <w:tcPr>
            <w:tcW w:w="720" w:type="dxa"/>
            <w:noWrap w:val="0"/>
            <w:vAlign w:val="center"/>
          </w:tcPr>
          <w:p w14:paraId="167AA51C">
            <w:pPr>
              <w:adjustRightInd w:val="0"/>
              <w:snapToGrid w:val="0"/>
              <w:rPr>
                <w:rFonts w:ascii="宋体" w:hAnsi="宋体"/>
                <w:sz w:val="18"/>
                <w:szCs w:val="18"/>
              </w:rPr>
            </w:pPr>
          </w:p>
        </w:tc>
        <w:tc>
          <w:tcPr>
            <w:tcW w:w="663" w:type="dxa"/>
            <w:noWrap w:val="0"/>
            <w:vAlign w:val="center"/>
          </w:tcPr>
          <w:p w14:paraId="7950D437">
            <w:pPr>
              <w:adjustRightInd w:val="0"/>
              <w:snapToGrid w:val="0"/>
              <w:jc w:val="center"/>
              <w:rPr>
                <w:rFonts w:ascii="宋体" w:hAnsi="宋体"/>
                <w:sz w:val="18"/>
                <w:szCs w:val="18"/>
              </w:rPr>
            </w:pPr>
          </w:p>
        </w:tc>
        <w:tc>
          <w:tcPr>
            <w:tcW w:w="743" w:type="dxa"/>
            <w:noWrap w:val="0"/>
            <w:vAlign w:val="center"/>
          </w:tcPr>
          <w:p w14:paraId="29A2880B">
            <w:pPr>
              <w:adjustRightInd w:val="0"/>
              <w:snapToGrid w:val="0"/>
              <w:jc w:val="center"/>
              <w:rPr>
                <w:rFonts w:hint="eastAsia" w:ascii="宋体" w:hAnsi="宋体" w:eastAsia="宋体"/>
                <w:sz w:val="18"/>
                <w:szCs w:val="18"/>
                <w:lang w:val="en-US" w:eastAsia="zh-CN"/>
              </w:rPr>
            </w:pPr>
            <w:r>
              <w:rPr>
                <w:rFonts w:hint="eastAsia" w:ascii="宋体" w:hAnsi="宋体"/>
                <w:sz w:val="18"/>
                <w:szCs w:val="18"/>
                <w:lang w:val="en-US" w:eastAsia="zh-CN"/>
              </w:rPr>
              <w:t>5</w:t>
            </w:r>
          </w:p>
        </w:tc>
        <w:tc>
          <w:tcPr>
            <w:tcW w:w="2969" w:type="dxa"/>
            <w:noWrap w:val="0"/>
            <w:vAlign w:val="center"/>
          </w:tcPr>
          <w:p w14:paraId="21F8CB29">
            <w:pPr>
              <w:adjustRightInd w:val="0"/>
              <w:snapToGrid w:val="0"/>
              <w:rPr>
                <w:rFonts w:ascii="宋体" w:hAnsi="宋体"/>
                <w:sz w:val="18"/>
                <w:szCs w:val="18"/>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715" w:type="dxa"/>
            <w:noWrap w:val="0"/>
            <w:vAlign w:val="top"/>
          </w:tcPr>
          <w:p w14:paraId="0F961600">
            <w:pPr>
              <w:adjustRightInd w:val="0"/>
              <w:snapToGrid w:val="0"/>
              <w:rPr>
                <w:rFonts w:ascii="宋体" w:hAnsi="宋体"/>
                <w:sz w:val="18"/>
                <w:szCs w:val="18"/>
              </w:rPr>
            </w:pPr>
          </w:p>
        </w:tc>
        <w:tc>
          <w:tcPr>
            <w:tcW w:w="1416" w:type="dxa"/>
            <w:noWrap w:val="0"/>
            <w:vAlign w:val="top"/>
          </w:tcPr>
          <w:p w14:paraId="5E2797B8">
            <w:pPr>
              <w:adjustRightInd w:val="0"/>
              <w:snapToGrid w:val="0"/>
              <w:rPr>
                <w:rFonts w:ascii="宋体" w:hAnsi="宋体"/>
                <w:sz w:val="18"/>
                <w:szCs w:val="18"/>
              </w:rPr>
            </w:pPr>
          </w:p>
        </w:tc>
        <w:tc>
          <w:tcPr>
            <w:tcW w:w="1354" w:type="dxa"/>
            <w:noWrap w:val="0"/>
            <w:vAlign w:val="center"/>
          </w:tcPr>
          <w:p w14:paraId="028F5E38">
            <w:pPr>
              <w:ind w:right="-41"/>
              <w:jc w:val="center"/>
              <w:rPr>
                <w:rFonts w:ascii="宋体" w:hAnsi="宋体"/>
                <w:sz w:val="18"/>
                <w:szCs w:val="18"/>
              </w:rPr>
            </w:pPr>
            <w:r>
              <w:rPr>
                <w:rFonts w:hint="eastAsia" w:ascii="宋体" w:hAnsi="宋体"/>
                <w:sz w:val="18"/>
                <w:szCs w:val="18"/>
                <w:lang w:eastAsia="zh-CN"/>
              </w:rPr>
              <w:t>4.4</w:t>
            </w:r>
            <w:r>
              <w:rPr>
                <w:rFonts w:hint="eastAsia" w:ascii="宋体" w:hAnsi="宋体"/>
                <w:sz w:val="18"/>
                <w:szCs w:val="18"/>
              </w:rPr>
              <w:t>.1</w:t>
            </w:r>
          </w:p>
        </w:tc>
      </w:tr>
      <w:tr w14:paraId="11C62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shd w:val="clear"/>
            <w:noWrap w:val="0"/>
            <w:vAlign w:val="center"/>
          </w:tcPr>
          <w:p w14:paraId="27622176">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ascii="宋体" w:hAnsi="宋体"/>
                <w:sz w:val="18"/>
                <w:szCs w:val="18"/>
              </w:rPr>
              <w:t>.3.</w:t>
            </w:r>
            <w:r>
              <w:rPr>
                <w:rFonts w:hint="eastAsia" w:ascii="宋体" w:hAnsi="宋体"/>
                <w:sz w:val="18"/>
                <w:szCs w:val="18"/>
                <w:lang w:val="en-US" w:eastAsia="zh-CN"/>
              </w:rPr>
              <w:t>2</w:t>
            </w:r>
          </w:p>
        </w:tc>
        <w:tc>
          <w:tcPr>
            <w:tcW w:w="5814" w:type="dxa"/>
            <w:shd w:val="clear"/>
            <w:noWrap w:val="0"/>
            <w:vAlign w:val="center"/>
          </w:tcPr>
          <w:p w14:paraId="1F1AAA0F">
            <w:pPr>
              <w:adjustRightInd w:val="0"/>
              <w:snapToGrid w:val="0"/>
              <w:jc w:val="left"/>
              <w:rPr>
                <w:rFonts w:hint="eastAsia" w:ascii="宋体" w:hAnsi="宋体"/>
                <w:sz w:val="18"/>
                <w:szCs w:val="18"/>
              </w:rPr>
            </w:pPr>
            <w:r>
              <w:rPr>
                <w:rFonts w:hint="eastAsia" w:ascii="宋体" w:hAnsi="宋体"/>
                <w:sz w:val="18"/>
                <w:szCs w:val="18"/>
              </w:rPr>
              <w:t>简单压力容器应符合下列要求：</w:t>
            </w:r>
          </w:p>
          <w:p w14:paraId="6F4173E7">
            <w:pPr>
              <w:adjustRightInd w:val="0"/>
              <w:snapToGrid w:val="0"/>
              <w:jc w:val="left"/>
              <w:rPr>
                <w:rFonts w:hint="eastAsia" w:ascii="宋体" w:hAnsi="宋体"/>
                <w:sz w:val="18"/>
                <w:szCs w:val="18"/>
              </w:rPr>
            </w:pPr>
            <w:r>
              <w:rPr>
                <w:rFonts w:hint="eastAsia" w:ascii="宋体" w:hAnsi="宋体"/>
                <w:sz w:val="18"/>
                <w:szCs w:val="18"/>
              </w:rPr>
              <w:t>a）简单压力容器不需要办理使用登记手续，在设计使用年限内不需要进行定期检验；</w:t>
            </w:r>
          </w:p>
          <w:p w14:paraId="17AFBE8E">
            <w:pPr>
              <w:adjustRightInd w:val="0"/>
              <w:snapToGrid w:val="0"/>
              <w:jc w:val="left"/>
              <w:rPr>
                <w:rFonts w:hint="eastAsia" w:ascii="宋体" w:hAnsi="宋体"/>
                <w:sz w:val="18"/>
                <w:szCs w:val="18"/>
              </w:rPr>
            </w:pPr>
            <w:r>
              <w:rPr>
                <w:rFonts w:hint="eastAsia" w:ascii="宋体" w:hAnsi="宋体"/>
                <w:sz w:val="18"/>
                <w:szCs w:val="18"/>
              </w:rPr>
              <w:t>b）发现异常情况时，应及时请特种设备检验机构进行检验；</w:t>
            </w:r>
          </w:p>
          <w:p w14:paraId="645BC2ED">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c）达到设计使用年限时应报废，如需继续使用的，景区应报特种设备检验机构进行检验。</w:t>
            </w:r>
          </w:p>
        </w:tc>
        <w:tc>
          <w:tcPr>
            <w:tcW w:w="720" w:type="dxa"/>
            <w:shd w:val="clear"/>
            <w:noWrap w:val="0"/>
            <w:vAlign w:val="center"/>
          </w:tcPr>
          <w:p w14:paraId="31A3A61C">
            <w:pPr>
              <w:adjustRightInd w:val="0"/>
              <w:snapToGrid w:val="0"/>
              <w:jc w:val="center"/>
              <w:rPr>
                <w:rFonts w:hint="eastAsia" w:ascii="宋体" w:hAnsi="宋体" w:eastAsia="宋体" w:cs="Times New Roman"/>
                <w:kern w:val="2"/>
                <w:sz w:val="18"/>
                <w:szCs w:val="18"/>
                <w:lang w:val="en-US" w:eastAsia="zh-CN" w:bidi="ar-SA"/>
              </w:rPr>
            </w:pPr>
          </w:p>
        </w:tc>
        <w:tc>
          <w:tcPr>
            <w:tcW w:w="663" w:type="dxa"/>
            <w:shd w:val="clear"/>
            <w:noWrap w:val="0"/>
            <w:vAlign w:val="center"/>
          </w:tcPr>
          <w:p w14:paraId="55F9777C">
            <w:pPr>
              <w:adjustRightInd w:val="0"/>
              <w:snapToGrid w:val="0"/>
              <w:jc w:val="center"/>
              <w:rPr>
                <w:rFonts w:hint="eastAsia" w:ascii="宋体" w:hAnsi="宋体" w:eastAsia="宋体" w:cs="Times New Roman"/>
                <w:kern w:val="2"/>
                <w:sz w:val="18"/>
                <w:szCs w:val="18"/>
                <w:lang w:val="en-US" w:eastAsia="zh-CN" w:bidi="ar-SA"/>
              </w:rPr>
            </w:pPr>
          </w:p>
        </w:tc>
        <w:tc>
          <w:tcPr>
            <w:tcW w:w="743" w:type="dxa"/>
            <w:shd w:val="clear"/>
            <w:noWrap w:val="0"/>
            <w:vAlign w:val="center"/>
          </w:tcPr>
          <w:p w14:paraId="30CA5739">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2969" w:type="dxa"/>
            <w:shd w:val="clear"/>
            <w:noWrap w:val="0"/>
            <w:vAlign w:val="center"/>
          </w:tcPr>
          <w:p w14:paraId="4F4C746C">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715" w:type="dxa"/>
            <w:shd w:val="clear"/>
            <w:noWrap w:val="0"/>
            <w:vAlign w:val="center"/>
          </w:tcPr>
          <w:p w14:paraId="0F2D2E15">
            <w:pPr>
              <w:adjustRightInd w:val="0"/>
              <w:snapToGrid w:val="0"/>
              <w:jc w:val="center"/>
              <w:rPr>
                <w:rFonts w:hint="eastAsia" w:ascii="宋体" w:hAnsi="宋体" w:eastAsia="宋体" w:cs="Times New Roman"/>
                <w:kern w:val="2"/>
                <w:sz w:val="18"/>
                <w:szCs w:val="18"/>
                <w:lang w:val="en-US" w:eastAsia="zh-CN" w:bidi="ar-SA"/>
              </w:rPr>
            </w:pPr>
          </w:p>
        </w:tc>
        <w:tc>
          <w:tcPr>
            <w:tcW w:w="1416" w:type="dxa"/>
            <w:shd w:val="clear"/>
            <w:noWrap w:val="0"/>
            <w:vAlign w:val="center"/>
          </w:tcPr>
          <w:p w14:paraId="767C81B3">
            <w:pPr>
              <w:adjustRightInd w:val="0"/>
              <w:snapToGrid w:val="0"/>
              <w:jc w:val="center"/>
              <w:rPr>
                <w:rFonts w:hint="eastAsia" w:ascii="宋体" w:hAnsi="宋体" w:eastAsia="宋体" w:cs="Times New Roman"/>
                <w:kern w:val="2"/>
                <w:sz w:val="18"/>
                <w:szCs w:val="18"/>
                <w:lang w:val="en-US" w:eastAsia="zh-CN" w:bidi="ar-SA"/>
              </w:rPr>
            </w:pPr>
          </w:p>
        </w:tc>
        <w:tc>
          <w:tcPr>
            <w:tcW w:w="1354" w:type="dxa"/>
            <w:shd w:val="clear"/>
            <w:noWrap w:val="0"/>
            <w:vAlign w:val="center"/>
          </w:tcPr>
          <w:p w14:paraId="23B80ADE">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.2</w:t>
            </w:r>
          </w:p>
        </w:tc>
      </w:tr>
    </w:tbl>
    <w:p w14:paraId="2CB49C78">
      <w:pPr>
        <w:pStyle w:val="168"/>
        <w:widowControl/>
        <w:numPr>
          <w:ilvl w:val="0"/>
          <w:numId w:val="0"/>
        </w:numPr>
        <w:spacing w:before="156" w:after="156"/>
        <w:ind w:left="567" w:hanging="567"/>
      </w:pPr>
      <w:r>
        <w:br w:type="page"/>
      </w: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6144"/>
        <w:gridCol w:w="580"/>
        <w:gridCol w:w="611"/>
        <w:gridCol w:w="626"/>
        <w:gridCol w:w="2853"/>
        <w:gridCol w:w="629"/>
        <w:gridCol w:w="1505"/>
        <w:gridCol w:w="1351"/>
      </w:tblGrid>
      <w:tr w14:paraId="395408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054" w:type="dxa"/>
            <w:noWrap w:val="0"/>
            <w:vAlign w:val="center"/>
          </w:tcPr>
          <w:p w14:paraId="608E8391">
            <w:pPr>
              <w:adjustRightInd w:val="0"/>
              <w:snapToGrid w:val="0"/>
              <w:jc w:val="center"/>
              <w:rPr>
                <w:rFonts w:ascii="宋体" w:hAnsi="宋体"/>
                <w:sz w:val="18"/>
                <w:szCs w:val="18"/>
              </w:rPr>
            </w:pPr>
            <w:r>
              <w:rPr>
                <w:rFonts w:ascii="宋体" w:hAnsi="宋体"/>
                <w:sz w:val="18"/>
                <w:szCs w:val="18"/>
              </w:rPr>
              <w:t>序号</w:t>
            </w:r>
          </w:p>
        </w:tc>
        <w:tc>
          <w:tcPr>
            <w:tcW w:w="6144" w:type="dxa"/>
            <w:noWrap w:val="0"/>
            <w:vAlign w:val="center"/>
          </w:tcPr>
          <w:p w14:paraId="2858A2FF">
            <w:pPr>
              <w:adjustRightInd w:val="0"/>
              <w:snapToGrid w:val="0"/>
              <w:jc w:val="center"/>
              <w:rPr>
                <w:rFonts w:ascii="宋体" w:hAnsi="宋体"/>
                <w:sz w:val="18"/>
                <w:szCs w:val="18"/>
              </w:rPr>
            </w:pPr>
            <w:r>
              <w:rPr>
                <w:rFonts w:hint="eastAsia" w:ascii="宋体" w:hAnsi="宋体"/>
                <w:sz w:val="18"/>
                <w:szCs w:val="18"/>
              </w:rPr>
              <w:t>评定内容</w:t>
            </w:r>
          </w:p>
        </w:tc>
        <w:tc>
          <w:tcPr>
            <w:tcW w:w="580" w:type="dxa"/>
            <w:noWrap w:val="0"/>
            <w:vAlign w:val="center"/>
          </w:tcPr>
          <w:p w14:paraId="3CCBAC9F">
            <w:pPr>
              <w:adjustRightInd w:val="0"/>
              <w:snapToGrid w:val="0"/>
              <w:jc w:val="center"/>
              <w:rPr>
                <w:rFonts w:ascii="宋体" w:hAnsi="宋体"/>
                <w:sz w:val="18"/>
                <w:szCs w:val="18"/>
              </w:rPr>
            </w:pPr>
            <w:r>
              <w:rPr>
                <w:rFonts w:hint="eastAsia" w:ascii="宋体" w:hAnsi="宋体"/>
                <w:sz w:val="18"/>
                <w:szCs w:val="18"/>
              </w:rPr>
              <w:t>评定要素分值</w:t>
            </w:r>
          </w:p>
        </w:tc>
        <w:tc>
          <w:tcPr>
            <w:tcW w:w="611" w:type="dxa"/>
            <w:noWrap w:val="0"/>
            <w:vAlign w:val="center"/>
          </w:tcPr>
          <w:p w14:paraId="5855FCAD">
            <w:pPr>
              <w:adjustRightInd w:val="0"/>
              <w:snapToGrid w:val="0"/>
              <w:jc w:val="center"/>
              <w:rPr>
                <w:rFonts w:ascii="宋体" w:hAnsi="宋体"/>
                <w:sz w:val="18"/>
                <w:szCs w:val="18"/>
              </w:rPr>
            </w:pPr>
            <w:r>
              <w:rPr>
                <w:rFonts w:hint="eastAsia" w:ascii="宋体" w:hAnsi="宋体"/>
                <w:sz w:val="18"/>
                <w:szCs w:val="18"/>
              </w:rPr>
              <w:t>评定细项分值</w:t>
            </w:r>
          </w:p>
        </w:tc>
        <w:tc>
          <w:tcPr>
            <w:tcW w:w="626" w:type="dxa"/>
            <w:noWrap w:val="0"/>
            <w:vAlign w:val="center"/>
          </w:tcPr>
          <w:p w14:paraId="221026B1">
            <w:pPr>
              <w:adjustRightInd w:val="0"/>
              <w:snapToGrid w:val="0"/>
              <w:jc w:val="center"/>
              <w:rPr>
                <w:rFonts w:ascii="宋体" w:hAnsi="宋体"/>
                <w:sz w:val="18"/>
                <w:szCs w:val="18"/>
              </w:rPr>
            </w:pPr>
            <w:r>
              <w:rPr>
                <w:rFonts w:hint="eastAsia" w:ascii="宋体" w:hAnsi="宋体"/>
                <w:sz w:val="18"/>
                <w:szCs w:val="18"/>
              </w:rPr>
              <w:t>评定条款分值</w:t>
            </w:r>
          </w:p>
        </w:tc>
        <w:tc>
          <w:tcPr>
            <w:tcW w:w="2853" w:type="dxa"/>
            <w:noWrap w:val="0"/>
            <w:vAlign w:val="center"/>
          </w:tcPr>
          <w:p w14:paraId="4317A402">
            <w:pPr>
              <w:adjustRightInd w:val="0"/>
              <w:snapToGrid w:val="0"/>
              <w:jc w:val="center"/>
              <w:rPr>
                <w:rFonts w:ascii="宋体" w:hAnsi="宋体"/>
                <w:sz w:val="18"/>
                <w:szCs w:val="18"/>
              </w:rPr>
            </w:pPr>
            <w:r>
              <w:rPr>
                <w:rFonts w:hint="eastAsia" w:ascii="宋体" w:hAnsi="宋体"/>
                <w:sz w:val="18"/>
                <w:szCs w:val="18"/>
              </w:rPr>
              <w:t>评分标准</w:t>
            </w:r>
          </w:p>
        </w:tc>
        <w:tc>
          <w:tcPr>
            <w:tcW w:w="629" w:type="dxa"/>
            <w:noWrap w:val="0"/>
            <w:vAlign w:val="center"/>
          </w:tcPr>
          <w:p w14:paraId="0816F915">
            <w:pPr>
              <w:adjustRightInd w:val="0"/>
              <w:snapToGrid w:val="0"/>
              <w:jc w:val="center"/>
              <w:rPr>
                <w:rFonts w:ascii="宋体" w:hAnsi="宋体"/>
                <w:sz w:val="18"/>
                <w:szCs w:val="18"/>
              </w:rPr>
            </w:pPr>
            <w:r>
              <w:rPr>
                <w:rFonts w:hint="eastAsia" w:ascii="宋体" w:hAnsi="宋体"/>
                <w:sz w:val="18"/>
                <w:szCs w:val="18"/>
              </w:rPr>
              <w:t>评定得分</w:t>
            </w:r>
          </w:p>
        </w:tc>
        <w:tc>
          <w:tcPr>
            <w:tcW w:w="1505" w:type="dxa"/>
            <w:noWrap w:val="0"/>
            <w:vAlign w:val="center"/>
          </w:tcPr>
          <w:p w14:paraId="545252F4">
            <w:pPr>
              <w:adjustRightInd w:val="0"/>
              <w:snapToGrid w:val="0"/>
              <w:jc w:val="center"/>
              <w:rPr>
                <w:rFonts w:ascii="宋体" w:hAnsi="宋体"/>
                <w:sz w:val="18"/>
                <w:szCs w:val="18"/>
              </w:rPr>
            </w:pPr>
            <w:r>
              <w:rPr>
                <w:rFonts w:hint="eastAsia" w:ascii="宋体" w:hAnsi="宋体"/>
                <w:sz w:val="18"/>
                <w:szCs w:val="18"/>
              </w:rPr>
              <w:t>扣分说明</w:t>
            </w:r>
          </w:p>
        </w:tc>
        <w:tc>
          <w:tcPr>
            <w:tcW w:w="1351" w:type="dxa"/>
            <w:noWrap w:val="0"/>
            <w:vAlign w:val="center"/>
          </w:tcPr>
          <w:p w14:paraId="7D521F3D">
            <w:pPr>
              <w:adjustRightInd w:val="0"/>
              <w:snapToGrid w:val="0"/>
              <w:jc w:val="center"/>
              <w:rPr>
                <w:rFonts w:ascii="宋体" w:hAnsi="宋体"/>
                <w:sz w:val="18"/>
                <w:szCs w:val="18"/>
              </w:rPr>
            </w:pPr>
            <w:r>
              <w:rPr>
                <w:rFonts w:hint="eastAsia" w:ascii="宋体" w:hAnsi="宋体"/>
                <w:sz w:val="18"/>
                <w:szCs w:val="18"/>
              </w:rPr>
              <w:t>对应条款编号</w:t>
            </w:r>
          </w:p>
        </w:tc>
      </w:tr>
      <w:tr w14:paraId="2BB4E3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4" w:type="dxa"/>
            <w:noWrap w:val="0"/>
            <w:vAlign w:val="center"/>
          </w:tcPr>
          <w:p w14:paraId="61AC1971">
            <w:pPr>
              <w:widowControl/>
              <w:jc w:val="center"/>
              <w:rPr>
                <w:rFonts w:hint="eastAsia" w:ascii="宋体" w:hAnsi="宋体" w:eastAsia="宋体"/>
                <w:bCs/>
                <w:sz w:val="18"/>
                <w:szCs w:val="18"/>
                <w:lang w:eastAsia="zh-CN"/>
              </w:rPr>
            </w:pPr>
            <w:r>
              <w:rPr>
                <w:rFonts w:hint="eastAsia" w:ascii="宋体" w:hAnsi="宋体"/>
                <w:bCs/>
                <w:sz w:val="18"/>
                <w:szCs w:val="18"/>
              </w:rPr>
              <w:t>4.3.</w:t>
            </w:r>
            <w:r>
              <w:rPr>
                <w:rFonts w:hint="eastAsia" w:ascii="宋体" w:hAnsi="宋体"/>
                <w:bCs/>
                <w:sz w:val="18"/>
                <w:szCs w:val="18"/>
                <w:lang w:val="en-US" w:eastAsia="zh-CN"/>
              </w:rPr>
              <w:t>3</w:t>
            </w:r>
          </w:p>
        </w:tc>
        <w:tc>
          <w:tcPr>
            <w:tcW w:w="6144" w:type="dxa"/>
            <w:noWrap w:val="0"/>
            <w:vAlign w:val="center"/>
          </w:tcPr>
          <w:p w14:paraId="511AA2CE">
            <w:pPr>
              <w:adjustRightInd/>
              <w:snapToGrid w:val="0"/>
              <w:jc w:val="left"/>
              <w:rPr>
                <w:rFonts w:hint="default" w:ascii="宋体" w:hAnsi="宋体"/>
                <w:sz w:val="18"/>
                <w:szCs w:val="18"/>
                <w:lang w:val="en-US" w:eastAsia="zh-CN"/>
              </w:rPr>
            </w:pPr>
            <w:r>
              <w:rPr>
                <w:rFonts w:hint="eastAsia" w:ascii="宋体" w:hAnsi="宋体"/>
                <w:sz w:val="18"/>
                <w:szCs w:val="18"/>
                <w:lang w:val="en-US" w:eastAsia="zh-CN"/>
              </w:rPr>
              <w:t>气瓶应符合下列要求：</w:t>
            </w:r>
          </w:p>
          <w:p w14:paraId="0BFB1ECE">
            <w:pPr>
              <w:numPr>
                <w:ilvl w:val="0"/>
                <w:numId w:val="58"/>
              </w:numPr>
              <w:adjustRightInd/>
              <w:snapToGrid w:val="0"/>
              <w:jc w:val="left"/>
              <w:rPr>
                <w:rFonts w:hint="eastAsia" w:ascii="宋体" w:hAnsi="宋体"/>
                <w:sz w:val="18"/>
                <w:szCs w:val="18"/>
              </w:rPr>
            </w:pPr>
            <w:r>
              <w:rPr>
                <w:rFonts w:hint="eastAsia" w:ascii="宋体" w:hAnsi="宋体"/>
                <w:sz w:val="18"/>
                <w:szCs w:val="18"/>
              </w:rPr>
              <w:t>盛装溶解乙炔的气瓶，应装设</w:t>
            </w:r>
            <w:r>
              <w:rPr>
                <w:rFonts w:hint="eastAsia" w:ascii="宋体" w:hAnsi="宋体"/>
                <w:sz w:val="18"/>
                <w:szCs w:val="18"/>
                <w:lang w:val="en-US" w:eastAsia="zh-CN"/>
              </w:rPr>
              <w:t>安全泄压</w:t>
            </w:r>
            <w:r>
              <w:rPr>
                <w:rFonts w:hint="eastAsia" w:ascii="宋体" w:hAnsi="宋体"/>
                <w:sz w:val="18"/>
                <w:szCs w:val="18"/>
              </w:rPr>
              <w:t>装置；</w:t>
            </w:r>
          </w:p>
          <w:p w14:paraId="25386D29">
            <w:pPr>
              <w:numPr>
                <w:ilvl w:val="0"/>
                <w:numId w:val="58"/>
              </w:numPr>
              <w:adjustRightInd/>
              <w:snapToGrid w:val="0"/>
              <w:ind w:left="0" w:leftChars="0" w:firstLine="0" w:firstLineChars="0"/>
              <w:jc w:val="left"/>
              <w:rPr>
                <w:rFonts w:hint="eastAsia" w:ascii="宋体" w:hAnsi="宋体"/>
                <w:sz w:val="18"/>
                <w:szCs w:val="18"/>
                <w:lang w:val="en-US" w:eastAsia="zh-CN"/>
              </w:rPr>
            </w:pPr>
            <w:r>
              <w:rPr>
                <w:rFonts w:hint="eastAsia" w:ascii="宋体" w:hAnsi="宋体"/>
                <w:sz w:val="18"/>
                <w:szCs w:val="18"/>
              </w:rPr>
              <w:t>每个安全泄压装置都应有</w:t>
            </w:r>
            <w:r>
              <w:rPr>
                <w:rFonts w:hint="eastAsia" w:ascii="宋体" w:hAnsi="宋体"/>
                <w:sz w:val="18"/>
                <w:szCs w:val="18"/>
                <w:lang w:val="en-US" w:eastAsia="zh-CN"/>
              </w:rPr>
              <w:t>永久性</w:t>
            </w:r>
            <w:r>
              <w:rPr>
                <w:rFonts w:hint="eastAsia" w:ascii="宋体" w:hAnsi="宋体"/>
                <w:sz w:val="18"/>
                <w:szCs w:val="18"/>
              </w:rPr>
              <w:t>标志</w:t>
            </w:r>
            <w:r>
              <w:rPr>
                <w:rFonts w:hint="eastAsia" w:ascii="宋体" w:hAnsi="宋体"/>
                <w:sz w:val="18"/>
                <w:szCs w:val="18"/>
                <w:lang w:val="en-US" w:eastAsia="zh-CN"/>
              </w:rPr>
              <w:t>；</w:t>
            </w:r>
          </w:p>
          <w:p w14:paraId="34AC9AE3">
            <w:pPr>
              <w:numPr>
                <w:ilvl w:val="0"/>
                <w:numId w:val="58"/>
              </w:numPr>
              <w:adjustRightInd/>
              <w:snapToGrid w:val="0"/>
              <w:ind w:left="0" w:leftChars="0" w:firstLine="0" w:firstLineChars="0"/>
              <w:jc w:val="left"/>
              <w:rPr>
                <w:rFonts w:hint="eastAsia" w:ascii="宋体" w:hAnsi="宋体"/>
                <w:sz w:val="18"/>
                <w:szCs w:val="18"/>
                <w:lang w:eastAsia="zh-CN"/>
              </w:rPr>
            </w:pPr>
            <w:r>
              <w:rPr>
                <w:rFonts w:ascii="宋体" w:hAnsi="宋体"/>
                <w:sz w:val="18"/>
                <w:szCs w:val="18"/>
              </w:rPr>
              <w:t>气瓶</w:t>
            </w:r>
            <w:r>
              <w:rPr>
                <w:rFonts w:hint="eastAsia" w:ascii="宋体" w:hAnsi="宋体"/>
                <w:sz w:val="18"/>
                <w:szCs w:val="18"/>
              </w:rPr>
              <w:t>应有</w:t>
            </w:r>
            <w:r>
              <w:rPr>
                <w:rFonts w:ascii="宋体" w:hAnsi="宋体"/>
                <w:sz w:val="18"/>
                <w:szCs w:val="18"/>
              </w:rPr>
              <w:t>制造标志和定期检验标志</w:t>
            </w:r>
            <w:r>
              <w:rPr>
                <w:rFonts w:hint="eastAsia" w:ascii="宋体" w:hAnsi="宋体"/>
                <w:sz w:val="18"/>
                <w:szCs w:val="18"/>
                <w:lang w:eastAsia="zh-CN"/>
              </w:rPr>
              <w:t>；</w:t>
            </w:r>
          </w:p>
          <w:p w14:paraId="420DCD62">
            <w:pPr>
              <w:numPr>
                <w:ilvl w:val="0"/>
                <w:numId w:val="58"/>
              </w:numPr>
              <w:adjustRightInd/>
              <w:snapToGrid w:val="0"/>
              <w:ind w:left="0" w:leftChars="0" w:firstLine="0" w:firstLineChars="0"/>
              <w:jc w:val="left"/>
              <w:rPr>
                <w:rFonts w:hint="eastAsia" w:ascii="宋体" w:hAnsi="宋体" w:cs="Arial"/>
                <w:kern w:val="0"/>
                <w:sz w:val="18"/>
                <w:szCs w:val="18"/>
                <w:lang w:eastAsia="zh-CN"/>
              </w:rPr>
            </w:pPr>
            <w:r>
              <w:rPr>
                <w:rFonts w:ascii="宋体" w:hAnsi="宋体"/>
                <w:sz w:val="18"/>
                <w:szCs w:val="18"/>
              </w:rPr>
              <w:t>气瓶的颜色标志应</w:t>
            </w:r>
            <w:r>
              <w:rPr>
                <w:rFonts w:hint="eastAsia" w:ascii="宋体" w:hAnsi="宋体"/>
                <w:sz w:val="18"/>
                <w:szCs w:val="18"/>
              </w:rPr>
              <w:t>符合E.2</w:t>
            </w:r>
            <w:r>
              <w:rPr>
                <w:rFonts w:ascii="宋体" w:hAnsi="宋体"/>
                <w:sz w:val="18"/>
                <w:szCs w:val="18"/>
              </w:rPr>
              <w:t>的</w:t>
            </w:r>
            <w:r>
              <w:rPr>
                <w:rFonts w:hint="eastAsia" w:ascii="宋体" w:hAnsi="宋体"/>
                <w:sz w:val="18"/>
                <w:szCs w:val="18"/>
              </w:rPr>
              <w:t>规定</w:t>
            </w:r>
            <w:r>
              <w:rPr>
                <w:rFonts w:ascii="宋体" w:hAnsi="宋体"/>
                <w:sz w:val="18"/>
                <w:szCs w:val="18"/>
              </w:rPr>
              <w:t>，</w:t>
            </w:r>
            <w:r>
              <w:rPr>
                <w:rStyle w:val="52"/>
                <w:rFonts w:hint="eastAsia" w:ascii="宋体" w:hAnsi="宋体" w:cs="Arial"/>
                <w:b w:val="0"/>
                <w:sz w:val="18"/>
                <w:szCs w:val="18"/>
              </w:rPr>
              <w:t>且</w:t>
            </w:r>
            <w:r>
              <w:rPr>
                <w:rFonts w:ascii="宋体" w:hAnsi="宋体" w:cs="Arial"/>
                <w:kern w:val="0"/>
                <w:sz w:val="18"/>
                <w:szCs w:val="18"/>
              </w:rPr>
              <w:t>气瓶的字样、色环彼此间应避免叠合，不占防震圈的位置</w:t>
            </w:r>
            <w:r>
              <w:rPr>
                <w:rFonts w:hint="eastAsia" w:ascii="宋体" w:hAnsi="宋体" w:cs="Arial"/>
                <w:kern w:val="0"/>
                <w:sz w:val="18"/>
                <w:szCs w:val="18"/>
                <w:lang w:eastAsia="zh-CN"/>
              </w:rPr>
              <w:t>；</w:t>
            </w:r>
          </w:p>
          <w:p w14:paraId="7E03F287">
            <w:pPr>
              <w:numPr>
                <w:ilvl w:val="0"/>
                <w:numId w:val="0"/>
              </w:numPr>
              <w:adjustRightInd/>
              <w:snapToGrid w:val="0"/>
              <w:ind w:leftChars="0"/>
              <w:jc w:val="left"/>
              <w:rPr>
                <w:rFonts w:hint="default" w:ascii="宋体" w:hAnsi="宋体" w:eastAsia="宋体"/>
                <w:sz w:val="18"/>
                <w:szCs w:val="18"/>
                <w:lang w:val="en-US" w:eastAsia="zh-CN"/>
              </w:rPr>
            </w:pPr>
            <w:r>
              <w:rPr>
                <w:rFonts w:hint="eastAsia" w:ascii="宋体" w:hAnsi="宋体"/>
                <w:sz w:val="18"/>
                <w:szCs w:val="18"/>
                <w:lang w:val="en-US" w:eastAsia="zh-CN"/>
              </w:rPr>
              <w:t>e</w:t>
            </w:r>
            <w:r>
              <w:rPr>
                <w:rFonts w:hint="eastAsia" w:ascii="宋体" w:hAnsi="宋体"/>
                <w:sz w:val="18"/>
                <w:szCs w:val="18"/>
              </w:rPr>
              <w:t>）气瓶的瓶帽和保护罩应符合下列要求：</w:t>
            </w:r>
          </w:p>
          <w:p w14:paraId="7BCE1E2C">
            <w:pPr>
              <w:adjustRightInd/>
              <w:snapToGrid w:val="0"/>
              <w:ind w:firstLine="360" w:firstLineChars="200"/>
              <w:jc w:val="left"/>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）公称容积大于等于10 L的钢质焊接气瓶（含溶解乙炔气瓶），应配有不可拆卸的保护罩或者固定式瓶帽；</w:t>
            </w:r>
          </w:p>
          <w:p w14:paraId="1E2B4B77">
            <w:pPr>
              <w:adjustRightInd/>
              <w:snapToGrid w:val="0"/>
              <w:ind w:firstLine="360" w:firstLineChars="200"/>
              <w:jc w:val="left"/>
              <w:rPr>
                <w:rFonts w:ascii="宋体" w:hAnsi="宋体"/>
                <w:sz w:val="18"/>
                <w:szCs w:val="18"/>
              </w:rPr>
            </w:pPr>
            <w:r>
              <w:rPr>
                <w:rFonts w:hint="eastAsia" w:ascii="宋体" w:hAnsi="宋体"/>
                <w:sz w:val="18"/>
                <w:szCs w:val="18"/>
                <w:lang w:val="en-US" w:eastAsia="zh-CN"/>
              </w:rPr>
              <w:t>2</w:t>
            </w:r>
            <w:r>
              <w:rPr>
                <w:rFonts w:hint="eastAsia" w:ascii="宋体" w:hAnsi="宋体"/>
                <w:sz w:val="18"/>
                <w:szCs w:val="18"/>
              </w:rPr>
              <w:t>）瓶帽应有良好的抗撞击性，不应用铸铁制造。</w:t>
            </w:r>
          </w:p>
          <w:p w14:paraId="279E28BC">
            <w:pPr>
              <w:adjustRightInd/>
              <w:snapToGrid w:val="0"/>
              <w:jc w:val="left"/>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）不能靠瓶底直立的气瓶，应配有底座（采用固定支架或者集装框架的气瓶除外）</w:t>
            </w:r>
            <w:r>
              <w:rPr>
                <w:rFonts w:hint="eastAsia" w:ascii="宋体" w:hAnsi="宋体"/>
                <w:sz w:val="18"/>
                <w:szCs w:val="18"/>
                <w:lang w:eastAsia="zh-CN"/>
              </w:rPr>
              <w:t>，使气瓶能够稳定竖立，并且有效防止气瓶底部锈蚀；</w:t>
            </w:r>
          </w:p>
          <w:p w14:paraId="110EEE1A">
            <w:pPr>
              <w:adjustRightInd/>
              <w:snapToGrid w:val="0"/>
              <w:jc w:val="left"/>
              <w:rPr>
                <w:rFonts w:hint="default" w:ascii="宋体" w:hAnsi="宋体" w:eastAsia="宋体"/>
                <w:sz w:val="18"/>
                <w:szCs w:val="18"/>
                <w:lang w:val="en-US" w:eastAsia="zh-CN"/>
              </w:rPr>
            </w:pPr>
            <w:r>
              <w:rPr>
                <w:rFonts w:hint="eastAsia" w:ascii="宋体" w:hAnsi="宋体"/>
                <w:sz w:val="18"/>
                <w:szCs w:val="18"/>
                <w:lang w:val="en-US" w:eastAsia="zh-CN"/>
              </w:rPr>
              <w:t>g</w:t>
            </w:r>
            <w:r>
              <w:rPr>
                <w:rFonts w:hint="eastAsia" w:ascii="宋体" w:hAnsi="宋体"/>
                <w:sz w:val="18"/>
                <w:szCs w:val="18"/>
              </w:rPr>
              <w:t>）气瓶的使用应遵循下列要求：</w:t>
            </w:r>
          </w:p>
          <w:p w14:paraId="67D81CD0">
            <w:pPr>
              <w:adjustRightInd/>
              <w:snapToGrid w:val="0"/>
              <w:ind w:firstLine="360" w:firstLineChars="200"/>
              <w:jc w:val="left"/>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）不应将盛装气体的气瓶置于人员密集或者靠近热源的场所使用，不应使用任何热源对气瓶进行加热；</w:t>
            </w:r>
          </w:p>
          <w:p w14:paraId="190A5335">
            <w:pPr>
              <w:adjustRightInd/>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2</w:t>
            </w:r>
            <w:r>
              <w:rPr>
                <w:rFonts w:hint="eastAsia" w:ascii="宋体" w:hAnsi="宋体"/>
                <w:sz w:val="18"/>
                <w:szCs w:val="18"/>
              </w:rPr>
              <w:t>）在可能造成气体回流的使用场合，设备上应配置防止倒灌的装置，如单向阀、止回阀、 缓冲罐等</w:t>
            </w:r>
            <w:r>
              <w:rPr>
                <w:rFonts w:hint="eastAsia" w:ascii="宋体" w:hAnsi="宋体"/>
                <w:sz w:val="18"/>
                <w:szCs w:val="18"/>
                <w:lang w:eastAsia="zh-CN"/>
              </w:rPr>
              <w:t>；</w:t>
            </w:r>
          </w:p>
          <w:p w14:paraId="23319905">
            <w:pPr>
              <w:adjustRightInd/>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3）</w:t>
            </w:r>
            <w:r>
              <w:rPr>
                <w:rFonts w:hint="eastAsia" w:ascii="宋体" w:hAnsi="宋体"/>
                <w:sz w:val="18"/>
                <w:szCs w:val="18"/>
                <w:lang w:eastAsia="zh-CN"/>
              </w:rPr>
              <w:t>按照相关标准的规定，保持气瓶内具有规定的剩余气体压力或者剩余气体重量；</w:t>
            </w:r>
          </w:p>
          <w:p w14:paraId="1C91D0FD">
            <w:pPr>
              <w:adjustRightInd/>
              <w:snapToGrid w:val="0"/>
              <w:ind w:firstLine="360" w:firstLineChars="200"/>
              <w:jc w:val="left"/>
              <w:rPr>
                <w:rFonts w:hint="eastAsia" w:ascii="宋体" w:hAnsi="宋体" w:eastAsia="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空瓶与实瓶应分开放置，并有明显标志</w:t>
            </w:r>
            <w:r>
              <w:rPr>
                <w:rFonts w:hint="eastAsia" w:ascii="宋体" w:hAnsi="宋体"/>
                <w:sz w:val="18"/>
                <w:szCs w:val="18"/>
                <w:lang w:eastAsia="zh-CN"/>
              </w:rPr>
              <w:t>。</w:t>
            </w:r>
          </w:p>
        </w:tc>
        <w:tc>
          <w:tcPr>
            <w:tcW w:w="580" w:type="dxa"/>
            <w:noWrap w:val="0"/>
            <w:vAlign w:val="center"/>
          </w:tcPr>
          <w:p w14:paraId="074BDBD1">
            <w:pPr>
              <w:widowControl/>
              <w:jc w:val="center"/>
              <w:rPr>
                <w:rFonts w:ascii="宋体" w:hAnsi="宋体"/>
                <w:bCs/>
                <w:sz w:val="18"/>
                <w:szCs w:val="18"/>
              </w:rPr>
            </w:pPr>
          </w:p>
        </w:tc>
        <w:tc>
          <w:tcPr>
            <w:tcW w:w="611" w:type="dxa"/>
            <w:noWrap w:val="0"/>
            <w:vAlign w:val="center"/>
          </w:tcPr>
          <w:p w14:paraId="5E7A2DCB">
            <w:pPr>
              <w:widowControl/>
              <w:jc w:val="center"/>
              <w:rPr>
                <w:rFonts w:ascii="宋体" w:hAnsi="宋体"/>
                <w:bCs/>
                <w:sz w:val="18"/>
                <w:szCs w:val="18"/>
              </w:rPr>
            </w:pPr>
          </w:p>
        </w:tc>
        <w:tc>
          <w:tcPr>
            <w:tcW w:w="626" w:type="dxa"/>
            <w:noWrap w:val="0"/>
            <w:vAlign w:val="center"/>
          </w:tcPr>
          <w:p w14:paraId="484F4C1A">
            <w:pPr>
              <w:widowControl/>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2853" w:type="dxa"/>
            <w:noWrap w:val="0"/>
            <w:vAlign w:val="center"/>
          </w:tcPr>
          <w:p w14:paraId="2E4D7F86">
            <w:pPr>
              <w:widowControl/>
              <w:jc w:val="left"/>
              <w:rPr>
                <w:rFonts w:hint="eastAsia" w:ascii="宋体" w:hAnsi="宋体"/>
                <w:sz w:val="18"/>
                <w:szCs w:val="18"/>
              </w:rPr>
            </w:pPr>
            <w:r>
              <w:rPr>
                <w:rFonts w:hint="eastAsia" w:ascii="宋体" w:hAnsi="宋体"/>
                <w:sz w:val="18"/>
                <w:szCs w:val="18"/>
              </w:rPr>
              <w:t>一处不符合扣1分。</w:t>
            </w:r>
          </w:p>
        </w:tc>
        <w:tc>
          <w:tcPr>
            <w:tcW w:w="629" w:type="dxa"/>
            <w:noWrap w:val="0"/>
            <w:vAlign w:val="center"/>
          </w:tcPr>
          <w:p w14:paraId="0C12C043">
            <w:pPr>
              <w:adjustRightInd w:val="0"/>
              <w:snapToGrid w:val="0"/>
              <w:jc w:val="center"/>
              <w:rPr>
                <w:rFonts w:hint="eastAsia" w:ascii="宋体" w:hAnsi="宋体"/>
                <w:sz w:val="18"/>
                <w:szCs w:val="18"/>
              </w:rPr>
            </w:pPr>
          </w:p>
        </w:tc>
        <w:tc>
          <w:tcPr>
            <w:tcW w:w="1505" w:type="dxa"/>
            <w:noWrap w:val="0"/>
            <w:vAlign w:val="center"/>
          </w:tcPr>
          <w:p w14:paraId="12F8B7C7">
            <w:pPr>
              <w:adjustRightInd w:val="0"/>
              <w:snapToGrid w:val="0"/>
              <w:jc w:val="center"/>
              <w:rPr>
                <w:rFonts w:hint="eastAsia" w:ascii="宋体" w:hAnsi="宋体"/>
                <w:sz w:val="18"/>
                <w:szCs w:val="18"/>
              </w:rPr>
            </w:pPr>
          </w:p>
        </w:tc>
        <w:tc>
          <w:tcPr>
            <w:tcW w:w="1351" w:type="dxa"/>
            <w:noWrap w:val="0"/>
            <w:vAlign w:val="center"/>
          </w:tcPr>
          <w:p w14:paraId="7E586C40">
            <w:pPr>
              <w:jc w:val="center"/>
            </w:pPr>
            <w:r>
              <w:rPr>
                <w:rFonts w:hint="eastAsia" w:ascii="宋体" w:hAnsi="宋体"/>
                <w:sz w:val="18"/>
                <w:szCs w:val="18"/>
                <w:lang w:eastAsia="zh-CN"/>
              </w:rPr>
              <w:t>4.4</w:t>
            </w:r>
            <w:r>
              <w:rPr>
                <w:rFonts w:hint="eastAsia" w:ascii="宋体" w:hAnsi="宋体"/>
                <w:sz w:val="18"/>
                <w:szCs w:val="18"/>
              </w:rPr>
              <w:t>.1</w:t>
            </w:r>
          </w:p>
        </w:tc>
      </w:tr>
      <w:tr w14:paraId="29C53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4" w:type="dxa"/>
            <w:shd w:val="clear"/>
            <w:noWrap w:val="0"/>
            <w:vAlign w:val="center"/>
          </w:tcPr>
          <w:p w14:paraId="758524E7">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ascii="宋体" w:hAnsi="宋体"/>
                <w:sz w:val="18"/>
                <w:szCs w:val="18"/>
              </w:rPr>
              <w:t>.</w:t>
            </w:r>
            <w:r>
              <w:rPr>
                <w:rFonts w:hint="eastAsia" w:ascii="宋体" w:hAnsi="宋体"/>
                <w:sz w:val="18"/>
                <w:szCs w:val="18"/>
              </w:rPr>
              <w:t>4</w:t>
            </w:r>
          </w:p>
        </w:tc>
        <w:tc>
          <w:tcPr>
            <w:tcW w:w="6144" w:type="dxa"/>
            <w:shd w:val="clear"/>
            <w:noWrap w:val="0"/>
            <w:vAlign w:val="center"/>
          </w:tcPr>
          <w:p w14:paraId="55A2A646">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压力管道</w:t>
            </w:r>
          </w:p>
        </w:tc>
        <w:tc>
          <w:tcPr>
            <w:tcW w:w="580" w:type="dxa"/>
            <w:shd w:val="clear"/>
            <w:noWrap w:val="0"/>
            <w:vAlign w:val="center"/>
          </w:tcPr>
          <w:p w14:paraId="7DEFDC27">
            <w:pPr>
              <w:adjustRightInd w:val="0"/>
              <w:snapToGrid w:val="0"/>
              <w:rPr>
                <w:rFonts w:ascii="宋体" w:hAnsi="宋体" w:eastAsia="宋体" w:cs="Times New Roman"/>
                <w:kern w:val="2"/>
                <w:sz w:val="18"/>
                <w:szCs w:val="18"/>
                <w:lang w:val="en-US" w:eastAsia="zh-CN" w:bidi="ar-SA"/>
              </w:rPr>
            </w:pPr>
          </w:p>
        </w:tc>
        <w:tc>
          <w:tcPr>
            <w:tcW w:w="611" w:type="dxa"/>
            <w:shd w:val="clear"/>
            <w:noWrap w:val="0"/>
            <w:vAlign w:val="center"/>
          </w:tcPr>
          <w:p w14:paraId="1804D4E9">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626" w:type="dxa"/>
            <w:shd w:val="clear"/>
            <w:noWrap w:val="0"/>
            <w:vAlign w:val="center"/>
          </w:tcPr>
          <w:p w14:paraId="293ECE05">
            <w:pPr>
              <w:adjustRightInd w:val="0"/>
              <w:snapToGrid w:val="0"/>
              <w:jc w:val="center"/>
              <w:rPr>
                <w:rFonts w:hint="eastAsia" w:ascii="宋体" w:hAnsi="宋体" w:eastAsia="宋体" w:cs="Times New Roman"/>
                <w:kern w:val="2"/>
                <w:sz w:val="18"/>
                <w:szCs w:val="18"/>
                <w:lang w:val="en-US" w:eastAsia="zh-CN" w:bidi="ar-SA"/>
              </w:rPr>
            </w:pPr>
          </w:p>
        </w:tc>
        <w:tc>
          <w:tcPr>
            <w:tcW w:w="2853" w:type="dxa"/>
            <w:shd w:val="clear"/>
            <w:noWrap w:val="0"/>
            <w:vAlign w:val="center"/>
          </w:tcPr>
          <w:p w14:paraId="601DD562">
            <w:pPr>
              <w:adjustRightInd w:val="0"/>
              <w:snapToGrid w:val="0"/>
              <w:rPr>
                <w:rFonts w:hint="eastAsia" w:ascii="宋体" w:hAnsi="宋体" w:eastAsia="宋体" w:cs="Times New Roman"/>
                <w:kern w:val="2"/>
                <w:sz w:val="18"/>
                <w:szCs w:val="18"/>
                <w:lang w:val="en-US" w:eastAsia="zh-CN" w:bidi="ar-SA"/>
              </w:rPr>
            </w:pPr>
          </w:p>
        </w:tc>
        <w:tc>
          <w:tcPr>
            <w:tcW w:w="629" w:type="dxa"/>
            <w:shd w:val="clear"/>
            <w:noWrap w:val="0"/>
            <w:vAlign w:val="top"/>
          </w:tcPr>
          <w:p w14:paraId="388D3024">
            <w:pPr>
              <w:adjustRightInd w:val="0"/>
              <w:snapToGrid w:val="0"/>
              <w:rPr>
                <w:rFonts w:hint="eastAsia" w:ascii="宋体" w:hAnsi="宋体" w:eastAsia="宋体" w:cs="Times New Roman"/>
                <w:kern w:val="2"/>
                <w:sz w:val="18"/>
                <w:szCs w:val="18"/>
                <w:lang w:val="en-US" w:eastAsia="zh-CN" w:bidi="ar-SA"/>
              </w:rPr>
            </w:pPr>
          </w:p>
        </w:tc>
        <w:tc>
          <w:tcPr>
            <w:tcW w:w="1505" w:type="dxa"/>
            <w:shd w:val="clear"/>
            <w:noWrap w:val="0"/>
            <w:vAlign w:val="top"/>
          </w:tcPr>
          <w:p w14:paraId="3BADCA44">
            <w:pPr>
              <w:adjustRightInd w:val="0"/>
              <w:snapToGrid w:val="0"/>
              <w:rPr>
                <w:rFonts w:hint="eastAsia" w:ascii="宋体" w:hAnsi="宋体" w:eastAsia="宋体" w:cs="Times New Roman"/>
                <w:kern w:val="2"/>
                <w:sz w:val="18"/>
                <w:szCs w:val="18"/>
                <w:lang w:val="en-US" w:eastAsia="zh-CN" w:bidi="ar-SA"/>
              </w:rPr>
            </w:pPr>
          </w:p>
        </w:tc>
        <w:tc>
          <w:tcPr>
            <w:tcW w:w="1351" w:type="dxa"/>
            <w:shd w:val="clear"/>
            <w:noWrap w:val="0"/>
            <w:vAlign w:val="center"/>
          </w:tcPr>
          <w:p w14:paraId="13974F64">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r w14:paraId="4C059D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4" w:type="dxa"/>
            <w:shd w:val="clear"/>
            <w:noWrap w:val="0"/>
            <w:vAlign w:val="center"/>
          </w:tcPr>
          <w:p w14:paraId="77818918">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ascii="宋体" w:hAnsi="宋体"/>
                <w:sz w:val="18"/>
                <w:szCs w:val="18"/>
              </w:rPr>
              <w:t>.4.</w:t>
            </w:r>
            <w:r>
              <w:rPr>
                <w:rFonts w:hint="eastAsia" w:ascii="宋体" w:hAnsi="宋体"/>
                <w:sz w:val="18"/>
                <w:szCs w:val="18"/>
              </w:rPr>
              <w:t>1</w:t>
            </w:r>
          </w:p>
        </w:tc>
        <w:tc>
          <w:tcPr>
            <w:tcW w:w="6144" w:type="dxa"/>
            <w:shd w:val="clear"/>
            <w:noWrap w:val="0"/>
            <w:vAlign w:val="center"/>
          </w:tcPr>
          <w:p w14:paraId="0C395E12">
            <w:pPr>
              <w:adjustRightInd w:val="0"/>
              <w:snapToGrid w:val="0"/>
              <w:spacing w:line="240" w:lineRule="atLeast"/>
              <w:rPr>
                <w:rFonts w:hint="eastAsia" w:ascii="宋体" w:hAnsi="宋体"/>
                <w:sz w:val="18"/>
                <w:szCs w:val="18"/>
                <w:lang w:val="en-US" w:eastAsia="zh-CN"/>
              </w:rPr>
            </w:pPr>
            <w:r>
              <w:rPr>
                <w:rFonts w:hint="eastAsia" w:ascii="宋体" w:hAnsi="宋体"/>
                <w:sz w:val="18"/>
                <w:szCs w:val="18"/>
                <w:lang w:val="en-US" w:eastAsia="zh-CN"/>
              </w:rPr>
              <w:t>管道应符合下列要求：</w:t>
            </w:r>
          </w:p>
          <w:p w14:paraId="213F6422">
            <w:pPr>
              <w:adjustRightInd w:val="0"/>
              <w:snapToGrid w:val="0"/>
              <w:spacing w:line="240" w:lineRule="atLeast"/>
              <w:rPr>
                <w:rFonts w:hint="eastAsia" w:ascii="宋体" w:hAnsi="宋体"/>
                <w:sz w:val="18"/>
                <w:szCs w:val="18"/>
              </w:rPr>
            </w:pPr>
            <w:r>
              <w:rPr>
                <w:rFonts w:hint="eastAsia" w:ascii="宋体" w:hAnsi="宋体"/>
                <w:sz w:val="18"/>
                <w:szCs w:val="18"/>
              </w:rPr>
              <w:t>a）管道外观完好，无锈蚀、泄漏</w:t>
            </w:r>
            <w:r>
              <w:rPr>
                <w:rFonts w:hint="eastAsia" w:ascii="宋体" w:hAnsi="宋体"/>
                <w:sz w:val="18"/>
                <w:szCs w:val="18"/>
                <w:lang w:eastAsia="zh-CN"/>
              </w:rPr>
              <w:t>；</w:t>
            </w:r>
          </w:p>
          <w:p w14:paraId="7E46DA4E">
            <w:pPr>
              <w:adjustRightInd w:val="0"/>
              <w:snapToGrid w:val="0"/>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）各类管道的基本识别色</w:t>
            </w:r>
            <w:r>
              <w:rPr>
                <w:rFonts w:hint="eastAsia" w:ascii="宋体" w:hAnsi="宋体"/>
                <w:sz w:val="18"/>
                <w:szCs w:val="18"/>
                <w:lang w:eastAsia="zh-CN"/>
              </w:rPr>
              <w:t>，</w:t>
            </w:r>
            <w:r>
              <w:rPr>
                <w:rFonts w:hint="eastAsia" w:ascii="宋体" w:hAnsi="宋体"/>
                <w:sz w:val="18"/>
                <w:szCs w:val="18"/>
              </w:rPr>
              <w:t>水</w:t>
            </w:r>
            <w:r>
              <w:rPr>
                <w:rFonts w:hint="eastAsia" w:ascii="宋体" w:hAnsi="宋体"/>
                <w:sz w:val="18"/>
                <w:szCs w:val="18"/>
                <w:lang w:val="en-US" w:eastAsia="zh-CN"/>
              </w:rPr>
              <w:t>是</w:t>
            </w:r>
            <w:r>
              <w:rPr>
                <w:rFonts w:hint="eastAsia" w:ascii="宋体" w:hAnsi="宋体"/>
                <w:sz w:val="18"/>
                <w:szCs w:val="18"/>
              </w:rPr>
              <w:t>艳绿</w:t>
            </w:r>
            <w:r>
              <w:rPr>
                <w:rFonts w:hint="eastAsia" w:ascii="宋体" w:hAnsi="宋体"/>
                <w:sz w:val="18"/>
                <w:szCs w:val="18"/>
                <w:lang w:val="en-US" w:eastAsia="zh-CN"/>
              </w:rPr>
              <w:t>色，</w:t>
            </w:r>
            <w:r>
              <w:rPr>
                <w:rFonts w:hint="eastAsia" w:ascii="宋体" w:hAnsi="宋体"/>
                <w:sz w:val="18"/>
                <w:szCs w:val="18"/>
              </w:rPr>
              <w:t>水蒸气</w:t>
            </w:r>
            <w:r>
              <w:rPr>
                <w:rFonts w:hint="eastAsia" w:ascii="宋体" w:hAnsi="宋体"/>
                <w:sz w:val="18"/>
                <w:szCs w:val="18"/>
                <w:lang w:val="en-US" w:eastAsia="zh-CN"/>
              </w:rPr>
              <w:t>是</w:t>
            </w:r>
            <w:r>
              <w:rPr>
                <w:rFonts w:hint="eastAsia" w:ascii="宋体" w:hAnsi="宋体"/>
                <w:sz w:val="18"/>
                <w:szCs w:val="18"/>
              </w:rPr>
              <w:t>大红</w:t>
            </w:r>
            <w:r>
              <w:rPr>
                <w:rFonts w:hint="eastAsia" w:ascii="宋体" w:hAnsi="宋体"/>
                <w:sz w:val="18"/>
                <w:szCs w:val="18"/>
                <w:lang w:val="en-US" w:eastAsia="zh-CN"/>
              </w:rPr>
              <w:t>色，</w:t>
            </w:r>
            <w:r>
              <w:rPr>
                <w:rFonts w:hint="eastAsia" w:ascii="宋体" w:hAnsi="宋体"/>
                <w:sz w:val="18"/>
                <w:szCs w:val="18"/>
              </w:rPr>
              <w:t>空气</w:t>
            </w:r>
            <w:r>
              <w:rPr>
                <w:rFonts w:hint="eastAsia" w:ascii="宋体" w:hAnsi="宋体"/>
                <w:sz w:val="18"/>
                <w:szCs w:val="18"/>
                <w:lang w:val="en-US" w:eastAsia="zh-CN"/>
              </w:rPr>
              <w:t>是</w:t>
            </w:r>
            <w:r>
              <w:rPr>
                <w:rFonts w:hint="eastAsia" w:ascii="宋体" w:hAnsi="宋体"/>
                <w:sz w:val="18"/>
                <w:szCs w:val="18"/>
              </w:rPr>
              <w:t>淡灰</w:t>
            </w:r>
            <w:r>
              <w:rPr>
                <w:rFonts w:hint="eastAsia" w:ascii="宋体" w:hAnsi="宋体"/>
                <w:sz w:val="18"/>
                <w:szCs w:val="18"/>
                <w:lang w:val="en-US" w:eastAsia="zh-CN"/>
              </w:rPr>
              <w:t>色，气体是中黄色；</w:t>
            </w:r>
          </w:p>
          <w:p w14:paraId="711B8A11">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）工业管道的基本识别色</w:t>
            </w:r>
            <w:r>
              <w:rPr>
                <w:rFonts w:hint="eastAsia" w:ascii="宋体" w:hAnsi="宋体"/>
                <w:sz w:val="18"/>
                <w:szCs w:val="18"/>
                <w:lang w:eastAsia="zh-CN"/>
              </w:rPr>
              <w:t>标志</w:t>
            </w:r>
            <w:r>
              <w:rPr>
                <w:rFonts w:hint="eastAsia" w:ascii="宋体" w:hAnsi="宋体"/>
                <w:sz w:val="18"/>
                <w:szCs w:val="18"/>
              </w:rPr>
              <w:t>方法，应从下列五种方法中选择：</w:t>
            </w:r>
          </w:p>
          <w:p w14:paraId="69DB1351">
            <w:pPr>
              <w:adjustRightInd w:val="0"/>
              <w:snapToGrid w:val="0"/>
              <w:ind w:firstLine="360" w:firstLineChars="200"/>
              <w:rPr>
                <w:rFonts w:hint="eastAsia" w:ascii="宋体" w:hAnsi="宋体"/>
                <w:sz w:val="18"/>
                <w:szCs w:val="18"/>
              </w:rPr>
            </w:pPr>
            <w:r>
              <w:rPr>
                <w:rFonts w:hint="eastAsia" w:ascii="宋体" w:hAnsi="宋体"/>
                <w:sz w:val="18"/>
                <w:szCs w:val="18"/>
              </w:rPr>
              <w:t>1）管道全长上标识；</w:t>
            </w:r>
          </w:p>
          <w:p w14:paraId="03D883EC">
            <w:pPr>
              <w:adjustRightInd w:val="0"/>
              <w:snapToGrid w:val="0"/>
              <w:ind w:firstLine="360" w:firstLineChars="200"/>
              <w:rPr>
                <w:rFonts w:hint="eastAsia" w:ascii="宋体" w:hAnsi="宋体"/>
                <w:sz w:val="18"/>
                <w:szCs w:val="18"/>
              </w:rPr>
            </w:pPr>
            <w:r>
              <w:rPr>
                <w:rFonts w:hint="eastAsia" w:ascii="宋体" w:hAnsi="宋体"/>
                <w:sz w:val="18"/>
                <w:szCs w:val="18"/>
              </w:rPr>
              <w:t>2）在管道上以宽为150 mm 的色环标识；</w:t>
            </w:r>
          </w:p>
          <w:p w14:paraId="4DF1E163">
            <w:pPr>
              <w:adjustRightInd w:val="0"/>
              <w:snapToGrid w:val="0"/>
              <w:ind w:firstLine="360" w:firstLineChars="200"/>
              <w:rPr>
                <w:rFonts w:hint="eastAsia" w:ascii="宋体" w:hAnsi="宋体"/>
                <w:sz w:val="18"/>
                <w:szCs w:val="18"/>
              </w:rPr>
            </w:pPr>
            <w:r>
              <w:rPr>
                <w:rFonts w:hint="eastAsia" w:ascii="宋体" w:hAnsi="宋体"/>
                <w:sz w:val="18"/>
                <w:szCs w:val="18"/>
              </w:rPr>
              <w:t>3）在管道上以长方形的识别色标牌标识；</w:t>
            </w:r>
          </w:p>
          <w:p w14:paraId="6CB4780E">
            <w:pPr>
              <w:adjustRightInd w:val="0"/>
              <w:snapToGrid w:val="0"/>
              <w:ind w:firstLine="360" w:firstLineChars="200"/>
              <w:rPr>
                <w:rFonts w:hint="eastAsia" w:ascii="宋体" w:hAnsi="宋体" w:eastAsia="宋体" w:cs="Times New Roman"/>
                <w:kern w:val="2"/>
                <w:sz w:val="18"/>
                <w:szCs w:val="18"/>
                <w:lang w:val="en-US" w:eastAsia="zh-CN" w:bidi="ar-SA"/>
              </w:rPr>
            </w:pPr>
            <w:r>
              <w:rPr>
                <w:rFonts w:hint="eastAsia" w:ascii="宋体" w:hAnsi="宋体"/>
                <w:sz w:val="18"/>
                <w:szCs w:val="18"/>
              </w:rPr>
              <w:t>4）在管道上以带箭头的长方形识别色标牌标识；</w:t>
            </w:r>
          </w:p>
        </w:tc>
        <w:tc>
          <w:tcPr>
            <w:tcW w:w="580" w:type="dxa"/>
            <w:shd w:val="clear"/>
            <w:noWrap w:val="0"/>
            <w:vAlign w:val="center"/>
          </w:tcPr>
          <w:p w14:paraId="3E163EBF">
            <w:pPr>
              <w:adjustRightInd w:val="0"/>
              <w:snapToGrid w:val="0"/>
              <w:rPr>
                <w:rFonts w:ascii="宋体" w:hAnsi="宋体" w:eastAsia="宋体" w:cs="Times New Roman"/>
                <w:kern w:val="2"/>
                <w:sz w:val="18"/>
                <w:szCs w:val="18"/>
                <w:lang w:val="en-US" w:eastAsia="zh-CN" w:bidi="ar-SA"/>
              </w:rPr>
            </w:pPr>
          </w:p>
        </w:tc>
        <w:tc>
          <w:tcPr>
            <w:tcW w:w="611" w:type="dxa"/>
            <w:shd w:val="clear"/>
            <w:noWrap w:val="0"/>
            <w:vAlign w:val="center"/>
          </w:tcPr>
          <w:p w14:paraId="73F97C8B">
            <w:pPr>
              <w:adjustRightInd w:val="0"/>
              <w:snapToGrid w:val="0"/>
              <w:jc w:val="center"/>
              <w:rPr>
                <w:rFonts w:ascii="宋体" w:hAnsi="宋体" w:eastAsia="宋体" w:cs="Times New Roman"/>
                <w:kern w:val="2"/>
                <w:sz w:val="18"/>
                <w:szCs w:val="18"/>
                <w:lang w:val="en-US" w:eastAsia="zh-CN" w:bidi="ar-SA"/>
              </w:rPr>
            </w:pPr>
          </w:p>
        </w:tc>
        <w:tc>
          <w:tcPr>
            <w:tcW w:w="626" w:type="dxa"/>
            <w:shd w:val="clear"/>
            <w:noWrap w:val="0"/>
            <w:vAlign w:val="center"/>
          </w:tcPr>
          <w:p w14:paraId="45D23DBE">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2853" w:type="dxa"/>
            <w:shd w:val="clear"/>
            <w:noWrap w:val="0"/>
            <w:vAlign w:val="center"/>
          </w:tcPr>
          <w:p w14:paraId="04D0CBC3">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629" w:type="dxa"/>
            <w:shd w:val="clear"/>
            <w:noWrap w:val="0"/>
            <w:vAlign w:val="top"/>
          </w:tcPr>
          <w:p w14:paraId="3621FB07">
            <w:pPr>
              <w:adjustRightInd w:val="0"/>
              <w:snapToGrid w:val="0"/>
              <w:rPr>
                <w:rFonts w:hint="eastAsia" w:ascii="宋体" w:hAnsi="宋体" w:eastAsia="宋体" w:cs="Times New Roman"/>
                <w:kern w:val="2"/>
                <w:sz w:val="18"/>
                <w:szCs w:val="18"/>
                <w:lang w:val="en-US" w:eastAsia="zh-CN" w:bidi="ar-SA"/>
              </w:rPr>
            </w:pPr>
          </w:p>
        </w:tc>
        <w:tc>
          <w:tcPr>
            <w:tcW w:w="1505" w:type="dxa"/>
            <w:shd w:val="clear"/>
            <w:noWrap w:val="0"/>
            <w:vAlign w:val="top"/>
          </w:tcPr>
          <w:p w14:paraId="3D175DF5">
            <w:pPr>
              <w:adjustRightInd w:val="0"/>
              <w:snapToGrid w:val="0"/>
              <w:rPr>
                <w:rFonts w:hint="eastAsia" w:ascii="宋体" w:hAnsi="宋体" w:eastAsia="宋体" w:cs="Times New Roman"/>
                <w:kern w:val="2"/>
                <w:sz w:val="18"/>
                <w:szCs w:val="18"/>
                <w:lang w:val="en-US" w:eastAsia="zh-CN" w:bidi="ar-SA"/>
              </w:rPr>
            </w:pPr>
          </w:p>
        </w:tc>
        <w:tc>
          <w:tcPr>
            <w:tcW w:w="1351" w:type="dxa"/>
            <w:shd w:val="clear"/>
            <w:noWrap w:val="0"/>
            <w:vAlign w:val="center"/>
          </w:tcPr>
          <w:p w14:paraId="2639607B">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bl>
    <w:p w14:paraId="3661BF2B">
      <w:pPr>
        <w:pStyle w:val="168"/>
        <w:widowControl/>
        <w:numPr>
          <w:ilvl w:val="0"/>
          <w:numId w:val="0"/>
        </w:numPr>
        <w:spacing w:before="156" w:after="156"/>
        <w:ind w:left="567" w:hanging="567"/>
      </w:pPr>
      <w:r>
        <w:br w:type="page"/>
      </w: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6304"/>
        <w:gridCol w:w="586"/>
        <w:gridCol w:w="672"/>
        <w:gridCol w:w="676"/>
        <w:gridCol w:w="2582"/>
        <w:gridCol w:w="657"/>
        <w:gridCol w:w="1563"/>
        <w:gridCol w:w="1354"/>
      </w:tblGrid>
      <w:tr w14:paraId="2A14D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F729CDD">
            <w:pPr>
              <w:adjustRightInd w:val="0"/>
              <w:snapToGrid w:val="0"/>
              <w:jc w:val="center"/>
              <w:rPr>
                <w:rFonts w:ascii="宋体" w:hAnsi="宋体"/>
                <w:sz w:val="18"/>
                <w:szCs w:val="18"/>
              </w:rPr>
            </w:pPr>
            <w:r>
              <w:rPr>
                <w:rFonts w:ascii="宋体" w:hAnsi="宋体"/>
                <w:sz w:val="18"/>
                <w:szCs w:val="18"/>
              </w:rPr>
              <w:t>序号</w:t>
            </w:r>
          </w:p>
        </w:tc>
        <w:tc>
          <w:tcPr>
            <w:tcW w:w="6304" w:type="dxa"/>
            <w:noWrap w:val="0"/>
            <w:vAlign w:val="center"/>
          </w:tcPr>
          <w:p w14:paraId="6324A43A">
            <w:pPr>
              <w:adjustRightInd w:val="0"/>
              <w:snapToGrid w:val="0"/>
              <w:jc w:val="center"/>
              <w:rPr>
                <w:rFonts w:ascii="宋体" w:hAnsi="宋体"/>
                <w:sz w:val="18"/>
                <w:szCs w:val="18"/>
              </w:rPr>
            </w:pPr>
            <w:r>
              <w:rPr>
                <w:rFonts w:hint="eastAsia" w:ascii="宋体" w:hAnsi="宋体"/>
                <w:sz w:val="18"/>
                <w:szCs w:val="18"/>
              </w:rPr>
              <w:t>评定内容</w:t>
            </w:r>
          </w:p>
        </w:tc>
        <w:tc>
          <w:tcPr>
            <w:tcW w:w="586" w:type="dxa"/>
            <w:noWrap w:val="0"/>
            <w:vAlign w:val="center"/>
          </w:tcPr>
          <w:p w14:paraId="7B700C1F">
            <w:pPr>
              <w:adjustRightInd w:val="0"/>
              <w:snapToGrid w:val="0"/>
              <w:jc w:val="center"/>
              <w:rPr>
                <w:rFonts w:ascii="宋体" w:hAnsi="宋体"/>
                <w:sz w:val="18"/>
                <w:szCs w:val="18"/>
              </w:rPr>
            </w:pPr>
            <w:r>
              <w:rPr>
                <w:rFonts w:hint="eastAsia" w:ascii="宋体" w:hAnsi="宋体"/>
                <w:sz w:val="18"/>
                <w:szCs w:val="18"/>
              </w:rPr>
              <w:t>评定要素分值</w:t>
            </w:r>
          </w:p>
        </w:tc>
        <w:tc>
          <w:tcPr>
            <w:tcW w:w="672" w:type="dxa"/>
            <w:noWrap w:val="0"/>
            <w:vAlign w:val="center"/>
          </w:tcPr>
          <w:p w14:paraId="513673BD">
            <w:pPr>
              <w:adjustRightInd w:val="0"/>
              <w:snapToGrid w:val="0"/>
              <w:jc w:val="center"/>
              <w:rPr>
                <w:rFonts w:ascii="宋体" w:hAnsi="宋体"/>
                <w:sz w:val="18"/>
                <w:szCs w:val="18"/>
              </w:rPr>
            </w:pPr>
            <w:r>
              <w:rPr>
                <w:rFonts w:hint="eastAsia" w:ascii="宋体" w:hAnsi="宋体"/>
                <w:sz w:val="18"/>
                <w:szCs w:val="18"/>
              </w:rPr>
              <w:t>评定细项分值</w:t>
            </w:r>
          </w:p>
        </w:tc>
        <w:tc>
          <w:tcPr>
            <w:tcW w:w="676" w:type="dxa"/>
            <w:noWrap w:val="0"/>
            <w:vAlign w:val="center"/>
          </w:tcPr>
          <w:p w14:paraId="241A6A94">
            <w:pPr>
              <w:adjustRightInd w:val="0"/>
              <w:snapToGrid w:val="0"/>
              <w:jc w:val="center"/>
              <w:rPr>
                <w:rFonts w:ascii="宋体" w:hAnsi="宋体"/>
                <w:sz w:val="18"/>
                <w:szCs w:val="18"/>
              </w:rPr>
            </w:pPr>
            <w:r>
              <w:rPr>
                <w:rFonts w:hint="eastAsia" w:ascii="宋体" w:hAnsi="宋体"/>
                <w:sz w:val="18"/>
                <w:szCs w:val="18"/>
              </w:rPr>
              <w:t>评定条款分值</w:t>
            </w:r>
          </w:p>
        </w:tc>
        <w:tc>
          <w:tcPr>
            <w:tcW w:w="2582" w:type="dxa"/>
            <w:noWrap w:val="0"/>
            <w:vAlign w:val="center"/>
          </w:tcPr>
          <w:p w14:paraId="6FAADFCC">
            <w:pPr>
              <w:adjustRightInd w:val="0"/>
              <w:snapToGrid w:val="0"/>
              <w:jc w:val="center"/>
              <w:rPr>
                <w:rFonts w:ascii="宋体" w:hAnsi="宋体"/>
                <w:sz w:val="18"/>
                <w:szCs w:val="18"/>
              </w:rPr>
            </w:pPr>
            <w:r>
              <w:rPr>
                <w:rFonts w:hint="eastAsia" w:ascii="宋体" w:hAnsi="宋体"/>
                <w:sz w:val="18"/>
                <w:szCs w:val="18"/>
              </w:rPr>
              <w:t>评分标准</w:t>
            </w:r>
          </w:p>
        </w:tc>
        <w:tc>
          <w:tcPr>
            <w:tcW w:w="657" w:type="dxa"/>
            <w:noWrap w:val="0"/>
            <w:vAlign w:val="center"/>
          </w:tcPr>
          <w:p w14:paraId="350BDCC7">
            <w:pPr>
              <w:adjustRightInd w:val="0"/>
              <w:snapToGrid w:val="0"/>
              <w:jc w:val="center"/>
              <w:rPr>
                <w:rFonts w:ascii="宋体" w:hAnsi="宋体"/>
                <w:sz w:val="18"/>
                <w:szCs w:val="18"/>
              </w:rPr>
            </w:pPr>
            <w:r>
              <w:rPr>
                <w:rFonts w:hint="eastAsia" w:ascii="宋体" w:hAnsi="宋体"/>
                <w:sz w:val="18"/>
                <w:szCs w:val="18"/>
              </w:rPr>
              <w:t>评定得分</w:t>
            </w:r>
          </w:p>
        </w:tc>
        <w:tc>
          <w:tcPr>
            <w:tcW w:w="1563" w:type="dxa"/>
            <w:noWrap w:val="0"/>
            <w:vAlign w:val="center"/>
          </w:tcPr>
          <w:p w14:paraId="5F522C39">
            <w:pPr>
              <w:adjustRightInd w:val="0"/>
              <w:snapToGrid w:val="0"/>
              <w:jc w:val="center"/>
              <w:rPr>
                <w:rFonts w:ascii="宋体" w:hAnsi="宋体"/>
                <w:sz w:val="18"/>
                <w:szCs w:val="18"/>
              </w:rPr>
            </w:pPr>
            <w:r>
              <w:rPr>
                <w:rFonts w:hint="eastAsia" w:ascii="宋体" w:hAnsi="宋体"/>
                <w:sz w:val="18"/>
                <w:szCs w:val="18"/>
              </w:rPr>
              <w:t>扣分说明</w:t>
            </w:r>
          </w:p>
        </w:tc>
        <w:tc>
          <w:tcPr>
            <w:tcW w:w="1354" w:type="dxa"/>
            <w:noWrap w:val="0"/>
            <w:vAlign w:val="center"/>
          </w:tcPr>
          <w:p w14:paraId="7D271C9E">
            <w:pPr>
              <w:adjustRightInd w:val="0"/>
              <w:snapToGrid w:val="0"/>
              <w:jc w:val="center"/>
              <w:rPr>
                <w:rFonts w:ascii="宋体" w:hAnsi="宋体"/>
                <w:sz w:val="18"/>
                <w:szCs w:val="18"/>
              </w:rPr>
            </w:pPr>
            <w:r>
              <w:rPr>
                <w:rFonts w:hint="eastAsia" w:ascii="宋体" w:hAnsi="宋体"/>
                <w:sz w:val="18"/>
                <w:szCs w:val="18"/>
              </w:rPr>
              <w:t>对应条款编号</w:t>
            </w:r>
          </w:p>
        </w:tc>
      </w:tr>
      <w:tr w14:paraId="2E615D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78818A0E">
            <w:pPr>
              <w:adjustRightInd w:val="0"/>
              <w:snapToGrid w:val="0"/>
              <w:jc w:val="center"/>
              <w:rPr>
                <w:rFonts w:ascii="宋体" w:hAnsi="宋体"/>
                <w:sz w:val="18"/>
                <w:szCs w:val="18"/>
              </w:rPr>
            </w:pPr>
          </w:p>
        </w:tc>
        <w:tc>
          <w:tcPr>
            <w:tcW w:w="6304" w:type="dxa"/>
            <w:noWrap w:val="0"/>
            <w:vAlign w:val="center"/>
          </w:tcPr>
          <w:p w14:paraId="32728A1D">
            <w:pPr>
              <w:adjustRightInd w:val="0"/>
              <w:snapToGrid w:val="0"/>
              <w:ind w:firstLine="360" w:firstLineChars="200"/>
              <w:rPr>
                <w:rFonts w:hint="eastAsia" w:ascii="宋体" w:hAnsi="宋体"/>
                <w:sz w:val="18"/>
                <w:szCs w:val="18"/>
              </w:rPr>
            </w:pPr>
            <w:r>
              <w:rPr>
                <w:rFonts w:hint="eastAsia" w:ascii="宋体" w:hAnsi="宋体"/>
                <w:sz w:val="18"/>
                <w:szCs w:val="18"/>
              </w:rPr>
              <w:t>5）在管道上以系挂的识别色标牌标识。</w:t>
            </w:r>
          </w:p>
          <w:p w14:paraId="30383AD8">
            <w:pPr>
              <w:adjustRightInd w:val="0"/>
              <w:snapToGrid w:val="0"/>
              <w:rPr>
                <w:rFonts w:hint="eastAsia" w:ascii="宋体" w:hAnsi="宋体" w:eastAsia="宋体"/>
                <w:sz w:val="18"/>
                <w:szCs w:val="18"/>
                <w:lang w:eastAsia="zh-CN"/>
              </w:rPr>
            </w:pPr>
            <w:r>
              <w:rPr>
                <w:rFonts w:hint="eastAsia" w:ascii="宋体" w:hAnsi="宋体"/>
                <w:sz w:val="18"/>
                <w:szCs w:val="18"/>
                <w:lang w:val="en-US" w:eastAsia="zh-CN"/>
              </w:rPr>
              <w:t>d</w:t>
            </w:r>
            <w:r>
              <w:rPr>
                <w:rFonts w:hint="eastAsia" w:ascii="宋体" w:hAnsi="宋体"/>
                <w:sz w:val="18"/>
                <w:szCs w:val="18"/>
              </w:rPr>
              <w:t>）工业管道的识别符号应由物质名称、流向和主要工艺参数等组成</w:t>
            </w:r>
            <w:r>
              <w:rPr>
                <w:rFonts w:hint="eastAsia" w:ascii="宋体" w:hAnsi="宋体"/>
                <w:sz w:val="18"/>
                <w:szCs w:val="18"/>
                <w:lang w:eastAsia="zh-CN"/>
              </w:rPr>
              <w:t>，</w:t>
            </w:r>
            <w:r>
              <w:rPr>
                <w:rFonts w:hint="eastAsia" w:ascii="宋体" w:hAnsi="宋体"/>
                <w:sz w:val="18"/>
                <w:szCs w:val="18"/>
              </w:rPr>
              <w:t>消防专用管道应在管道上标识“消防专用”识别符号</w:t>
            </w:r>
            <w:r>
              <w:rPr>
                <w:rFonts w:hint="eastAsia" w:ascii="宋体" w:hAnsi="宋体"/>
                <w:sz w:val="18"/>
                <w:szCs w:val="18"/>
                <w:lang w:eastAsia="zh-CN"/>
              </w:rPr>
              <w:t>；</w:t>
            </w:r>
          </w:p>
          <w:p w14:paraId="571A7683">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）安全阀的状态符合下列要求：</w:t>
            </w:r>
          </w:p>
          <w:p w14:paraId="07D3050C">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1</w:t>
            </w:r>
            <w:r>
              <w:rPr>
                <w:rFonts w:hint="eastAsia" w:ascii="宋体" w:hAnsi="宋体"/>
                <w:sz w:val="18"/>
                <w:szCs w:val="18"/>
              </w:rPr>
              <w:t>）在有效检测期内，且铅封完好；</w:t>
            </w:r>
          </w:p>
          <w:p w14:paraId="582FEF4E">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）阀芯和阀座密封面完好；</w:t>
            </w:r>
          </w:p>
          <w:p w14:paraId="52CA160A">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）导向零件、调节圈无锈蚀；</w:t>
            </w:r>
          </w:p>
          <w:p w14:paraId="3570539A">
            <w:pPr>
              <w:adjustRightInd w:val="0"/>
              <w:snapToGrid w:val="0"/>
              <w:ind w:firstLine="360" w:firstLineChars="200"/>
              <w:rPr>
                <w:rFonts w:ascii="宋体" w:hAnsi="宋体"/>
                <w:sz w:val="18"/>
                <w:szCs w:val="18"/>
              </w:rPr>
            </w:pPr>
            <w:r>
              <w:rPr>
                <w:rFonts w:hint="eastAsia" w:ascii="宋体" w:hAnsi="宋体"/>
                <w:sz w:val="18"/>
                <w:szCs w:val="18"/>
                <w:lang w:val="en-US" w:eastAsia="zh-CN"/>
              </w:rPr>
              <w:t>4</w:t>
            </w:r>
            <w:r>
              <w:rPr>
                <w:rFonts w:hint="eastAsia" w:ascii="宋体" w:hAnsi="宋体"/>
                <w:sz w:val="18"/>
                <w:szCs w:val="18"/>
              </w:rPr>
              <w:t>）阀芯与阀座工作正常，弹簧无腐蚀、生锈。</w:t>
            </w:r>
          </w:p>
        </w:tc>
        <w:tc>
          <w:tcPr>
            <w:tcW w:w="586" w:type="dxa"/>
            <w:noWrap w:val="0"/>
            <w:vAlign w:val="center"/>
          </w:tcPr>
          <w:p w14:paraId="25447FCF">
            <w:pPr>
              <w:adjustRightInd w:val="0"/>
              <w:snapToGrid w:val="0"/>
              <w:rPr>
                <w:rFonts w:ascii="宋体" w:hAnsi="宋体"/>
                <w:sz w:val="18"/>
                <w:szCs w:val="18"/>
              </w:rPr>
            </w:pPr>
          </w:p>
        </w:tc>
        <w:tc>
          <w:tcPr>
            <w:tcW w:w="672" w:type="dxa"/>
            <w:noWrap w:val="0"/>
            <w:vAlign w:val="center"/>
          </w:tcPr>
          <w:p w14:paraId="75DD0043">
            <w:pPr>
              <w:adjustRightInd w:val="0"/>
              <w:snapToGrid w:val="0"/>
              <w:jc w:val="center"/>
              <w:rPr>
                <w:rFonts w:hint="eastAsia" w:ascii="宋体" w:hAnsi="宋体" w:eastAsia="宋体"/>
                <w:sz w:val="18"/>
                <w:szCs w:val="18"/>
                <w:lang w:eastAsia="zh-CN"/>
              </w:rPr>
            </w:pPr>
          </w:p>
        </w:tc>
        <w:tc>
          <w:tcPr>
            <w:tcW w:w="676" w:type="dxa"/>
            <w:noWrap w:val="0"/>
            <w:vAlign w:val="center"/>
          </w:tcPr>
          <w:p w14:paraId="3AEC14B2">
            <w:pPr>
              <w:adjustRightInd w:val="0"/>
              <w:snapToGrid w:val="0"/>
              <w:jc w:val="center"/>
              <w:rPr>
                <w:rFonts w:ascii="宋体" w:hAnsi="宋体"/>
                <w:sz w:val="18"/>
                <w:szCs w:val="18"/>
              </w:rPr>
            </w:pPr>
          </w:p>
        </w:tc>
        <w:tc>
          <w:tcPr>
            <w:tcW w:w="2582" w:type="dxa"/>
            <w:noWrap w:val="0"/>
            <w:vAlign w:val="center"/>
          </w:tcPr>
          <w:p w14:paraId="6F652BFF">
            <w:pPr>
              <w:adjustRightInd w:val="0"/>
              <w:snapToGrid w:val="0"/>
              <w:rPr>
                <w:rFonts w:ascii="宋体" w:hAnsi="宋体"/>
                <w:sz w:val="18"/>
                <w:szCs w:val="18"/>
              </w:rPr>
            </w:pPr>
          </w:p>
        </w:tc>
        <w:tc>
          <w:tcPr>
            <w:tcW w:w="657" w:type="dxa"/>
            <w:noWrap w:val="0"/>
            <w:vAlign w:val="top"/>
          </w:tcPr>
          <w:p w14:paraId="5F577653">
            <w:pPr>
              <w:adjustRightInd w:val="0"/>
              <w:snapToGrid w:val="0"/>
              <w:rPr>
                <w:rFonts w:ascii="宋体" w:hAnsi="宋体"/>
                <w:sz w:val="18"/>
                <w:szCs w:val="18"/>
              </w:rPr>
            </w:pPr>
          </w:p>
        </w:tc>
        <w:tc>
          <w:tcPr>
            <w:tcW w:w="1563" w:type="dxa"/>
            <w:noWrap w:val="0"/>
            <w:vAlign w:val="top"/>
          </w:tcPr>
          <w:p w14:paraId="17A62E53">
            <w:pPr>
              <w:adjustRightInd w:val="0"/>
              <w:snapToGrid w:val="0"/>
              <w:rPr>
                <w:rFonts w:ascii="宋体" w:hAnsi="宋体"/>
                <w:sz w:val="18"/>
                <w:szCs w:val="18"/>
              </w:rPr>
            </w:pPr>
          </w:p>
        </w:tc>
        <w:tc>
          <w:tcPr>
            <w:tcW w:w="1354" w:type="dxa"/>
            <w:noWrap w:val="0"/>
            <w:vAlign w:val="center"/>
          </w:tcPr>
          <w:p w14:paraId="3048B802">
            <w:pPr>
              <w:adjustRightInd w:val="0"/>
              <w:snapToGrid w:val="0"/>
              <w:jc w:val="center"/>
              <w:rPr>
                <w:rFonts w:ascii="宋体" w:hAnsi="宋体"/>
                <w:sz w:val="18"/>
                <w:szCs w:val="18"/>
              </w:rPr>
            </w:pPr>
          </w:p>
        </w:tc>
      </w:tr>
      <w:tr w14:paraId="642DC1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3B62A7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default" w:ascii="宋体" w:hAnsi="宋体"/>
                <w:sz w:val="18"/>
                <w:szCs w:val="18"/>
                <w:lang w:val="en-US"/>
              </w:rPr>
              <w:t>5</w:t>
            </w:r>
          </w:p>
        </w:tc>
        <w:tc>
          <w:tcPr>
            <w:tcW w:w="6304" w:type="dxa"/>
            <w:noWrap w:val="0"/>
            <w:vAlign w:val="center"/>
          </w:tcPr>
          <w:p w14:paraId="7627864F">
            <w:pPr>
              <w:ind w:right="33" w:rightChars="16"/>
              <w:rPr>
                <w:rFonts w:hint="eastAsia" w:ascii="宋体" w:hAnsi="宋体" w:eastAsia="宋体" w:cs="Times New Roman"/>
                <w:kern w:val="2"/>
                <w:sz w:val="18"/>
                <w:szCs w:val="18"/>
                <w:lang w:val="en-US" w:eastAsia="zh-CN" w:bidi="ar-SA"/>
              </w:rPr>
            </w:pPr>
            <w:r>
              <w:rPr>
                <w:rFonts w:hint="eastAsia" w:ascii="宋体" w:hAnsi="宋体"/>
                <w:sz w:val="18"/>
                <w:szCs w:val="18"/>
              </w:rPr>
              <w:t>电梯</w:t>
            </w:r>
          </w:p>
        </w:tc>
        <w:tc>
          <w:tcPr>
            <w:tcW w:w="586" w:type="dxa"/>
            <w:noWrap w:val="0"/>
            <w:vAlign w:val="center"/>
          </w:tcPr>
          <w:p w14:paraId="726FF83B">
            <w:pPr>
              <w:adjustRightInd w:val="0"/>
              <w:snapToGrid w:val="0"/>
              <w:rPr>
                <w:rFonts w:ascii="宋体" w:hAnsi="宋体" w:eastAsia="宋体" w:cs="Times New Roman"/>
                <w:kern w:val="2"/>
                <w:sz w:val="18"/>
                <w:szCs w:val="18"/>
                <w:lang w:val="en-US" w:eastAsia="zh-CN" w:bidi="ar-SA"/>
              </w:rPr>
            </w:pPr>
          </w:p>
        </w:tc>
        <w:tc>
          <w:tcPr>
            <w:tcW w:w="672" w:type="dxa"/>
            <w:noWrap w:val="0"/>
            <w:vAlign w:val="center"/>
          </w:tcPr>
          <w:p w14:paraId="7961AFD2">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rPr>
              <w:t>10</w:t>
            </w:r>
          </w:p>
        </w:tc>
        <w:tc>
          <w:tcPr>
            <w:tcW w:w="676" w:type="dxa"/>
            <w:noWrap w:val="0"/>
            <w:vAlign w:val="center"/>
          </w:tcPr>
          <w:p w14:paraId="67539E5D">
            <w:pPr>
              <w:adjustRightInd w:val="0"/>
              <w:snapToGrid w:val="0"/>
              <w:jc w:val="center"/>
              <w:rPr>
                <w:rFonts w:hint="eastAsia" w:ascii="宋体" w:hAnsi="宋体" w:eastAsia="宋体" w:cs="Times New Roman"/>
                <w:kern w:val="2"/>
                <w:sz w:val="18"/>
                <w:szCs w:val="18"/>
                <w:lang w:val="en-US" w:eastAsia="zh-CN" w:bidi="ar-SA"/>
              </w:rPr>
            </w:pPr>
          </w:p>
        </w:tc>
        <w:tc>
          <w:tcPr>
            <w:tcW w:w="2582" w:type="dxa"/>
            <w:noWrap w:val="0"/>
            <w:vAlign w:val="center"/>
          </w:tcPr>
          <w:p w14:paraId="6CCB4D20">
            <w:pPr>
              <w:adjustRightInd w:val="0"/>
              <w:snapToGrid w:val="0"/>
              <w:rPr>
                <w:rFonts w:hint="eastAsia" w:ascii="宋体" w:hAnsi="宋体" w:eastAsia="宋体" w:cs="Times New Roman"/>
                <w:kern w:val="2"/>
                <w:sz w:val="18"/>
                <w:szCs w:val="18"/>
                <w:lang w:val="en-US" w:eastAsia="zh-CN" w:bidi="ar-SA"/>
              </w:rPr>
            </w:pPr>
          </w:p>
        </w:tc>
        <w:tc>
          <w:tcPr>
            <w:tcW w:w="657" w:type="dxa"/>
            <w:noWrap w:val="0"/>
            <w:vAlign w:val="top"/>
          </w:tcPr>
          <w:p w14:paraId="17EFE525">
            <w:pPr>
              <w:adjustRightInd w:val="0"/>
              <w:snapToGrid w:val="0"/>
              <w:rPr>
                <w:rFonts w:ascii="宋体" w:hAnsi="宋体" w:eastAsia="宋体" w:cs="Times New Roman"/>
                <w:kern w:val="2"/>
                <w:sz w:val="18"/>
                <w:szCs w:val="18"/>
                <w:lang w:val="en-US" w:eastAsia="zh-CN" w:bidi="ar-SA"/>
              </w:rPr>
            </w:pPr>
          </w:p>
        </w:tc>
        <w:tc>
          <w:tcPr>
            <w:tcW w:w="1563" w:type="dxa"/>
            <w:noWrap w:val="0"/>
            <w:vAlign w:val="top"/>
          </w:tcPr>
          <w:p w14:paraId="429F6027">
            <w:pPr>
              <w:adjustRightInd w:val="0"/>
              <w:snapToGrid w:val="0"/>
              <w:rPr>
                <w:rFonts w:ascii="宋体" w:hAnsi="宋体" w:eastAsia="宋体" w:cs="Times New Roman"/>
                <w:kern w:val="2"/>
                <w:sz w:val="18"/>
                <w:szCs w:val="18"/>
                <w:lang w:val="en-US" w:eastAsia="zh-CN" w:bidi="ar-SA"/>
              </w:rPr>
            </w:pPr>
          </w:p>
        </w:tc>
        <w:tc>
          <w:tcPr>
            <w:tcW w:w="1354" w:type="dxa"/>
            <w:noWrap w:val="0"/>
            <w:vAlign w:val="center"/>
          </w:tcPr>
          <w:p w14:paraId="1F9C2958">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r w14:paraId="6D231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92A2ACD">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default" w:ascii="宋体" w:hAnsi="宋体"/>
                <w:sz w:val="18"/>
                <w:szCs w:val="18"/>
                <w:lang w:val="en-US"/>
              </w:rPr>
              <w:t>5</w:t>
            </w:r>
            <w:r>
              <w:rPr>
                <w:rFonts w:hint="eastAsia" w:ascii="宋体" w:hAnsi="宋体"/>
                <w:sz w:val="18"/>
                <w:szCs w:val="18"/>
              </w:rPr>
              <w:t>.1</w:t>
            </w:r>
          </w:p>
        </w:tc>
        <w:tc>
          <w:tcPr>
            <w:tcW w:w="0" w:type="auto"/>
            <w:vAlign w:val="center"/>
          </w:tcPr>
          <w:p w14:paraId="7CBB5AB3">
            <w:pPr>
              <w:widowControl/>
              <w:adjustRightInd/>
              <w:snapToGrid w:val="0"/>
              <w:jc w:val="left"/>
              <w:rPr>
                <w:rFonts w:hint="default" w:ascii="宋体" w:hAnsi="宋体" w:eastAsia="宋体"/>
                <w:sz w:val="18"/>
                <w:szCs w:val="18"/>
                <w:lang w:val="en-US" w:eastAsia="zh-CN"/>
              </w:rPr>
            </w:pPr>
            <w:r>
              <w:rPr>
                <w:rFonts w:hint="eastAsia" w:ascii="宋体" w:hAnsi="宋体"/>
                <w:sz w:val="18"/>
                <w:szCs w:val="18"/>
              </w:rPr>
              <w:t>电梯一般要求应符合下列要求：</w:t>
            </w:r>
          </w:p>
          <w:p w14:paraId="0F27894A">
            <w:pPr>
              <w:widowControl/>
              <w:adjustRightInd/>
              <w:snapToGrid w:val="0"/>
              <w:spacing w:line="240" w:lineRule="auto"/>
              <w:jc w:val="left"/>
              <w:rPr>
                <w:rFonts w:ascii="宋体" w:hAnsi="宋体"/>
                <w:sz w:val="18"/>
                <w:szCs w:val="18"/>
              </w:rPr>
            </w:pPr>
            <w:r>
              <w:rPr>
                <w:rFonts w:hint="eastAsia" w:ascii="宋体" w:hAnsi="宋体"/>
                <w:sz w:val="18"/>
                <w:szCs w:val="18"/>
              </w:rPr>
              <w:t>a）应将电梯安全使用说明、安全注意事项和警示标志置于易于为乘客注意的显著位置；</w:t>
            </w:r>
          </w:p>
          <w:p w14:paraId="52C95826">
            <w:pPr>
              <w:widowControl/>
              <w:adjustRightInd/>
              <w:snapToGrid w:val="0"/>
              <w:spacing w:line="240" w:lineRule="auto"/>
              <w:jc w:val="left"/>
              <w:rPr>
                <w:rFonts w:hint="eastAsia" w:ascii="宋体" w:hAnsi="宋体"/>
                <w:sz w:val="18"/>
                <w:szCs w:val="18"/>
              </w:rPr>
            </w:pPr>
            <w:r>
              <w:rPr>
                <w:rFonts w:hint="eastAsia" w:ascii="宋体" w:hAnsi="宋体"/>
                <w:sz w:val="18"/>
                <w:szCs w:val="18"/>
              </w:rPr>
              <w:t>b）保持电梯紧急报警装置能够随时与使用</w:t>
            </w:r>
            <w:r>
              <w:rPr>
                <w:rFonts w:hint="eastAsia" w:ascii="宋体" w:hAnsi="宋体"/>
                <w:sz w:val="18"/>
                <w:szCs w:val="18"/>
                <w:lang w:val="en-US" w:eastAsia="zh-CN"/>
              </w:rPr>
              <w:t>单位</w:t>
            </w:r>
            <w:r>
              <w:rPr>
                <w:rFonts w:hint="eastAsia" w:ascii="宋体" w:hAnsi="宋体"/>
                <w:sz w:val="18"/>
                <w:szCs w:val="18"/>
              </w:rPr>
              <w:t>安全管理机构或者人员实现有效联系；</w:t>
            </w:r>
          </w:p>
          <w:p w14:paraId="03D8D629">
            <w:pPr>
              <w:widowControl/>
              <w:adjustRightInd/>
              <w:snapToGrid w:val="0"/>
              <w:spacing w:line="240" w:lineRule="auto"/>
              <w:jc w:val="left"/>
              <w:rPr>
                <w:rFonts w:hint="eastAsia" w:ascii="宋体" w:hAnsi="宋体"/>
                <w:sz w:val="18"/>
                <w:szCs w:val="18"/>
              </w:rPr>
            </w:pPr>
            <w:r>
              <w:rPr>
                <w:rFonts w:hint="eastAsia" w:ascii="宋体" w:hAnsi="宋体"/>
                <w:sz w:val="18"/>
                <w:szCs w:val="18"/>
              </w:rPr>
              <w:t>c）在电梯显著位置标明管理</w:t>
            </w:r>
            <w:r>
              <w:rPr>
                <w:rFonts w:hint="eastAsia" w:ascii="宋体" w:hAnsi="宋体"/>
                <w:sz w:val="18"/>
                <w:szCs w:val="18"/>
                <w:lang w:val="en-US" w:eastAsia="zh-CN"/>
              </w:rPr>
              <w:t>使用单位</w:t>
            </w:r>
            <w:r>
              <w:rPr>
                <w:rFonts w:hint="eastAsia" w:ascii="宋体" w:hAnsi="宋体"/>
                <w:sz w:val="18"/>
                <w:szCs w:val="18"/>
              </w:rPr>
              <w:t>名称、应急救援电话和维保</w:t>
            </w:r>
            <w:r>
              <w:rPr>
                <w:rFonts w:hint="eastAsia" w:ascii="宋体" w:hAnsi="宋体"/>
                <w:sz w:val="18"/>
                <w:szCs w:val="18"/>
                <w:lang w:val="en-US" w:eastAsia="zh-CN"/>
              </w:rPr>
              <w:t>单位</w:t>
            </w:r>
            <w:r>
              <w:rPr>
                <w:rFonts w:hint="eastAsia" w:ascii="宋体" w:hAnsi="宋体"/>
                <w:sz w:val="18"/>
                <w:szCs w:val="18"/>
              </w:rPr>
              <w:t>名称及其急修、投诉电话；</w:t>
            </w:r>
          </w:p>
          <w:p w14:paraId="6DBFFD6A">
            <w:pPr>
              <w:widowControl/>
              <w:adjustRightInd/>
              <w:snapToGrid/>
              <w:spacing w:line="240" w:lineRule="auto"/>
              <w:jc w:val="left"/>
              <w:rPr>
                <w:rFonts w:hint="eastAsia" w:ascii="宋体" w:hAnsi="宋体" w:eastAsia="宋体" w:cs="Times New Roman"/>
                <w:kern w:val="2"/>
                <w:sz w:val="18"/>
                <w:szCs w:val="18"/>
                <w:lang w:val="en-US" w:eastAsia="zh-CN" w:bidi="ar-SA"/>
              </w:rPr>
            </w:pPr>
            <w:r>
              <w:rPr>
                <w:rFonts w:hint="eastAsia" w:ascii="宋体" w:hAnsi="宋体"/>
                <w:sz w:val="18"/>
                <w:szCs w:val="18"/>
              </w:rPr>
              <w:t>d）电梯轿厢内应有应急照明</w:t>
            </w:r>
            <w:r>
              <w:rPr>
                <w:rFonts w:hint="eastAsia" w:ascii="宋体" w:hAnsi="宋体"/>
                <w:sz w:val="18"/>
                <w:szCs w:val="18"/>
                <w:lang w:eastAsia="zh-CN"/>
              </w:rPr>
              <w:t>。</w:t>
            </w:r>
          </w:p>
        </w:tc>
        <w:tc>
          <w:tcPr>
            <w:tcW w:w="0" w:type="auto"/>
            <w:vAlign w:val="center"/>
          </w:tcPr>
          <w:p w14:paraId="68187365">
            <w:pPr>
              <w:adjustRightInd w:val="0"/>
              <w:snapToGrid w:val="0"/>
              <w:rPr>
                <w:rFonts w:ascii="宋体" w:hAnsi="宋体" w:eastAsia="宋体" w:cs="Times New Roman"/>
                <w:kern w:val="2"/>
                <w:sz w:val="18"/>
                <w:szCs w:val="18"/>
                <w:lang w:val="en-US" w:eastAsia="zh-CN" w:bidi="ar-SA"/>
              </w:rPr>
            </w:pPr>
          </w:p>
        </w:tc>
        <w:tc>
          <w:tcPr>
            <w:tcW w:w="0" w:type="auto"/>
            <w:vAlign w:val="center"/>
          </w:tcPr>
          <w:p w14:paraId="563C044E">
            <w:pPr>
              <w:adjustRightInd w:val="0"/>
              <w:snapToGrid w:val="0"/>
              <w:jc w:val="center"/>
              <w:rPr>
                <w:rFonts w:ascii="宋体" w:hAnsi="宋体" w:eastAsia="宋体" w:cs="Times New Roman"/>
                <w:kern w:val="2"/>
                <w:sz w:val="18"/>
                <w:szCs w:val="18"/>
                <w:lang w:val="en-US" w:eastAsia="zh-CN" w:bidi="ar-SA"/>
              </w:rPr>
            </w:pPr>
          </w:p>
        </w:tc>
        <w:tc>
          <w:tcPr>
            <w:tcW w:w="0" w:type="auto"/>
            <w:vAlign w:val="center"/>
          </w:tcPr>
          <w:p w14:paraId="5D30848D">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2</w:t>
            </w:r>
          </w:p>
        </w:tc>
        <w:tc>
          <w:tcPr>
            <w:tcW w:w="0" w:type="auto"/>
            <w:vAlign w:val="center"/>
          </w:tcPr>
          <w:p w14:paraId="41928D1C">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一处不符合扣2分。</w:t>
            </w:r>
          </w:p>
        </w:tc>
        <w:tc>
          <w:tcPr>
            <w:tcW w:w="0" w:type="auto"/>
            <w:vAlign w:val="top"/>
          </w:tcPr>
          <w:p w14:paraId="524C4BB9">
            <w:pPr>
              <w:adjustRightInd w:val="0"/>
              <w:snapToGrid w:val="0"/>
              <w:rPr>
                <w:rFonts w:ascii="宋体" w:hAnsi="宋体" w:eastAsia="宋体" w:cs="Times New Roman"/>
                <w:kern w:val="2"/>
                <w:sz w:val="18"/>
                <w:szCs w:val="18"/>
                <w:lang w:val="en-US" w:eastAsia="zh-CN" w:bidi="ar-SA"/>
              </w:rPr>
            </w:pPr>
          </w:p>
        </w:tc>
        <w:tc>
          <w:tcPr>
            <w:tcW w:w="0" w:type="auto"/>
            <w:vAlign w:val="top"/>
          </w:tcPr>
          <w:p w14:paraId="30C3F1C8">
            <w:pPr>
              <w:adjustRightInd w:val="0"/>
              <w:snapToGrid w:val="0"/>
              <w:rPr>
                <w:rFonts w:ascii="宋体" w:hAnsi="宋体" w:eastAsia="宋体" w:cs="Times New Roman"/>
                <w:kern w:val="2"/>
                <w:sz w:val="18"/>
                <w:szCs w:val="18"/>
                <w:lang w:val="en-US" w:eastAsia="zh-CN" w:bidi="ar-SA"/>
              </w:rPr>
            </w:pPr>
          </w:p>
        </w:tc>
        <w:tc>
          <w:tcPr>
            <w:tcW w:w="0" w:type="auto"/>
            <w:vAlign w:val="center"/>
          </w:tcPr>
          <w:p w14:paraId="6D97BE41">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r w14:paraId="2F1D8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shd w:val="clear"/>
            <w:vAlign w:val="center"/>
          </w:tcPr>
          <w:p w14:paraId="76772B8F">
            <w:pPr>
              <w:pStyle w:val="168"/>
              <w:widowControl/>
              <w:numPr>
                <w:ilvl w:val="0"/>
                <w:numId w:val="0"/>
              </w:numPr>
              <w:adjustRightInd w:val="0"/>
              <w:snapToGrid w:val="0"/>
              <w:spacing w:before="156" w:after="156" w:line="240" w:lineRule="atLeast"/>
              <w:ind w:left="567" w:leftChars="0" w:hanging="567" w:firstLineChars="0"/>
              <w:jc w:val="center"/>
              <w:rPr>
                <w:rFonts w:hint="eastAsia" w:ascii="宋体" w:hAnsi="宋体" w:eastAsia="黑体" w:cs="Times New Roman"/>
                <w:kern w:val="2"/>
                <w:sz w:val="18"/>
                <w:szCs w:val="18"/>
                <w:lang w:val="en-US" w:eastAsia="zh-CN" w:bidi="ar-SA"/>
              </w:rPr>
            </w:pPr>
            <w:r>
              <w:rPr>
                <w:rFonts w:hint="eastAsia" w:ascii="宋体" w:hAnsi="宋体"/>
                <w:sz w:val="18"/>
                <w:szCs w:val="18"/>
                <w:lang w:val="en-US" w:eastAsia="zh-CN"/>
              </w:rPr>
              <w:t>4.5.2</w:t>
            </w:r>
          </w:p>
        </w:tc>
        <w:tc>
          <w:tcPr>
            <w:tcW w:w="0" w:type="auto"/>
            <w:shd w:val="clear"/>
            <w:vAlign w:val="center"/>
          </w:tcPr>
          <w:p w14:paraId="71BA81EF">
            <w:pPr>
              <w:pStyle w:val="168"/>
              <w:widowControl/>
              <w:numPr>
                <w:ilvl w:val="0"/>
                <w:numId w:val="0"/>
              </w:numPr>
              <w:adjustRightInd/>
              <w:snapToGrid w:val="0"/>
              <w:spacing w:before="0" w:beforeLines="0" w:after="0" w:afterLines="0"/>
              <w:ind w:left="0" w:firstLine="0"/>
              <w:jc w:val="both"/>
              <w:rPr>
                <w:rFonts w:hint="eastAsia" w:ascii="宋体" w:hAnsi="宋体" w:eastAsia="宋体" w:cs="宋体"/>
                <w:sz w:val="18"/>
                <w:szCs w:val="18"/>
              </w:rPr>
            </w:pPr>
            <w:r>
              <w:rPr>
                <w:rFonts w:hint="eastAsia" w:ascii="宋体" w:hAnsi="宋体" w:eastAsia="宋体" w:cs="宋体"/>
                <w:sz w:val="18"/>
                <w:szCs w:val="18"/>
                <w:lang w:val="en-US" w:eastAsia="zh-CN"/>
              </w:rPr>
              <w:t>乘客</w:t>
            </w:r>
            <w:r>
              <w:rPr>
                <w:rFonts w:hint="eastAsia" w:ascii="宋体" w:hAnsi="宋体" w:eastAsia="宋体" w:cs="宋体"/>
                <w:sz w:val="18"/>
                <w:szCs w:val="18"/>
              </w:rPr>
              <w:t>电梯、</w:t>
            </w:r>
            <w:r>
              <w:rPr>
                <w:rFonts w:hint="eastAsia" w:ascii="宋体" w:hAnsi="宋体" w:eastAsia="宋体" w:cs="宋体"/>
                <w:sz w:val="18"/>
                <w:szCs w:val="18"/>
                <w:lang w:val="en-US" w:eastAsia="zh-CN"/>
              </w:rPr>
              <w:t>货梯</w:t>
            </w:r>
            <w:r>
              <w:rPr>
                <w:rFonts w:hint="eastAsia" w:ascii="宋体" w:hAnsi="宋体" w:eastAsia="宋体" w:cs="宋体"/>
                <w:sz w:val="18"/>
                <w:szCs w:val="18"/>
              </w:rPr>
              <w:t>应符合下列要求：</w:t>
            </w:r>
          </w:p>
          <w:p w14:paraId="3E616B3E">
            <w:pPr>
              <w:pStyle w:val="168"/>
              <w:widowControl/>
              <w:numPr>
                <w:ilvl w:val="0"/>
                <w:numId w:val="0"/>
              </w:numPr>
              <w:adjustRightInd/>
              <w:snapToGrid w:val="0"/>
              <w:spacing w:before="0" w:beforeLines="0" w:after="0" w:afterLines="0"/>
              <w:ind w:left="0" w:firstLine="0"/>
              <w:jc w:val="both"/>
              <w:rPr>
                <w:rFonts w:hint="eastAsia" w:ascii="宋体" w:hAnsi="宋体" w:eastAsia="宋体" w:cs="宋体"/>
                <w:sz w:val="18"/>
                <w:szCs w:val="18"/>
                <w:lang w:val="en-US" w:eastAsia="zh-CN"/>
              </w:rPr>
            </w:pPr>
            <w:r>
              <w:rPr>
                <w:rFonts w:hint="eastAsia" w:ascii="宋体" w:hAnsi="宋体" w:eastAsia="宋体" w:cs="宋体"/>
                <w:sz w:val="18"/>
                <w:szCs w:val="18"/>
              </w:rPr>
              <w:t>a）机房通道门的宽度应不小于0.6 m，高度应不小于1.8 m，并且门不应向房内开启。门应装有带钥匙的锁，</w:t>
            </w:r>
            <w:r>
              <w:rPr>
                <w:rFonts w:hint="eastAsia" w:ascii="宋体" w:hAnsi="宋体" w:eastAsia="宋体" w:cs="宋体"/>
                <w:sz w:val="18"/>
                <w:szCs w:val="18"/>
                <w:lang w:val="en-US" w:eastAsia="zh-CN"/>
              </w:rPr>
              <w:t>门开启后不用钥匙能够将其关闭和锁住，</w:t>
            </w:r>
            <w:r>
              <w:rPr>
                <w:rFonts w:hint="eastAsia" w:ascii="宋体" w:hAnsi="宋体" w:eastAsia="宋体" w:cs="宋体"/>
                <w:sz w:val="18"/>
                <w:szCs w:val="18"/>
              </w:rPr>
              <w:t>并且可以从机房内不用钥匙打开。门外侧应标明</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电梯机器-危险 未见允许禁止入内</w:t>
            </w:r>
            <w:r>
              <w:rPr>
                <w:rFonts w:hint="eastAsia" w:ascii="宋体" w:hAnsi="宋体" w:eastAsia="宋体" w:cs="宋体"/>
                <w:sz w:val="18"/>
                <w:szCs w:val="18"/>
                <w:lang w:eastAsia="zh-CN"/>
              </w:rPr>
              <w:t>”</w:t>
            </w:r>
            <w:r>
              <w:rPr>
                <w:rFonts w:hint="eastAsia" w:ascii="宋体" w:hAnsi="宋体" w:eastAsia="宋体" w:cs="宋体"/>
                <w:sz w:val="18"/>
                <w:szCs w:val="18"/>
              </w:rPr>
              <w:t>警示标志；</w:t>
            </w:r>
          </w:p>
          <w:p w14:paraId="5332A3C0">
            <w:pPr>
              <w:pStyle w:val="168"/>
              <w:widowControl/>
              <w:numPr>
                <w:ilvl w:val="0"/>
                <w:numId w:val="0"/>
              </w:numPr>
              <w:adjustRightInd/>
              <w:snapToGrid w:val="0"/>
              <w:spacing w:before="0" w:beforeLines="0" w:after="0" w:afterLines="0" w:line="240" w:lineRule="atLeast"/>
              <w:ind w:left="0" w:firstLine="0"/>
              <w:jc w:val="both"/>
              <w:rPr>
                <w:rFonts w:hint="eastAsia" w:ascii="宋体" w:hAnsi="宋体" w:eastAsia="宋体" w:cs="宋体"/>
                <w:sz w:val="18"/>
                <w:szCs w:val="18"/>
              </w:rPr>
            </w:pPr>
            <w:r>
              <w:rPr>
                <w:rFonts w:hint="eastAsia" w:ascii="宋体" w:hAnsi="宋体" w:eastAsia="宋体" w:cs="宋体"/>
                <w:sz w:val="18"/>
                <w:szCs w:val="18"/>
              </w:rPr>
              <w:t>b）机房（机器设备间）应专用，不应用于电梯以外的其他用途；</w:t>
            </w:r>
          </w:p>
          <w:p w14:paraId="22910EC3">
            <w:pPr>
              <w:pStyle w:val="168"/>
              <w:widowControl/>
              <w:numPr>
                <w:ilvl w:val="0"/>
                <w:numId w:val="0"/>
              </w:numPr>
              <w:adjustRightInd/>
              <w:snapToGrid w:val="0"/>
              <w:spacing w:before="0" w:beforeLines="0" w:after="0" w:afterLines="0" w:line="240" w:lineRule="atLeast"/>
              <w:ind w:left="0" w:firstLine="0"/>
              <w:jc w:val="both"/>
              <w:rPr>
                <w:rFonts w:hint="eastAsia" w:ascii="宋体" w:hAnsi="宋体" w:eastAsia="宋体" w:cs="宋体"/>
                <w:sz w:val="18"/>
                <w:szCs w:val="18"/>
                <w:lang w:val="en-US"/>
              </w:rPr>
            </w:pPr>
            <w:r>
              <w:rPr>
                <w:rFonts w:hint="eastAsia" w:ascii="宋体" w:hAnsi="宋体" w:eastAsia="宋体" w:cs="宋体"/>
                <w:sz w:val="18"/>
                <w:szCs w:val="18"/>
              </w:rPr>
              <w:t>c）机房地面高度不一并且相差大于0.50 m时，应设置楼梯或</w:t>
            </w:r>
            <w:r>
              <w:rPr>
                <w:rFonts w:hint="eastAsia" w:ascii="宋体" w:hAnsi="宋体" w:eastAsia="宋体" w:cs="宋体"/>
                <w:sz w:val="18"/>
                <w:szCs w:val="18"/>
                <w:lang w:val="en-US" w:eastAsia="zh-CN"/>
              </w:rPr>
              <w:t>高度不大于4.0 m的固定梯子</w:t>
            </w:r>
            <w:r>
              <w:rPr>
                <w:rFonts w:hint="eastAsia" w:ascii="宋体" w:hAnsi="宋体" w:eastAsia="宋体" w:cs="宋体"/>
                <w:sz w:val="18"/>
                <w:szCs w:val="18"/>
              </w:rPr>
              <w:t>，并设置护栏；</w:t>
            </w:r>
          </w:p>
          <w:p w14:paraId="25BFAC61">
            <w:pPr>
              <w:widowControl/>
              <w:adjustRightInd/>
              <w:snapToGrid w:val="0"/>
              <w:spacing w:before="0" w:beforeLines="0" w:after="0" w:afterLines="0" w:line="240" w:lineRule="atLeast"/>
              <w:ind w:left="0"/>
              <w:jc w:val="both"/>
              <w:rPr>
                <w:rFonts w:hint="eastAsia" w:ascii="宋体" w:hAnsi="宋体" w:eastAsia="宋体" w:cs="宋体"/>
                <w:sz w:val="18"/>
                <w:szCs w:val="18"/>
                <w:lang w:val="en-US" w:eastAsia="zh-CN"/>
              </w:rPr>
            </w:pPr>
            <w:r>
              <w:rPr>
                <w:rFonts w:hint="eastAsia" w:ascii="宋体" w:hAnsi="宋体" w:eastAsia="宋体" w:cs="宋体"/>
                <w:sz w:val="18"/>
                <w:szCs w:val="18"/>
              </w:rPr>
              <w:t>d）在机房内或者紧急和测试操作屏上应设有清晰的应急救援程序；</w:t>
            </w:r>
          </w:p>
          <w:p w14:paraId="2ED84859">
            <w:pPr>
              <w:pStyle w:val="168"/>
              <w:widowControl/>
              <w:numPr>
                <w:ilvl w:val="0"/>
                <w:numId w:val="0"/>
              </w:numPr>
              <w:adjustRightInd/>
              <w:snapToGrid w:val="0"/>
              <w:spacing w:before="0" w:beforeLines="0" w:after="0" w:afterLines="0" w:line="240" w:lineRule="atLeast"/>
              <w:ind w:left="0" w:firstLine="0"/>
              <w:jc w:val="both"/>
              <w:rPr>
                <w:rFonts w:hint="eastAsia" w:ascii="宋体" w:hAnsi="宋体" w:eastAsia="黑体" w:cs="Times New Roman"/>
                <w:kern w:val="2"/>
                <w:sz w:val="18"/>
                <w:szCs w:val="18"/>
                <w:lang w:val="en-US" w:eastAsia="zh-CN" w:bidi="ar-SA"/>
              </w:rPr>
            </w:pPr>
            <w:r>
              <w:rPr>
                <w:rFonts w:hint="eastAsia" w:ascii="宋体" w:hAnsi="宋体" w:eastAsia="宋体" w:cs="宋体"/>
                <w:sz w:val="18"/>
                <w:szCs w:val="18"/>
                <w:lang w:eastAsia="zh-CN"/>
              </w:rPr>
              <w:t>e</w:t>
            </w:r>
            <w:r>
              <w:rPr>
                <w:rFonts w:hint="eastAsia" w:ascii="宋体" w:hAnsi="宋体" w:eastAsia="宋体" w:cs="宋体"/>
                <w:sz w:val="18"/>
                <w:szCs w:val="18"/>
              </w:rPr>
              <w:t>）轿厢内应设置铭牌，标明额定载重量及乘客人数（载货电梯只标载重量）、制造厂名称或商标；改造后的电梯，铭牌上应标明额定载重量及乘客人数（载货电梯只标定载重量）、改造</w:t>
            </w:r>
            <w:r>
              <w:rPr>
                <w:rFonts w:hint="eastAsia" w:ascii="宋体" w:hAnsi="宋体" w:eastAsia="宋体" w:cs="宋体"/>
                <w:sz w:val="18"/>
                <w:szCs w:val="18"/>
                <w:lang w:val="en-US" w:eastAsia="zh-CN"/>
              </w:rPr>
              <w:t>单位</w:t>
            </w:r>
            <w:r>
              <w:rPr>
                <w:rFonts w:hint="eastAsia" w:ascii="宋体" w:hAnsi="宋体" w:eastAsia="宋体" w:cs="宋体"/>
                <w:sz w:val="18"/>
                <w:szCs w:val="18"/>
              </w:rPr>
              <w:t>名称、改造竣工日期等；</w:t>
            </w:r>
          </w:p>
        </w:tc>
        <w:tc>
          <w:tcPr>
            <w:tcW w:w="0" w:type="auto"/>
            <w:shd w:val="clear"/>
            <w:vAlign w:val="center"/>
          </w:tcPr>
          <w:p w14:paraId="79F1B935">
            <w:pPr>
              <w:pStyle w:val="168"/>
              <w:widowControl/>
              <w:numPr>
                <w:ilvl w:val="0"/>
                <w:numId w:val="0"/>
              </w:numPr>
              <w:adjustRightInd w:val="0"/>
              <w:snapToGrid w:val="0"/>
              <w:spacing w:before="156" w:after="156"/>
              <w:ind w:left="567" w:leftChars="0" w:hanging="567" w:firstLineChars="0"/>
              <w:rPr>
                <w:rFonts w:ascii="宋体" w:hAnsi="宋体" w:eastAsia="黑体" w:cs="Times New Roman"/>
                <w:kern w:val="2"/>
                <w:sz w:val="18"/>
                <w:szCs w:val="18"/>
                <w:lang w:val="en-US" w:eastAsia="zh-CN" w:bidi="ar-SA"/>
              </w:rPr>
            </w:pPr>
          </w:p>
        </w:tc>
        <w:tc>
          <w:tcPr>
            <w:tcW w:w="0" w:type="auto"/>
            <w:shd w:val="clear"/>
            <w:vAlign w:val="center"/>
          </w:tcPr>
          <w:p w14:paraId="095E157C">
            <w:pPr>
              <w:pStyle w:val="168"/>
              <w:widowControl/>
              <w:numPr>
                <w:ilvl w:val="0"/>
                <w:numId w:val="0"/>
              </w:numPr>
              <w:adjustRightInd w:val="0"/>
              <w:snapToGrid w:val="0"/>
              <w:spacing w:before="156" w:after="156"/>
              <w:ind w:left="567" w:leftChars="0" w:hanging="567" w:firstLineChars="0"/>
              <w:jc w:val="center"/>
              <w:rPr>
                <w:rFonts w:ascii="宋体" w:hAnsi="宋体" w:eastAsia="黑体" w:cs="Times New Roman"/>
                <w:kern w:val="2"/>
                <w:sz w:val="18"/>
                <w:szCs w:val="18"/>
                <w:lang w:val="en-US" w:eastAsia="zh-CN" w:bidi="ar-SA"/>
              </w:rPr>
            </w:pPr>
          </w:p>
        </w:tc>
        <w:tc>
          <w:tcPr>
            <w:tcW w:w="0" w:type="auto"/>
            <w:shd w:val="clear"/>
            <w:vAlign w:val="center"/>
          </w:tcPr>
          <w:p w14:paraId="3F6CAF6A">
            <w:pPr>
              <w:pStyle w:val="168"/>
              <w:widowControl/>
              <w:numPr>
                <w:ilvl w:val="0"/>
                <w:numId w:val="0"/>
              </w:numPr>
              <w:adjustRightInd w:val="0"/>
              <w:snapToGrid w:val="0"/>
              <w:spacing w:before="156" w:after="156"/>
              <w:ind w:left="567" w:leftChars="0" w:hanging="567" w:firstLineChars="0"/>
              <w:jc w:val="center"/>
              <w:rPr>
                <w:rFonts w:hint="eastAsia" w:ascii="宋体" w:hAnsi="宋体" w:eastAsia="宋体" w:cs="Times New Roman"/>
                <w:kern w:val="2"/>
                <w:sz w:val="18"/>
                <w:szCs w:val="18"/>
                <w:lang w:val="en-US" w:eastAsia="zh-CN" w:bidi="ar-SA"/>
              </w:rPr>
            </w:pPr>
            <w:r>
              <w:rPr>
                <w:rFonts w:hint="eastAsia" w:ascii="宋体" w:hAnsi="宋体" w:eastAsia="宋体"/>
                <w:sz w:val="18"/>
                <w:szCs w:val="18"/>
              </w:rPr>
              <w:t>3</w:t>
            </w:r>
          </w:p>
        </w:tc>
        <w:tc>
          <w:tcPr>
            <w:tcW w:w="0" w:type="auto"/>
            <w:shd w:val="clear"/>
            <w:vAlign w:val="center"/>
          </w:tcPr>
          <w:p w14:paraId="14763726">
            <w:pPr>
              <w:pStyle w:val="168"/>
              <w:widowControl/>
              <w:numPr>
                <w:ilvl w:val="0"/>
                <w:numId w:val="0"/>
              </w:numPr>
              <w:adjustRightInd w:val="0"/>
              <w:snapToGrid w:val="0"/>
              <w:spacing w:before="156" w:after="156"/>
              <w:ind w:left="567" w:leftChars="0" w:hanging="567" w:firstLineChars="0"/>
              <w:jc w:val="both"/>
              <w:rPr>
                <w:rFonts w:hint="eastAsia" w:ascii="宋体" w:hAnsi="宋体" w:eastAsia="宋体" w:cs="Times New Roman"/>
                <w:kern w:val="2"/>
                <w:sz w:val="18"/>
                <w:szCs w:val="18"/>
                <w:lang w:val="en-US" w:eastAsia="zh-CN" w:bidi="ar-SA"/>
              </w:rPr>
            </w:pPr>
            <w:r>
              <w:rPr>
                <w:rFonts w:hint="eastAsia" w:ascii="宋体" w:hAnsi="宋体" w:eastAsia="宋体"/>
                <w:sz w:val="18"/>
                <w:szCs w:val="18"/>
              </w:rPr>
              <w:t>一处不符合扣2分。</w:t>
            </w:r>
          </w:p>
        </w:tc>
        <w:tc>
          <w:tcPr>
            <w:tcW w:w="0" w:type="auto"/>
            <w:shd w:val="clear"/>
            <w:vAlign w:val="top"/>
          </w:tcPr>
          <w:p w14:paraId="2C57AE97">
            <w:pPr>
              <w:pStyle w:val="168"/>
              <w:widowControl/>
              <w:numPr>
                <w:ilvl w:val="0"/>
                <w:numId w:val="0"/>
              </w:numPr>
              <w:adjustRightInd w:val="0"/>
              <w:snapToGrid w:val="0"/>
              <w:spacing w:before="156" w:after="156"/>
              <w:ind w:left="567" w:leftChars="0" w:hanging="567" w:firstLineChars="0"/>
              <w:rPr>
                <w:rFonts w:ascii="宋体" w:hAnsi="宋体" w:eastAsia="黑体" w:cs="Times New Roman"/>
                <w:kern w:val="2"/>
                <w:sz w:val="18"/>
                <w:szCs w:val="18"/>
                <w:lang w:val="en-US" w:eastAsia="zh-CN" w:bidi="ar-SA"/>
              </w:rPr>
            </w:pPr>
          </w:p>
        </w:tc>
        <w:tc>
          <w:tcPr>
            <w:tcW w:w="0" w:type="auto"/>
            <w:shd w:val="clear"/>
            <w:vAlign w:val="top"/>
          </w:tcPr>
          <w:p w14:paraId="49F6530D">
            <w:pPr>
              <w:pStyle w:val="168"/>
              <w:widowControl/>
              <w:numPr>
                <w:ilvl w:val="0"/>
                <w:numId w:val="0"/>
              </w:numPr>
              <w:adjustRightInd w:val="0"/>
              <w:snapToGrid w:val="0"/>
              <w:spacing w:before="156" w:after="156"/>
              <w:ind w:left="567" w:leftChars="0" w:hanging="567" w:firstLineChars="0"/>
              <w:rPr>
                <w:rFonts w:ascii="宋体" w:hAnsi="宋体" w:eastAsia="黑体" w:cs="Times New Roman"/>
                <w:kern w:val="2"/>
                <w:sz w:val="18"/>
                <w:szCs w:val="18"/>
                <w:lang w:val="en-US" w:eastAsia="zh-CN" w:bidi="ar-SA"/>
              </w:rPr>
            </w:pPr>
          </w:p>
        </w:tc>
        <w:tc>
          <w:tcPr>
            <w:tcW w:w="0" w:type="auto"/>
            <w:shd w:val="clear"/>
            <w:vAlign w:val="center"/>
          </w:tcPr>
          <w:p w14:paraId="596059C9">
            <w:pPr>
              <w:pStyle w:val="168"/>
              <w:widowControl/>
              <w:numPr>
                <w:ilvl w:val="0"/>
                <w:numId w:val="0"/>
              </w:numPr>
              <w:adjustRightInd w:val="0"/>
              <w:snapToGrid w:val="0"/>
              <w:spacing w:before="156" w:after="156"/>
              <w:ind w:left="567" w:leftChars="0" w:hanging="567" w:firstLineChars="0"/>
              <w:jc w:val="center"/>
              <w:rPr>
                <w:rFonts w:hint="eastAsia" w:ascii="宋体" w:hAnsi="宋体" w:eastAsia="黑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bl>
    <w:p w14:paraId="6A58CB43">
      <w:pPr>
        <w:pStyle w:val="168"/>
        <w:widowControl/>
        <w:numPr>
          <w:ilvl w:val="0"/>
          <w:numId w:val="0"/>
        </w:numPr>
        <w:spacing w:before="156" w:after="156"/>
        <w:ind w:left="567" w:hanging="567"/>
      </w:pPr>
      <w:r>
        <w:rPr>
          <w:rFonts w:hint="eastAsia"/>
        </w:rPr>
        <w:t>表E.1特种设备要素的安全生产等级评定细则</w:t>
      </w:r>
      <w:r>
        <w:rPr>
          <w:rFonts w:hint="eastAsia" w:ascii="宋体" w:hAnsi="宋体" w:eastAsia="宋体"/>
        </w:rPr>
        <w:t>（续）</w:t>
      </w:r>
    </w:p>
    <w:tbl>
      <w:tblPr>
        <w:tblStyle w:val="47"/>
        <w:tblpPr w:leftFromText="180" w:rightFromText="180" w:vertAnchor="text" w:tblpXSpec="left"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655"/>
        <w:gridCol w:w="1354"/>
      </w:tblGrid>
      <w:tr w14:paraId="3A6BB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1386B1AB">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097D68DE">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28FB3DFD">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228E81EF">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515D5E35">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6D75D841">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21FE1450">
            <w:pPr>
              <w:adjustRightInd w:val="0"/>
              <w:snapToGrid w:val="0"/>
              <w:jc w:val="center"/>
              <w:rPr>
                <w:rFonts w:ascii="宋体" w:hAnsi="宋体"/>
                <w:sz w:val="18"/>
                <w:szCs w:val="18"/>
              </w:rPr>
            </w:pPr>
            <w:r>
              <w:rPr>
                <w:rFonts w:hint="eastAsia" w:ascii="宋体" w:hAnsi="宋体"/>
                <w:sz w:val="18"/>
                <w:szCs w:val="18"/>
              </w:rPr>
              <w:t>评定得分</w:t>
            </w:r>
          </w:p>
        </w:tc>
        <w:tc>
          <w:tcPr>
            <w:tcW w:w="1655" w:type="dxa"/>
            <w:noWrap w:val="0"/>
            <w:vAlign w:val="center"/>
          </w:tcPr>
          <w:p w14:paraId="1DB7CD71">
            <w:pPr>
              <w:adjustRightInd w:val="0"/>
              <w:snapToGrid w:val="0"/>
              <w:jc w:val="center"/>
              <w:rPr>
                <w:rFonts w:ascii="宋体" w:hAnsi="宋体"/>
                <w:sz w:val="18"/>
                <w:szCs w:val="18"/>
              </w:rPr>
            </w:pPr>
            <w:r>
              <w:rPr>
                <w:rFonts w:hint="eastAsia" w:ascii="宋体" w:hAnsi="宋体"/>
                <w:sz w:val="18"/>
                <w:szCs w:val="18"/>
              </w:rPr>
              <w:t>扣分说明</w:t>
            </w:r>
          </w:p>
        </w:tc>
        <w:tc>
          <w:tcPr>
            <w:tcW w:w="1354" w:type="dxa"/>
            <w:noWrap w:val="0"/>
            <w:vAlign w:val="center"/>
          </w:tcPr>
          <w:p w14:paraId="21B5A5A1">
            <w:pPr>
              <w:adjustRightInd w:val="0"/>
              <w:snapToGrid w:val="0"/>
              <w:jc w:val="center"/>
              <w:rPr>
                <w:rFonts w:ascii="宋体" w:hAnsi="宋体"/>
                <w:sz w:val="18"/>
                <w:szCs w:val="18"/>
              </w:rPr>
            </w:pPr>
            <w:r>
              <w:rPr>
                <w:rFonts w:hint="eastAsia" w:ascii="宋体" w:hAnsi="宋体"/>
                <w:sz w:val="18"/>
                <w:szCs w:val="18"/>
              </w:rPr>
              <w:t>对应条款编号</w:t>
            </w:r>
          </w:p>
        </w:tc>
      </w:tr>
      <w:tr w14:paraId="091D7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5F569C1F">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240" w:lineRule="atLeast"/>
              <w:ind w:left="0" w:leftChars="0" w:hanging="567" w:firstLineChars="0"/>
              <w:jc w:val="both"/>
              <w:textAlignment w:val="auto"/>
              <w:rPr>
                <w:rFonts w:hint="eastAsia" w:ascii="宋体" w:hAnsi="宋体" w:eastAsia="黑体" w:cs="Times New Roman"/>
                <w:kern w:val="2"/>
                <w:sz w:val="18"/>
                <w:szCs w:val="18"/>
                <w:lang w:val="en-US" w:eastAsia="zh-CN" w:bidi="ar-SA"/>
              </w:rPr>
            </w:pPr>
          </w:p>
        </w:tc>
        <w:tc>
          <w:tcPr>
            <w:tcW w:w="5954" w:type="dxa"/>
            <w:noWrap w:val="0"/>
            <w:vAlign w:val="center"/>
          </w:tcPr>
          <w:p w14:paraId="258C8B01">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firstLine="0" w:firstLineChars="0"/>
              <w:jc w:val="both"/>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f</w:t>
            </w:r>
            <w:r>
              <w:rPr>
                <w:rFonts w:hint="eastAsia" w:ascii="宋体" w:hAnsi="宋体" w:eastAsia="宋体" w:cs="宋体"/>
                <w:sz w:val="18"/>
                <w:szCs w:val="18"/>
              </w:rPr>
              <w:t>）层门和轿门釆用玻璃门时，应有防止儿童的手被拖曳的措施。</w:t>
            </w:r>
          </w:p>
        </w:tc>
        <w:tc>
          <w:tcPr>
            <w:tcW w:w="596" w:type="dxa"/>
            <w:noWrap w:val="0"/>
            <w:vAlign w:val="center"/>
          </w:tcPr>
          <w:p w14:paraId="628116CA">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hanging="567" w:firstLineChars="0"/>
              <w:textAlignment w:val="auto"/>
              <w:rPr>
                <w:rFonts w:ascii="宋体" w:hAnsi="宋体" w:eastAsia="黑体" w:cs="Times New Roman"/>
                <w:kern w:val="2"/>
                <w:sz w:val="18"/>
                <w:szCs w:val="18"/>
                <w:lang w:val="en-US" w:eastAsia="zh-CN" w:bidi="ar-SA"/>
              </w:rPr>
            </w:pPr>
          </w:p>
        </w:tc>
        <w:tc>
          <w:tcPr>
            <w:tcW w:w="654" w:type="dxa"/>
            <w:noWrap w:val="0"/>
            <w:vAlign w:val="center"/>
          </w:tcPr>
          <w:p w14:paraId="2B2167AE">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hanging="567" w:firstLineChars="0"/>
              <w:jc w:val="center"/>
              <w:textAlignment w:val="auto"/>
              <w:rPr>
                <w:rFonts w:ascii="宋体" w:hAnsi="宋体" w:eastAsia="黑体" w:cs="Times New Roman"/>
                <w:kern w:val="2"/>
                <w:sz w:val="18"/>
                <w:szCs w:val="18"/>
                <w:lang w:val="en-US" w:eastAsia="zh-CN" w:bidi="ar-SA"/>
              </w:rPr>
            </w:pPr>
          </w:p>
        </w:tc>
        <w:tc>
          <w:tcPr>
            <w:tcW w:w="593" w:type="dxa"/>
            <w:noWrap w:val="0"/>
            <w:vAlign w:val="center"/>
          </w:tcPr>
          <w:p w14:paraId="7A1E326C">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hanging="567" w:firstLineChars="0"/>
              <w:jc w:val="center"/>
              <w:textAlignment w:val="auto"/>
              <w:rPr>
                <w:rFonts w:hint="eastAsia" w:ascii="宋体" w:hAnsi="宋体" w:eastAsia="宋体" w:cs="Times New Roman"/>
                <w:kern w:val="2"/>
                <w:sz w:val="18"/>
                <w:szCs w:val="18"/>
                <w:lang w:val="en-US" w:eastAsia="zh-CN" w:bidi="ar-SA"/>
              </w:rPr>
            </w:pPr>
          </w:p>
        </w:tc>
        <w:tc>
          <w:tcPr>
            <w:tcW w:w="2978" w:type="dxa"/>
            <w:noWrap w:val="0"/>
            <w:vAlign w:val="center"/>
          </w:tcPr>
          <w:p w14:paraId="55E40AB3">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jc w:val="both"/>
              <w:textAlignment w:val="auto"/>
              <w:rPr>
                <w:rFonts w:hint="eastAsia" w:ascii="宋体" w:hAnsi="宋体" w:eastAsia="宋体" w:cs="Times New Roman"/>
                <w:kern w:val="2"/>
                <w:sz w:val="18"/>
                <w:szCs w:val="18"/>
                <w:lang w:val="en-US" w:eastAsia="zh-CN" w:bidi="ar-SA"/>
              </w:rPr>
            </w:pPr>
          </w:p>
        </w:tc>
        <w:tc>
          <w:tcPr>
            <w:tcW w:w="611" w:type="dxa"/>
            <w:noWrap w:val="0"/>
            <w:vAlign w:val="top"/>
          </w:tcPr>
          <w:p w14:paraId="72EB9B43">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hanging="567" w:firstLineChars="0"/>
              <w:textAlignment w:val="auto"/>
              <w:rPr>
                <w:rFonts w:ascii="宋体" w:hAnsi="宋体" w:eastAsia="黑体" w:cs="Times New Roman"/>
                <w:kern w:val="2"/>
                <w:sz w:val="18"/>
                <w:szCs w:val="18"/>
                <w:lang w:val="en-US" w:eastAsia="zh-CN" w:bidi="ar-SA"/>
              </w:rPr>
            </w:pPr>
          </w:p>
        </w:tc>
        <w:tc>
          <w:tcPr>
            <w:tcW w:w="1655" w:type="dxa"/>
            <w:noWrap w:val="0"/>
            <w:vAlign w:val="top"/>
          </w:tcPr>
          <w:p w14:paraId="2E0A7100">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leftChars="0" w:hanging="567" w:firstLineChars="0"/>
              <w:jc w:val="both"/>
              <w:textAlignment w:val="auto"/>
              <w:rPr>
                <w:rFonts w:ascii="宋体" w:hAnsi="宋体" w:eastAsia="黑体" w:cs="Times New Roman"/>
                <w:kern w:val="2"/>
                <w:sz w:val="18"/>
                <w:szCs w:val="18"/>
                <w:lang w:val="en-US" w:eastAsia="zh-CN" w:bidi="ar-SA"/>
              </w:rPr>
            </w:pPr>
          </w:p>
        </w:tc>
        <w:tc>
          <w:tcPr>
            <w:tcW w:w="1354" w:type="dxa"/>
            <w:noWrap w:val="0"/>
            <w:vAlign w:val="center"/>
          </w:tcPr>
          <w:p w14:paraId="76DD21D0">
            <w:pPr>
              <w:pStyle w:val="168"/>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ind w:left="0"/>
              <w:jc w:val="both"/>
              <w:textAlignment w:val="auto"/>
              <w:rPr>
                <w:rFonts w:ascii="宋体" w:hAnsi="宋体" w:eastAsia="黑体" w:cs="Times New Roman"/>
                <w:kern w:val="2"/>
                <w:sz w:val="18"/>
                <w:szCs w:val="18"/>
                <w:lang w:val="en-US" w:eastAsia="zh-CN" w:bidi="ar-SA"/>
              </w:rPr>
            </w:pPr>
          </w:p>
        </w:tc>
      </w:tr>
      <w:tr w14:paraId="72E179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0AD6CBB1">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.5.</w:t>
            </w:r>
            <w:r>
              <w:rPr>
                <w:rFonts w:hint="eastAsia" w:ascii="宋体" w:hAnsi="宋体"/>
                <w:sz w:val="18"/>
                <w:szCs w:val="18"/>
                <w:lang w:val="en-US" w:eastAsia="zh-CN"/>
              </w:rPr>
              <w:t>3</w:t>
            </w:r>
          </w:p>
        </w:tc>
        <w:tc>
          <w:tcPr>
            <w:tcW w:w="5954" w:type="dxa"/>
            <w:noWrap w:val="0"/>
            <w:vAlign w:val="center"/>
          </w:tcPr>
          <w:p w14:paraId="4313A3E4">
            <w:pPr>
              <w:adjustRightInd w:val="0"/>
              <w:snapToGrid w:val="0"/>
              <w:jc w:val="left"/>
              <w:rPr>
                <w:rFonts w:ascii="宋体" w:hAnsi="宋体"/>
                <w:sz w:val="18"/>
                <w:szCs w:val="18"/>
              </w:rPr>
            </w:pPr>
            <w:r>
              <w:rPr>
                <w:rFonts w:hint="eastAsia" w:ascii="宋体" w:hAnsi="宋体"/>
                <w:sz w:val="18"/>
                <w:szCs w:val="18"/>
              </w:rPr>
              <w:t>自动扶梯应符合下列要求：</w:t>
            </w:r>
          </w:p>
          <w:p w14:paraId="4F0FB471">
            <w:pPr>
              <w:adjustRightInd w:val="0"/>
              <w:snapToGrid w:val="0"/>
              <w:jc w:val="left"/>
              <w:rPr>
                <w:rFonts w:hint="eastAsia" w:ascii="宋体" w:hAnsi="宋体"/>
                <w:sz w:val="18"/>
                <w:szCs w:val="18"/>
              </w:rPr>
            </w:pPr>
            <w:r>
              <w:rPr>
                <w:rFonts w:hint="eastAsia" w:ascii="宋体" w:hAnsi="宋体"/>
                <w:sz w:val="18"/>
                <w:szCs w:val="18"/>
              </w:rPr>
              <w:t>a）紧急停止装置应设置在位于自动扶梯出入口附近</w:t>
            </w:r>
            <w:r>
              <w:rPr>
                <w:rFonts w:hint="eastAsia" w:ascii="宋体" w:hAnsi="宋体"/>
                <w:sz w:val="18"/>
                <w:szCs w:val="18"/>
                <w:lang w:eastAsia="zh-CN"/>
              </w:rPr>
              <w:t>，</w:t>
            </w:r>
            <w:r>
              <w:rPr>
                <w:rFonts w:hint="eastAsia" w:ascii="宋体" w:hAnsi="宋体"/>
                <w:sz w:val="18"/>
                <w:szCs w:val="18"/>
                <w:lang w:val="en-US" w:eastAsia="zh-CN"/>
              </w:rPr>
              <w:t>标识清晰</w:t>
            </w:r>
            <w:r>
              <w:rPr>
                <w:rFonts w:hint="eastAsia" w:ascii="宋体" w:hAnsi="宋体"/>
                <w:sz w:val="18"/>
                <w:szCs w:val="18"/>
              </w:rPr>
              <w:t>；</w:t>
            </w:r>
          </w:p>
          <w:p w14:paraId="2911A196">
            <w:pPr>
              <w:adjustRightInd w:val="0"/>
              <w:snapToGrid w:val="0"/>
              <w:ind w:firstLine="0" w:firstLineChars="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b</w:t>
            </w:r>
            <w:r>
              <w:rPr>
                <w:rFonts w:hint="eastAsia" w:ascii="宋体" w:hAnsi="宋体"/>
                <w:sz w:val="18"/>
                <w:szCs w:val="18"/>
              </w:rPr>
              <w:t>）在自动扶梯</w:t>
            </w:r>
            <w:r>
              <w:rPr>
                <w:rFonts w:hint="eastAsia" w:ascii="宋体" w:hAnsi="宋体"/>
                <w:sz w:val="18"/>
                <w:szCs w:val="18"/>
                <w:lang w:val="en-US" w:eastAsia="zh-CN"/>
              </w:rPr>
              <w:t>出</w:t>
            </w:r>
            <w:r>
              <w:rPr>
                <w:rFonts w:hint="eastAsia" w:ascii="宋体" w:hAnsi="宋体"/>
                <w:sz w:val="18"/>
                <w:szCs w:val="18"/>
              </w:rPr>
              <w:t>入口处应设置包括必须拉住小孩、必须抱着宠物、必须握住扶手带和禁止使用非专用手推车等内容的安全乘用图形标志。</w:t>
            </w:r>
          </w:p>
        </w:tc>
        <w:tc>
          <w:tcPr>
            <w:tcW w:w="596" w:type="dxa"/>
            <w:noWrap w:val="0"/>
            <w:vAlign w:val="center"/>
          </w:tcPr>
          <w:p w14:paraId="19624970">
            <w:pPr>
              <w:adjustRightInd w:val="0"/>
              <w:snapToGrid w:val="0"/>
              <w:jc w:val="center"/>
              <w:rPr>
                <w:rFonts w:ascii="宋体" w:hAnsi="宋体" w:eastAsia="宋体" w:cs="Times New Roman"/>
                <w:kern w:val="2"/>
                <w:sz w:val="18"/>
                <w:szCs w:val="18"/>
                <w:lang w:val="en-US" w:eastAsia="zh-CN" w:bidi="ar-SA"/>
              </w:rPr>
            </w:pPr>
          </w:p>
        </w:tc>
        <w:tc>
          <w:tcPr>
            <w:tcW w:w="654" w:type="dxa"/>
            <w:noWrap w:val="0"/>
            <w:vAlign w:val="center"/>
          </w:tcPr>
          <w:p w14:paraId="6E400C03">
            <w:pPr>
              <w:adjustRightInd w:val="0"/>
              <w:snapToGrid w:val="0"/>
              <w:jc w:val="center"/>
              <w:rPr>
                <w:rFonts w:ascii="宋体" w:hAnsi="宋体" w:eastAsia="宋体" w:cs="Times New Roman"/>
                <w:kern w:val="2"/>
                <w:sz w:val="18"/>
                <w:szCs w:val="18"/>
                <w:lang w:val="en-US" w:eastAsia="zh-CN" w:bidi="ar-SA"/>
              </w:rPr>
            </w:pPr>
          </w:p>
        </w:tc>
        <w:tc>
          <w:tcPr>
            <w:tcW w:w="593" w:type="dxa"/>
            <w:noWrap w:val="0"/>
            <w:vAlign w:val="center"/>
          </w:tcPr>
          <w:p w14:paraId="7969F5E3">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2</w:t>
            </w:r>
          </w:p>
        </w:tc>
        <w:tc>
          <w:tcPr>
            <w:tcW w:w="2978" w:type="dxa"/>
            <w:noWrap w:val="0"/>
            <w:vAlign w:val="center"/>
          </w:tcPr>
          <w:p w14:paraId="40F644EF">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一处不符合扣1分。</w:t>
            </w:r>
          </w:p>
        </w:tc>
        <w:tc>
          <w:tcPr>
            <w:tcW w:w="611" w:type="dxa"/>
            <w:noWrap w:val="0"/>
            <w:vAlign w:val="top"/>
          </w:tcPr>
          <w:p w14:paraId="16AD1B28">
            <w:pPr>
              <w:adjustRightInd w:val="0"/>
              <w:snapToGrid w:val="0"/>
              <w:rPr>
                <w:rFonts w:ascii="宋体" w:hAnsi="宋体" w:eastAsia="宋体" w:cs="Times New Roman"/>
                <w:kern w:val="2"/>
                <w:sz w:val="18"/>
                <w:szCs w:val="18"/>
                <w:lang w:val="en-US" w:eastAsia="zh-CN" w:bidi="ar-SA"/>
              </w:rPr>
            </w:pPr>
          </w:p>
        </w:tc>
        <w:tc>
          <w:tcPr>
            <w:tcW w:w="1655" w:type="dxa"/>
            <w:noWrap w:val="0"/>
            <w:vAlign w:val="top"/>
          </w:tcPr>
          <w:p w14:paraId="36D36A99">
            <w:pPr>
              <w:adjustRightInd w:val="0"/>
              <w:snapToGrid w:val="0"/>
              <w:rPr>
                <w:rFonts w:ascii="宋体" w:hAnsi="宋体" w:eastAsia="宋体" w:cs="Times New Roman"/>
                <w:kern w:val="2"/>
                <w:sz w:val="18"/>
                <w:szCs w:val="18"/>
                <w:lang w:val="en-US" w:eastAsia="zh-CN" w:bidi="ar-SA"/>
              </w:rPr>
            </w:pPr>
          </w:p>
        </w:tc>
        <w:tc>
          <w:tcPr>
            <w:tcW w:w="1354" w:type="dxa"/>
            <w:noWrap w:val="0"/>
            <w:vAlign w:val="center"/>
          </w:tcPr>
          <w:p w14:paraId="17831087">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r w14:paraId="14999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2CA383E8">
            <w:pPr>
              <w:adjustRightInd w:val="0"/>
              <w:snapToGrid w:val="0"/>
              <w:spacing w:line="240" w:lineRule="atLeast"/>
              <w:jc w:val="center"/>
              <w:rPr>
                <w:rFonts w:ascii="宋体" w:hAnsi="宋体" w:eastAsia="宋体" w:cs="Times New Roman"/>
                <w:kern w:val="2"/>
                <w:sz w:val="18"/>
                <w:szCs w:val="18"/>
                <w:lang w:val="en-US" w:eastAsia="zh-CN" w:bidi="ar-SA"/>
              </w:rPr>
            </w:pPr>
            <w:r>
              <w:rPr>
                <w:rFonts w:hint="eastAsia" w:ascii="宋体" w:hAnsi="宋体"/>
                <w:sz w:val="18"/>
                <w:szCs w:val="18"/>
              </w:rPr>
              <w:t>4.5.4</w:t>
            </w:r>
          </w:p>
        </w:tc>
        <w:tc>
          <w:tcPr>
            <w:tcW w:w="5954" w:type="dxa"/>
            <w:noWrap w:val="0"/>
            <w:vAlign w:val="center"/>
          </w:tcPr>
          <w:p w14:paraId="6654DE5E">
            <w:pPr>
              <w:adjustRightInd w:val="0"/>
              <w:snapToGrid w:val="0"/>
              <w:jc w:val="left"/>
              <w:rPr>
                <w:rFonts w:hint="eastAsia" w:ascii="宋体" w:hAnsi="宋体"/>
                <w:sz w:val="18"/>
                <w:szCs w:val="18"/>
              </w:rPr>
            </w:pPr>
            <w:r>
              <w:rPr>
                <w:rFonts w:hint="eastAsia" w:ascii="宋体" w:hAnsi="宋体"/>
                <w:sz w:val="18"/>
                <w:szCs w:val="18"/>
              </w:rPr>
              <w:t>杂物电梯应符合下列要求：</w:t>
            </w:r>
          </w:p>
          <w:p w14:paraId="4680D28F">
            <w:pPr>
              <w:numPr>
                <w:ilvl w:val="0"/>
                <w:numId w:val="59"/>
              </w:numPr>
              <w:adjustRightInd w:val="0"/>
              <w:snapToGrid w:val="0"/>
              <w:jc w:val="left"/>
              <w:rPr>
                <w:rFonts w:hint="eastAsia" w:ascii="宋体" w:hAnsi="宋体"/>
                <w:sz w:val="18"/>
                <w:szCs w:val="18"/>
              </w:rPr>
            </w:pPr>
            <w:r>
              <w:rPr>
                <w:rFonts w:hint="eastAsia" w:ascii="宋体" w:hAnsi="宋体"/>
                <w:sz w:val="18"/>
                <w:szCs w:val="18"/>
              </w:rPr>
              <w:t>机房应专用，不应用于杂物电梯以外的其他用途；</w:t>
            </w:r>
          </w:p>
          <w:p w14:paraId="3164E0BA">
            <w:pPr>
              <w:numPr>
                <w:ilvl w:val="0"/>
                <w:numId w:val="59"/>
              </w:numPr>
              <w:adjustRightInd w:val="0"/>
              <w:snapToGrid w:val="0"/>
              <w:ind w:left="0" w:leftChars="0" w:firstLine="0" w:firstLineChars="0"/>
              <w:jc w:val="left"/>
              <w:rPr>
                <w:rFonts w:hint="eastAsia" w:ascii="宋体" w:hAnsi="宋体"/>
                <w:sz w:val="18"/>
                <w:szCs w:val="18"/>
              </w:rPr>
            </w:pPr>
            <w:r>
              <w:rPr>
                <w:rFonts w:hint="eastAsia" w:ascii="宋体" w:hAnsi="宋体"/>
                <w:sz w:val="18"/>
                <w:szCs w:val="18"/>
              </w:rPr>
              <w:t>杂物电梯的机房门外侧应标明“</w:t>
            </w:r>
            <w:r>
              <w:rPr>
                <w:rFonts w:hint="eastAsia" w:ascii="宋体" w:hAnsi="宋体"/>
                <w:sz w:val="18"/>
                <w:szCs w:val="18"/>
                <w:lang w:val="en-US" w:eastAsia="zh-CN"/>
              </w:rPr>
              <w:t>杂物电梯机器-危险，未经授权人员禁止入内</w:t>
            </w:r>
            <w:r>
              <w:rPr>
                <w:rFonts w:hint="eastAsia" w:ascii="宋体" w:hAnsi="宋体"/>
                <w:sz w:val="18"/>
                <w:szCs w:val="18"/>
              </w:rPr>
              <w:t>”，或者有其他类似警示标志；</w:t>
            </w:r>
          </w:p>
          <w:p w14:paraId="42E3CCEB">
            <w:pPr>
              <w:numPr>
                <w:ilvl w:val="0"/>
                <w:numId w:val="0"/>
              </w:numPr>
              <w:adjustRightInd w:val="0"/>
              <w:snapToGrid w:val="0"/>
              <w:ind w:leftChars="0"/>
              <w:jc w:val="left"/>
              <w:rPr>
                <w:rFonts w:hint="eastAsia" w:ascii="宋体" w:hAnsi="宋体"/>
                <w:sz w:val="18"/>
                <w:szCs w:val="18"/>
              </w:rPr>
            </w:pPr>
            <w:r>
              <w:rPr>
                <w:rFonts w:hint="eastAsia" w:ascii="宋体" w:hAnsi="宋体"/>
                <w:sz w:val="18"/>
                <w:szCs w:val="18"/>
              </w:rPr>
              <w:t>c）轿厢内应设置铭牌，标明制造厂名称或者商标；改造后的杂物电梯，铭牌上应标明改造</w:t>
            </w:r>
            <w:r>
              <w:rPr>
                <w:rFonts w:hint="eastAsia" w:ascii="宋体" w:hAnsi="宋体"/>
                <w:sz w:val="18"/>
                <w:szCs w:val="18"/>
                <w:lang w:val="en-US" w:eastAsia="zh-CN"/>
              </w:rPr>
              <w:t>单位</w:t>
            </w:r>
            <w:r>
              <w:rPr>
                <w:rFonts w:hint="eastAsia" w:ascii="宋体" w:hAnsi="宋体"/>
                <w:sz w:val="18"/>
                <w:szCs w:val="18"/>
              </w:rPr>
              <w:t>名称、改造竣工日期等；</w:t>
            </w:r>
          </w:p>
          <w:p w14:paraId="6656D4C0">
            <w:pPr>
              <w:adjustRightInd w:val="0"/>
              <w:snapToGrid w:val="0"/>
              <w:spacing w:line="240" w:lineRule="atLeast"/>
              <w:rPr>
                <w:rFonts w:hint="default" w:ascii="宋体" w:hAnsi="宋体" w:eastAsia="宋体" w:cs="Times New Roman"/>
                <w:kern w:val="2"/>
                <w:sz w:val="18"/>
                <w:szCs w:val="18"/>
                <w:lang w:val="en-US" w:eastAsia="zh-CN" w:bidi="ar-SA"/>
              </w:rPr>
            </w:pPr>
            <w:r>
              <w:rPr>
                <w:rFonts w:hint="eastAsia" w:ascii="宋体" w:hAnsi="宋体"/>
                <w:sz w:val="18"/>
                <w:szCs w:val="18"/>
              </w:rPr>
              <w:t>d）每个层门或者其附近位置，应标示杂物电梯的额定载重量和“禁止进入轿厢”</w:t>
            </w:r>
            <w:r>
              <w:rPr>
                <w:rFonts w:hint="eastAsia" w:ascii="宋体" w:hAnsi="宋体"/>
                <w:sz w:val="18"/>
                <w:szCs w:val="18"/>
                <w:lang w:val="en-US" w:eastAsia="zh-CN"/>
              </w:rPr>
              <w:t>警示标识</w:t>
            </w:r>
            <w:r>
              <w:rPr>
                <w:rFonts w:hint="eastAsia" w:ascii="宋体" w:hAnsi="宋体"/>
                <w:sz w:val="18"/>
                <w:szCs w:val="18"/>
              </w:rPr>
              <w:t>。</w:t>
            </w:r>
          </w:p>
        </w:tc>
        <w:tc>
          <w:tcPr>
            <w:tcW w:w="596" w:type="dxa"/>
            <w:noWrap w:val="0"/>
            <w:vAlign w:val="center"/>
          </w:tcPr>
          <w:p w14:paraId="7CC99C27">
            <w:pPr>
              <w:adjustRightInd w:val="0"/>
              <w:snapToGrid w:val="0"/>
              <w:jc w:val="center"/>
              <w:rPr>
                <w:rFonts w:ascii="宋体" w:hAnsi="宋体" w:eastAsia="宋体" w:cs="Times New Roman"/>
                <w:kern w:val="2"/>
                <w:sz w:val="18"/>
                <w:szCs w:val="18"/>
                <w:lang w:val="en-US" w:eastAsia="zh-CN" w:bidi="ar-SA"/>
              </w:rPr>
            </w:pPr>
          </w:p>
        </w:tc>
        <w:tc>
          <w:tcPr>
            <w:tcW w:w="654" w:type="dxa"/>
            <w:noWrap w:val="0"/>
            <w:vAlign w:val="center"/>
          </w:tcPr>
          <w:p w14:paraId="11EC7E38">
            <w:pPr>
              <w:adjustRightInd w:val="0"/>
              <w:snapToGrid w:val="0"/>
              <w:jc w:val="center"/>
              <w:rPr>
                <w:rFonts w:ascii="宋体" w:hAnsi="宋体" w:eastAsia="宋体" w:cs="Times New Roman"/>
                <w:kern w:val="2"/>
                <w:sz w:val="18"/>
                <w:szCs w:val="18"/>
                <w:lang w:val="en-US" w:eastAsia="zh-CN" w:bidi="ar-SA"/>
              </w:rPr>
            </w:pPr>
          </w:p>
        </w:tc>
        <w:tc>
          <w:tcPr>
            <w:tcW w:w="593" w:type="dxa"/>
            <w:noWrap w:val="0"/>
            <w:vAlign w:val="center"/>
          </w:tcPr>
          <w:p w14:paraId="7B66A3B3">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w:t>
            </w:r>
          </w:p>
        </w:tc>
        <w:tc>
          <w:tcPr>
            <w:tcW w:w="2978" w:type="dxa"/>
            <w:noWrap w:val="0"/>
            <w:vAlign w:val="center"/>
          </w:tcPr>
          <w:p w14:paraId="3A5BDFBA">
            <w:pPr>
              <w:adjustRightInd w:val="0"/>
              <w:snapToGrid w:val="0"/>
              <w:rPr>
                <w:rFonts w:ascii="宋体" w:hAnsi="宋体" w:eastAsia="宋体" w:cs="Times New Roman"/>
                <w:kern w:val="2"/>
                <w:sz w:val="18"/>
                <w:szCs w:val="18"/>
                <w:lang w:val="en-US" w:eastAsia="zh-CN" w:bidi="ar-SA"/>
              </w:rPr>
            </w:pPr>
            <w:r>
              <w:rPr>
                <w:rFonts w:hint="eastAsia" w:ascii="宋体" w:hAnsi="宋体"/>
                <w:sz w:val="18"/>
                <w:szCs w:val="18"/>
              </w:rPr>
              <w:t>一处不符合扣1分。</w:t>
            </w:r>
          </w:p>
        </w:tc>
        <w:tc>
          <w:tcPr>
            <w:tcW w:w="611" w:type="dxa"/>
            <w:noWrap w:val="0"/>
            <w:vAlign w:val="top"/>
          </w:tcPr>
          <w:p w14:paraId="4FEEA733">
            <w:pPr>
              <w:adjustRightInd w:val="0"/>
              <w:snapToGrid w:val="0"/>
              <w:rPr>
                <w:rFonts w:ascii="宋体" w:hAnsi="宋体" w:eastAsia="宋体" w:cs="Times New Roman"/>
                <w:kern w:val="2"/>
                <w:sz w:val="18"/>
                <w:szCs w:val="18"/>
                <w:lang w:val="en-US" w:eastAsia="zh-CN" w:bidi="ar-SA"/>
              </w:rPr>
            </w:pPr>
          </w:p>
        </w:tc>
        <w:tc>
          <w:tcPr>
            <w:tcW w:w="1655" w:type="dxa"/>
            <w:noWrap w:val="0"/>
            <w:vAlign w:val="top"/>
          </w:tcPr>
          <w:p w14:paraId="2A12474C">
            <w:pPr>
              <w:adjustRightInd w:val="0"/>
              <w:snapToGrid w:val="0"/>
              <w:rPr>
                <w:rFonts w:ascii="宋体" w:hAnsi="宋体" w:eastAsia="宋体" w:cs="Times New Roman"/>
                <w:kern w:val="2"/>
                <w:sz w:val="18"/>
                <w:szCs w:val="18"/>
                <w:lang w:val="en-US" w:eastAsia="zh-CN" w:bidi="ar-SA"/>
              </w:rPr>
            </w:pPr>
          </w:p>
        </w:tc>
        <w:tc>
          <w:tcPr>
            <w:tcW w:w="1354" w:type="dxa"/>
            <w:noWrap w:val="0"/>
            <w:vAlign w:val="center"/>
          </w:tcPr>
          <w:p w14:paraId="6EE0C17C">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.1</w:t>
            </w:r>
          </w:p>
        </w:tc>
      </w:tr>
      <w:tr w14:paraId="2731E5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71DA8FA8">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6</w:t>
            </w:r>
          </w:p>
        </w:tc>
        <w:tc>
          <w:tcPr>
            <w:tcW w:w="5954" w:type="dxa"/>
            <w:noWrap w:val="0"/>
            <w:vAlign w:val="center"/>
          </w:tcPr>
          <w:p w14:paraId="63C3ED3C">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客运索道、大型游乐设施</w:t>
            </w:r>
          </w:p>
        </w:tc>
        <w:tc>
          <w:tcPr>
            <w:tcW w:w="596" w:type="dxa"/>
            <w:noWrap w:val="0"/>
            <w:vAlign w:val="center"/>
          </w:tcPr>
          <w:p w14:paraId="464BEC3C">
            <w:pPr>
              <w:adjustRightInd w:val="0"/>
              <w:snapToGrid w:val="0"/>
              <w:jc w:val="center"/>
              <w:rPr>
                <w:rFonts w:hint="eastAsia" w:ascii="宋体" w:hAnsi="宋体" w:eastAsia="宋体" w:cs="Times New Roman"/>
                <w:kern w:val="2"/>
                <w:sz w:val="18"/>
                <w:szCs w:val="18"/>
                <w:lang w:val="en-US" w:eastAsia="zh-CN" w:bidi="ar-SA"/>
              </w:rPr>
            </w:pPr>
          </w:p>
        </w:tc>
        <w:tc>
          <w:tcPr>
            <w:tcW w:w="654" w:type="dxa"/>
            <w:noWrap w:val="0"/>
            <w:vAlign w:val="center"/>
          </w:tcPr>
          <w:p w14:paraId="27088AF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r>
              <w:rPr>
                <w:rFonts w:hint="eastAsia" w:ascii="宋体" w:hAnsi="宋体"/>
                <w:sz w:val="18"/>
                <w:szCs w:val="18"/>
              </w:rPr>
              <w:t>0</w:t>
            </w:r>
          </w:p>
        </w:tc>
        <w:tc>
          <w:tcPr>
            <w:tcW w:w="593" w:type="dxa"/>
            <w:noWrap w:val="0"/>
            <w:vAlign w:val="center"/>
          </w:tcPr>
          <w:p w14:paraId="316734BD">
            <w:pPr>
              <w:adjustRightInd w:val="0"/>
              <w:snapToGrid w:val="0"/>
              <w:jc w:val="center"/>
              <w:rPr>
                <w:rFonts w:hint="default" w:ascii="宋体" w:hAnsi="宋体" w:eastAsia="宋体" w:cs="Times New Roman"/>
                <w:kern w:val="2"/>
                <w:sz w:val="18"/>
                <w:szCs w:val="18"/>
                <w:lang w:val="en-US" w:eastAsia="zh-CN" w:bidi="ar-SA"/>
              </w:rPr>
            </w:pPr>
          </w:p>
        </w:tc>
        <w:tc>
          <w:tcPr>
            <w:tcW w:w="2978" w:type="dxa"/>
            <w:noWrap w:val="0"/>
            <w:vAlign w:val="center"/>
          </w:tcPr>
          <w:p w14:paraId="674148D9">
            <w:pPr>
              <w:adjustRightInd w:val="0"/>
              <w:snapToGrid w:val="0"/>
              <w:rPr>
                <w:rFonts w:hint="eastAsia" w:ascii="宋体" w:hAnsi="宋体" w:eastAsia="宋体" w:cs="Times New Roman"/>
                <w:kern w:val="2"/>
                <w:sz w:val="18"/>
                <w:szCs w:val="18"/>
                <w:lang w:val="en-US" w:eastAsia="zh-CN" w:bidi="ar-SA"/>
              </w:rPr>
            </w:pPr>
          </w:p>
        </w:tc>
        <w:tc>
          <w:tcPr>
            <w:tcW w:w="611" w:type="dxa"/>
            <w:noWrap w:val="0"/>
            <w:vAlign w:val="top"/>
          </w:tcPr>
          <w:p w14:paraId="6979CDC5">
            <w:pPr>
              <w:adjustRightInd w:val="0"/>
              <w:snapToGrid w:val="0"/>
              <w:rPr>
                <w:rFonts w:ascii="宋体" w:hAnsi="宋体" w:eastAsia="宋体" w:cs="Times New Roman"/>
                <w:kern w:val="2"/>
                <w:sz w:val="18"/>
                <w:szCs w:val="18"/>
                <w:lang w:val="en-US" w:eastAsia="zh-CN" w:bidi="ar-SA"/>
              </w:rPr>
            </w:pPr>
          </w:p>
        </w:tc>
        <w:tc>
          <w:tcPr>
            <w:tcW w:w="1655" w:type="dxa"/>
            <w:noWrap w:val="0"/>
            <w:vAlign w:val="top"/>
          </w:tcPr>
          <w:p w14:paraId="796BDB24">
            <w:pPr>
              <w:adjustRightInd w:val="0"/>
              <w:snapToGrid w:val="0"/>
              <w:rPr>
                <w:rFonts w:ascii="宋体" w:hAnsi="宋体" w:eastAsia="宋体" w:cs="Times New Roman"/>
                <w:kern w:val="2"/>
                <w:sz w:val="18"/>
                <w:szCs w:val="18"/>
                <w:lang w:val="en-US" w:eastAsia="zh-CN" w:bidi="ar-SA"/>
              </w:rPr>
            </w:pPr>
          </w:p>
        </w:tc>
        <w:tc>
          <w:tcPr>
            <w:tcW w:w="1354" w:type="dxa"/>
            <w:noWrap w:val="0"/>
            <w:vAlign w:val="center"/>
          </w:tcPr>
          <w:p w14:paraId="58D2906F">
            <w:pPr>
              <w:adjustRightInd w:val="0"/>
              <w:snapToGrid w:val="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.3</w:t>
            </w:r>
          </w:p>
        </w:tc>
      </w:tr>
      <w:tr w14:paraId="037C05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shd w:val="clear"/>
            <w:noWrap w:val="0"/>
            <w:vAlign w:val="center"/>
          </w:tcPr>
          <w:p w14:paraId="4CDCEEA2">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6</w:t>
            </w:r>
            <w:r>
              <w:rPr>
                <w:rFonts w:hint="eastAsia" w:ascii="宋体" w:hAnsi="宋体"/>
                <w:sz w:val="18"/>
                <w:szCs w:val="18"/>
              </w:rPr>
              <w:t>.1</w:t>
            </w:r>
          </w:p>
        </w:tc>
        <w:tc>
          <w:tcPr>
            <w:tcW w:w="5954" w:type="dxa"/>
            <w:shd w:val="clear"/>
            <w:noWrap w:val="0"/>
            <w:vAlign w:val="center"/>
          </w:tcPr>
          <w:p w14:paraId="639FBEE2">
            <w:pPr>
              <w:numPr>
                <w:ilvl w:val="0"/>
                <w:numId w:val="0"/>
              </w:numPr>
              <w:adjustRightInd w:val="0"/>
              <w:snapToGrid w:val="0"/>
              <w:rPr>
                <w:rFonts w:hint="eastAsia" w:ascii="宋体" w:hAnsi="宋体"/>
                <w:sz w:val="18"/>
                <w:szCs w:val="18"/>
              </w:rPr>
            </w:pPr>
            <w:r>
              <w:rPr>
                <w:rFonts w:hint="eastAsia" w:ascii="宋体" w:hAnsi="宋体"/>
                <w:sz w:val="18"/>
                <w:szCs w:val="18"/>
              </w:rPr>
              <w:t>客运索道、大型游乐设施日常管理应符合下列要求：</w:t>
            </w:r>
          </w:p>
          <w:p w14:paraId="0A6CF8CC">
            <w:pPr>
              <w:numPr>
                <w:ilvl w:val="0"/>
                <w:numId w:val="60"/>
              </w:numPr>
              <w:adjustRightInd w:val="0"/>
              <w:snapToGrid w:val="0"/>
              <w:rPr>
                <w:rFonts w:hint="eastAsia" w:ascii="宋体" w:hAnsi="宋体"/>
                <w:sz w:val="18"/>
                <w:szCs w:val="18"/>
              </w:rPr>
            </w:pPr>
            <w:r>
              <w:rPr>
                <w:rFonts w:hint="eastAsia" w:ascii="宋体" w:hAnsi="宋体"/>
                <w:sz w:val="18"/>
                <w:szCs w:val="18"/>
              </w:rPr>
              <w:t>应在</w:t>
            </w:r>
            <w:r>
              <w:rPr>
                <w:rFonts w:hint="eastAsia" w:ascii="宋体" w:hAnsi="宋体"/>
                <w:sz w:val="18"/>
                <w:szCs w:val="18"/>
                <w:lang w:val="en-US" w:eastAsia="zh-CN"/>
              </w:rPr>
              <w:t>客运索道和</w:t>
            </w:r>
            <w:r>
              <w:rPr>
                <w:rFonts w:hint="eastAsia" w:ascii="宋体" w:hAnsi="宋体"/>
                <w:sz w:val="18"/>
                <w:szCs w:val="18"/>
              </w:rPr>
              <w:t>大型游乐设施的入口处等显著位置张贴乘客须知、安全注意事项和安全警示标志，注明设备的运动特点、乘客范围、禁忌事宜等；</w:t>
            </w:r>
          </w:p>
          <w:p w14:paraId="35156548">
            <w:pPr>
              <w:numPr>
                <w:ilvl w:val="0"/>
                <w:numId w:val="60"/>
              </w:numPr>
              <w:adjustRightInd w:val="0"/>
              <w:snapToGrid w:val="0"/>
              <w:ind w:left="0" w:leftChars="0" w:firstLine="0" w:firstLineChars="0"/>
              <w:rPr>
                <w:rFonts w:hint="eastAsia" w:ascii="宋体" w:hAnsi="宋体"/>
                <w:sz w:val="18"/>
                <w:szCs w:val="18"/>
                <w:lang w:eastAsia="zh-CN"/>
              </w:rPr>
            </w:pPr>
            <w:r>
              <w:rPr>
                <w:rFonts w:hint="eastAsia" w:ascii="宋体" w:hAnsi="宋体"/>
                <w:sz w:val="18"/>
                <w:szCs w:val="18"/>
              </w:rPr>
              <w:t>大型游乐设施在每日投入使用前，应按照产品使用维护保养说明书的要求，开展设备运营前的试运行和例行安全检查，对乘客束缚装置等安全保护装置进行检查确认，并且作出记录</w:t>
            </w:r>
            <w:r>
              <w:rPr>
                <w:rFonts w:hint="eastAsia" w:ascii="宋体" w:hAnsi="宋体"/>
                <w:sz w:val="18"/>
                <w:szCs w:val="18"/>
                <w:lang w:eastAsia="zh-CN"/>
              </w:rPr>
              <w:t>；</w:t>
            </w:r>
          </w:p>
          <w:p w14:paraId="0C96D747">
            <w:pPr>
              <w:numPr>
                <w:ilvl w:val="0"/>
                <w:numId w:val="0"/>
              </w:numPr>
              <w:adjustRightInd w:val="0"/>
              <w:snapToGrid w:val="0"/>
              <w:ind w:leftChars="0"/>
              <w:rPr>
                <w:rFonts w:hint="default" w:ascii="宋体" w:hAnsi="宋体"/>
                <w:sz w:val="18"/>
                <w:szCs w:val="18"/>
                <w:lang w:val="en-US" w:eastAsia="zh-CN"/>
              </w:rPr>
            </w:pPr>
            <w:r>
              <w:rPr>
                <w:rFonts w:hint="eastAsia" w:ascii="宋体" w:hAnsi="宋体"/>
                <w:sz w:val="18"/>
                <w:szCs w:val="18"/>
                <w:lang w:val="en-US" w:eastAsia="zh-CN"/>
              </w:rPr>
              <w:t>c</w:t>
            </w:r>
            <w:r>
              <w:rPr>
                <w:rFonts w:hint="eastAsia" w:ascii="宋体" w:hAnsi="宋体"/>
                <w:sz w:val="18"/>
                <w:szCs w:val="18"/>
              </w:rPr>
              <w:t>）</w:t>
            </w:r>
            <w:r>
              <w:rPr>
                <w:rFonts w:hint="eastAsia" w:ascii="宋体" w:hAnsi="宋体"/>
                <w:sz w:val="18"/>
                <w:szCs w:val="18"/>
                <w:lang w:val="en-US" w:eastAsia="zh-CN"/>
              </w:rPr>
              <w:t>大型游乐设施运行时，每台至少配备一名持证操作人员；</w:t>
            </w:r>
          </w:p>
          <w:p w14:paraId="4C57A119">
            <w:pPr>
              <w:numPr>
                <w:ilvl w:val="0"/>
                <w:numId w:val="0"/>
              </w:numPr>
              <w:adjustRightInd w:val="0"/>
              <w:snapToGrid w:val="0"/>
              <w:rPr>
                <w:rFonts w:hint="default"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eastAsia="zh-CN"/>
              </w:rPr>
              <w:t>客运索道运营使用期间应保证每班至少有</w:t>
            </w:r>
            <w:r>
              <w:rPr>
                <w:rFonts w:hint="eastAsia" w:ascii="宋体" w:hAnsi="宋体"/>
                <w:sz w:val="18"/>
                <w:szCs w:val="18"/>
                <w:lang w:val="en-US" w:eastAsia="zh-CN"/>
              </w:rPr>
              <w:t>1</w:t>
            </w:r>
            <w:r>
              <w:rPr>
                <w:rFonts w:hint="eastAsia" w:ascii="宋体" w:hAnsi="宋体"/>
                <w:sz w:val="18"/>
                <w:szCs w:val="18"/>
                <w:lang w:eastAsia="zh-CN"/>
              </w:rPr>
              <w:t>名持证作业人员和</w:t>
            </w:r>
            <w:r>
              <w:rPr>
                <w:rFonts w:hint="eastAsia" w:ascii="宋体" w:hAnsi="宋体"/>
                <w:sz w:val="18"/>
                <w:szCs w:val="18"/>
                <w:lang w:val="en-US" w:eastAsia="zh-CN"/>
              </w:rPr>
              <w:t>1</w:t>
            </w:r>
            <w:r>
              <w:rPr>
                <w:rFonts w:hint="eastAsia" w:ascii="宋体" w:hAnsi="宋体"/>
                <w:sz w:val="18"/>
                <w:szCs w:val="18"/>
                <w:lang w:eastAsia="zh-CN"/>
              </w:rPr>
              <w:t>名持证安全管理人员在岗；</w:t>
            </w:r>
          </w:p>
          <w:p w14:paraId="74F186BF">
            <w:pPr>
              <w:numPr>
                <w:ilvl w:val="0"/>
                <w:numId w:val="0"/>
              </w:numPr>
              <w:adjustRightInd w:val="0"/>
              <w:snapToGrid w:val="0"/>
              <w:spacing w:line="240" w:lineRule="auto"/>
              <w:ind w:left="0" w:leftChars="0" w:firstLine="0" w:firstLineChars="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e</w:t>
            </w:r>
            <w:r>
              <w:rPr>
                <w:rFonts w:hint="eastAsia" w:ascii="宋体" w:hAnsi="宋体"/>
                <w:sz w:val="18"/>
                <w:szCs w:val="18"/>
              </w:rPr>
              <w:t>）</w:t>
            </w:r>
            <w:r>
              <w:rPr>
                <w:rFonts w:hint="eastAsia" w:ascii="宋体" w:hAnsi="宋体"/>
                <w:sz w:val="18"/>
                <w:szCs w:val="18"/>
                <w:lang w:val="en-US" w:eastAsia="zh-CN"/>
              </w:rPr>
              <w:t>客运索道</w:t>
            </w:r>
            <w:r>
              <w:rPr>
                <w:rFonts w:hint="eastAsia" w:ascii="宋体" w:hAnsi="宋体"/>
                <w:sz w:val="18"/>
                <w:szCs w:val="18"/>
              </w:rPr>
              <w:t>每</w:t>
            </w:r>
            <w:r>
              <w:rPr>
                <w:rFonts w:hint="eastAsia" w:ascii="宋体" w:hAnsi="宋体"/>
                <w:sz w:val="18"/>
                <w:szCs w:val="18"/>
                <w:lang w:val="en-US" w:eastAsia="zh-CN"/>
              </w:rPr>
              <w:t>日</w:t>
            </w:r>
            <w:r>
              <w:rPr>
                <w:rFonts w:hint="eastAsia" w:ascii="宋体" w:hAnsi="宋体"/>
                <w:sz w:val="18"/>
                <w:szCs w:val="18"/>
              </w:rPr>
              <w:t>运行前</w:t>
            </w:r>
            <w:r>
              <w:rPr>
                <w:rFonts w:hint="eastAsia" w:ascii="宋体" w:hAnsi="宋体"/>
                <w:sz w:val="18"/>
                <w:szCs w:val="18"/>
                <w:lang w:eastAsia="zh-CN"/>
              </w:rPr>
              <w:t>，</w:t>
            </w:r>
            <w:r>
              <w:rPr>
                <w:rFonts w:hint="eastAsia" w:ascii="宋体" w:hAnsi="宋体"/>
                <w:sz w:val="18"/>
                <w:szCs w:val="18"/>
              </w:rPr>
              <w:t>应</w:t>
            </w:r>
            <w:r>
              <w:rPr>
                <w:rFonts w:hint="eastAsia" w:ascii="宋体" w:hAnsi="宋体"/>
                <w:sz w:val="18"/>
                <w:szCs w:val="18"/>
                <w:lang w:val="en-US" w:eastAsia="zh-CN"/>
              </w:rPr>
              <w:t>开展运营前的安全检查。</w:t>
            </w:r>
          </w:p>
        </w:tc>
        <w:tc>
          <w:tcPr>
            <w:tcW w:w="596" w:type="dxa"/>
            <w:shd w:val="clear"/>
            <w:noWrap w:val="0"/>
            <w:vAlign w:val="center"/>
          </w:tcPr>
          <w:p w14:paraId="37684C2E">
            <w:pPr>
              <w:adjustRightInd w:val="0"/>
              <w:snapToGrid w:val="0"/>
              <w:jc w:val="center"/>
              <w:rPr>
                <w:rFonts w:hint="eastAsia" w:ascii="宋体" w:hAnsi="宋体" w:eastAsia="宋体" w:cs="Times New Roman"/>
                <w:kern w:val="2"/>
                <w:sz w:val="18"/>
                <w:szCs w:val="18"/>
                <w:lang w:val="en-US" w:eastAsia="zh-CN" w:bidi="ar-SA"/>
              </w:rPr>
            </w:pPr>
          </w:p>
        </w:tc>
        <w:tc>
          <w:tcPr>
            <w:tcW w:w="654" w:type="dxa"/>
            <w:shd w:val="clear"/>
            <w:noWrap w:val="0"/>
            <w:vAlign w:val="center"/>
          </w:tcPr>
          <w:p w14:paraId="2FF5B607">
            <w:pPr>
              <w:adjustRightInd w:val="0"/>
              <w:snapToGrid w:val="0"/>
              <w:jc w:val="center"/>
              <w:rPr>
                <w:rFonts w:hint="eastAsia" w:ascii="宋体" w:hAnsi="宋体" w:eastAsia="宋体" w:cs="Times New Roman"/>
                <w:kern w:val="2"/>
                <w:sz w:val="18"/>
                <w:szCs w:val="18"/>
                <w:lang w:val="en-US" w:eastAsia="zh-CN" w:bidi="ar-SA"/>
              </w:rPr>
            </w:pPr>
          </w:p>
        </w:tc>
        <w:tc>
          <w:tcPr>
            <w:tcW w:w="593" w:type="dxa"/>
            <w:shd w:val="clear"/>
            <w:noWrap w:val="0"/>
            <w:vAlign w:val="center"/>
          </w:tcPr>
          <w:p w14:paraId="0E566C61">
            <w:pPr>
              <w:adjustRightInd w:val="0"/>
              <w:snapToGrid w:val="0"/>
              <w:jc w:val="center"/>
              <w:rPr>
                <w:rFonts w:hint="default" w:ascii="宋体" w:hAnsi="宋体" w:eastAsia="宋体" w:cs="Times New Roman"/>
                <w:kern w:val="2"/>
                <w:sz w:val="18"/>
                <w:szCs w:val="18"/>
                <w:lang w:val="en-US" w:eastAsia="zh-CN" w:bidi="ar-SA"/>
              </w:rPr>
            </w:pPr>
            <w:r>
              <w:rPr>
                <w:rFonts w:hint="eastAsia" w:ascii="宋体" w:hAnsi="宋体"/>
                <w:sz w:val="18"/>
                <w:szCs w:val="18"/>
              </w:rPr>
              <w:t>8</w:t>
            </w:r>
          </w:p>
        </w:tc>
        <w:tc>
          <w:tcPr>
            <w:tcW w:w="2978" w:type="dxa"/>
            <w:shd w:val="clear"/>
            <w:noWrap w:val="0"/>
            <w:vAlign w:val="center"/>
          </w:tcPr>
          <w:p w14:paraId="4BF7FBE8">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一处不符合扣3分。</w:t>
            </w:r>
          </w:p>
        </w:tc>
        <w:tc>
          <w:tcPr>
            <w:tcW w:w="611" w:type="dxa"/>
            <w:shd w:val="clear"/>
            <w:noWrap w:val="0"/>
            <w:vAlign w:val="top"/>
          </w:tcPr>
          <w:p w14:paraId="647AB492">
            <w:pPr>
              <w:adjustRightInd w:val="0"/>
              <w:snapToGrid w:val="0"/>
              <w:rPr>
                <w:rFonts w:ascii="宋体" w:hAnsi="宋体" w:eastAsia="宋体" w:cs="Times New Roman"/>
                <w:kern w:val="2"/>
                <w:sz w:val="18"/>
                <w:szCs w:val="18"/>
                <w:lang w:val="en-US" w:eastAsia="zh-CN" w:bidi="ar-SA"/>
              </w:rPr>
            </w:pPr>
          </w:p>
        </w:tc>
        <w:tc>
          <w:tcPr>
            <w:tcW w:w="1655" w:type="dxa"/>
            <w:shd w:val="clear"/>
            <w:noWrap w:val="0"/>
            <w:vAlign w:val="top"/>
          </w:tcPr>
          <w:p w14:paraId="0E32824F">
            <w:pPr>
              <w:adjustRightInd w:val="0"/>
              <w:snapToGrid w:val="0"/>
              <w:rPr>
                <w:rFonts w:ascii="宋体" w:hAnsi="宋体" w:eastAsia="宋体" w:cs="Times New Roman"/>
                <w:kern w:val="2"/>
                <w:sz w:val="18"/>
                <w:szCs w:val="18"/>
                <w:lang w:val="en-US" w:eastAsia="zh-CN" w:bidi="ar-SA"/>
              </w:rPr>
            </w:pPr>
          </w:p>
        </w:tc>
        <w:tc>
          <w:tcPr>
            <w:tcW w:w="1354" w:type="dxa"/>
            <w:shd w:val="clear"/>
            <w:noWrap w:val="0"/>
            <w:vAlign w:val="center"/>
          </w:tcPr>
          <w:p w14:paraId="73D6A8B0">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.3</w:t>
            </w:r>
          </w:p>
        </w:tc>
      </w:tr>
      <w:tr w14:paraId="45163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shd w:val="clear"/>
            <w:noWrap w:val="0"/>
            <w:vAlign w:val="center"/>
          </w:tcPr>
          <w:p w14:paraId="65E34DD7">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6</w:t>
            </w:r>
            <w:r>
              <w:rPr>
                <w:rFonts w:hint="eastAsia" w:ascii="宋体" w:hAnsi="宋体"/>
                <w:sz w:val="18"/>
                <w:szCs w:val="18"/>
              </w:rPr>
              <w:t>.2</w:t>
            </w:r>
          </w:p>
        </w:tc>
        <w:tc>
          <w:tcPr>
            <w:tcW w:w="5954" w:type="dxa"/>
            <w:shd w:val="clear"/>
            <w:noWrap w:val="0"/>
            <w:vAlign w:val="center"/>
          </w:tcPr>
          <w:p w14:paraId="2E210084">
            <w:pPr>
              <w:adjustRightInd w:val="0"/>
              <w:snapToGrid w:val="0"/>
              <w:rPr>
                <w:rFonts w:hint="eastAsia" w:ascii="宋体" w:hAnsi="宋体"/>
                <w:sz w:val="18"/>
                <w:szCs w:val="18"/>
              </w:rPr>
            </w:pPr>
            <w:r>
              <w:rPr>
                <w:rFonts w:hint="eastAsia" w:ascii="宋体" w:hAnsi="宋体"/>
                <w:sz w:val="18"/>
                <w:szCs w:val="18"/>
              </w:rPr>
              <w:t>客运索道运行应符合下列要求：</w:t>
            </w:r>
          </w:p>
          <w:p w14:paraId="273A6B81">
            <w:pPr>
              <w:numPr>
                <w:ilvl w:val="0"/>
                <w:numId w:val="61"/>
              </w:numPr>
              <w:adjustRightInd w:val="0"/>
              <w:snapToGrid w:val="0"/>
              <w:rPr>
                <w:rFonts w:hint="eastAsia" w:ascii="宋体" w:hAnsi="宋体"/>
                <w:sz w:val="18"/>
                <w:szCs w:val="18"/>
              </w:rPr>
            </w:pPr>
            <w:r>
              <w:rPr>
                <w:rFonts w:hint="eastAsia" w:ascii="宋体" w:hAnsi="宋体"/>
                <w:sz w:val="18"/>
                <w:szCs w:val="18"/>
              </w:rPr>
              <w:t>站台周围边缘及上下车处封闭护栏完好。站台边缘与客车间隙符合要求。站台站口防护网应结实牢靠；</w:t>
            </w:r>
          </w:p>
          <w:p w14:paraId="4B4BC660">
            <w:pPr>
              <w:numPr>
                <w:ilvl w:val="0"/>
                <w:numId w:val="61"/>
              </w:numPr>
              <w:adjustRightInd w:val="0"/>
              <w:snapToGrid w:val="0"/>
              <w:ind w:left="0" w:leftChars="0" w:firstLine="0" w:firstLineChars="0"/>
              <w:rPr>
                <w:rFonts w:hint="eastAsia" w:ascii="宋体" w:hAnsi="宋体"/>
                <w:sz w:val="18"/>
                <w:szCs w:val="18"/>
                <w:lang w:eastAsia="zh-CN"/>
              </w:rPr>
            </w:pPr>
            <w:r>
              <w:rPr>
                <w:rFonts w:hint="eastAsia" w:ascii="宋体" w:hAnsi="宋体"/>
                <w:sz w:val="18"/>
                <w:szCs w:val="18"/>
              </w:rPr>
              <w:t>运载工具及支架编号和警示标语清晰、完整和醒目</w:t>
            </w:r>
            <w:r>
              <w:rPr>
                <w:rFonts w:hint="eastAsia" w:ascii="宋体" w:hAnsi="宋体"/>
                <w:sz w:val="18"/>
                <w:szCs w:val="18"/>
                <w:lang w:eastAsia="zh-CN"/>
              </w:rPr>
              <w:t>；</w:t>
            </w:r>
          </w:p>
          <w:p w14:paraId="4DDB8792">
            <w:pPr>
              <w:numPr>
                <w:ilvl w:val="0"/>
                <w:numId w:val="61"/>
              </w:numPr>
              <w:adjustRightInd w:val="0"/>
              <w:snapToGrid w:val="0"/>
              <w:ind w:left="0" w:leftChars="0" w:firstLine="0" w:firstLineChars="0"/>
              <w:rPr>
                <w:rFonts w:hint="eastAsia" w:ascii="宋体" w:hAnsi="宋体" w:eastAsia="宋体" w:cs="Times New Roman"/>
                <w:kern w:val="2"/>
                <w:sz w:val="18"/>
                <w:szCs w:val="18"/>
                <w:lang w:val="en-US" w:eastAsia="zh-CN" w:bidi="ar-SA"/>
              </w:rPr>
            </w:pPr>
            <w:r>
              <w:rPr>
                <w:rFonts w:hint="eastAsia" w:ascii="宋体" w:hAnsi="宋体"/>
                <w:sz w:val="18"/>
                <w:szCs w:val="18"/>
              </w:rPr>
              <w:t>上下站进站口乘客须知显著醒目</w:t>
            </w:r>
            <w:r>
              <w:rPr>
                <w:rFonts w:hint="eastAsia" w:ascii="宋体" w:hAnsi="宋体"/>
                <w:sz w:val="18"/>
                <w:szCs w:val="18"/>
                <w:lang w:eastAsia="zh-CN"/>
              </w:rPr>
              <w:t>；</w:t>
            </w:r>
          </w:p>
        </w:tc>
        <w:tc>
          <w:tcPr>
            <w:tcW w:w="596" w:type="dxa"/>
            <w:shd w:val="clear"/>
            <w:noWrap w:val="0"/>
            <w:vAlign w:val="center"/>
          </w:tcPr>
          <w:p w14:paraId="4DF27DE6">
            <w:pPr>
              <w:adjustRightInd w:val="0"/>
              <w:snapToGrid w:val="0"/>
              <w:jc w:val="center"/>
              <w:rPr>
                <w:rFonts w:hint="eastAsia" w:ascii="宋体" w:hAnsi="宋体" w:eastAsia="宋体" w:cs="Times New Roman"/>
                <w:kern w:val="2"/>
                <w:sz w:val="18"/>
                <w:szCs w:val="18"/>
                <w:lang w:val="en-US" w:eastAsia="zh-CN" w:bidi="ar-SA"/>
              </w:rPr>
            </w:pPr>
          </w:p>
        </w:tc>
        <w:tc>
          <w:tcPr>
            <w:tcW w:w="654" w:type="dxa"/>
            <w:shd w:val="clear"/>
            <w:noWrap w:val="0"/>
            <w:vAlign w:val="center"/>
          </w:tcPr>
          <w:p w14:paraId="3D977085">
            <w:pPr>
              <w:adjustRightInd w:val="0"/>
              <w:snapToGrid w:val="0"/>
              <w:jc w:val="center"/>
              <w:rPr>
                <w:rFonts w:hint="eastAsia" w:ascii="宋体" w:hAnsi="宋体" w:eastAsia="宋体" w:cs="Times New Roman"/>
                <w:kern w:val="2"/>
                <w:sz w:val="18"/>
                <w:szCs w:val="18"/>
                <w:lang w:val="en-US" w:eastAsia="zh-CN" w:bidi="ar-SA"/>
              </w:rPr>
            </w:pPr>
          </w:p>
        </w:tc>
        <w:tc>
          <w:tcPr>
            <w:tcW w:w="593" w:type="dxa"/>
            <w:shd w:val="clear"/>
            <w:noWrap w:val="0"/>
            <w:vAlign w:val="center"/>
          </w:tcPr>
          <w:p w14:paraId="0CF621BD">
            <w:pPr>
              <w:adjustRightInd w:val="0"/>
              <w:snapToGrid w:val="0"/>
              <w:jc w:val="center"/>
              <w:rPr>
                <w:rFonts w:hint="default" w:ascii="宋体" w:hAnsi="宋体" w:eastAsia="宋体" w:cs="Times New Roman"/>
                <w:kern w:val="2"/>
                <w:sz w:val="18"/>
                <w:szCs w:val="18"/>
                <w:lang w:val="en-US" w:eastAsia="zh-CN" w:bidi="ar-SA"/>
              </w:rPr>
            </w:pPr>
            <w:r>
              <w:rPr>
                <w:rFonts w:hint="eastAsia" w:ascii="宋体" w:hAnsi="宋体"/>
                <w:sz w:val="18"/>
                <w:szCs w:val="18"/>
              </w:rPr>
              <w:t>8</w:t>
            </w:r>
          </w:p>
        </w:tc>
        <w:tc>
          <w:tcPr>
            <w:tcW w:w="2978" w:type="dxa"/>
            <w:shd w:val="clear"/>
            <w:noWrap w:val="0"/>
            <w:vAlign w:val="center"/>
          </w:tcPr>
          <w:p w14:paraId="410A5B69">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一处不符合扣3分。</w:t>
            </w:r>
          </w:p>
        </w:tc>
        <w:tc>
          <w:tcPr>
            <w:tcW w:w="611" w:type="dxa"/>
            <w:shd w:val="clear"/>
            <w:noWrap w:val="0"/>
            <w:vAlign w:val="top"/>
          </w:tcPr>
          <w:p w14:paraId="721BAFF5">
            <w:pPr>
              <w:adjustRightInd w:val="0"/>
              <w:snapToGrid w:val="0"/>
              <w:rPr>
                <w:rFonts w:ascii="宋体" w:hAnsi="宋体" w:eastAsia="宋体" w:cs="Times New Roman"/>
                <w:kern w:val="2"/>
                <w:sz w:val="18"/>
                <w:szCs w:val="18"/>
                <w:lang w:val="en-US" w:eastAsia="zh-CN" w:bidi="ar-SA"/>
              </w:rPr>
            </w:pPr>
          </w:p>
        </w:tc>
        <w:tc>
          <w:tcPr>
            <w:tcW w:w="1655" w:type="dxa"/>
            <w:shd w:val="clear"/>
            <w:noWrap w:val="0"/>
            <w:vAlign w:val="top"/>
          </w:tcPr>
          <w:p w14:paraId="0D5E6DAC">
            <w:pPr>
              <w:adjustRightInd w:val="0"/>
              <w:snapToGrid w:val="0"/>
              <w:rPr>
                <w:rFonts w:ascii="宋体" w:hAnsi="宋体" w:eastAsia="宋体" w:cs="Times New Roman"/>
                <w:kern w:val="2"/>
                <w:sz w:val="18"/>
                <w:szCs w:val="18"/>
                <w:lang w:val="en-US" w:eastAsia="zh-CN" w:bidi="ar-SA"/>
              </w:rPr>
            </w:pPr>
          </w:p>
        </w:tc>
        <w:tc>
          <w:tcPr>
            <w:tcW w:w="1354" w:type="dxa"/>
            <w:shd w:val="clear"/>
            <w:noWrap w:val="0"/>
            <w:vAlign w:val="center"/>
          </w:tcPr>
          <w:p w14:paraId="08E38888">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w:t>
            </w:r>
            <w:r>
              <w:rPr>
                <w:rFonts w:hint="eastAsia" w:ascii="宋体" w:hAnsi="宋体"/>
                <w:sz w:val="18"/>
                <w:szCs w:val="18"/>
                <w:lang w:val="en-US" w:eastAsia="zh-CN"/>
              </w:rPr>
              <w:t>3</w:t>
            </w:r>
          </w:p>
        </w:tc>
      </w:tr>
    </w:tbl>
    <w:p w14:paraId="741AD60C">
      <w:pPr>
        <w:pStyle w:val="168"/>
        <w:widowControl/>
        <w:numPr>
          <w:ilvl w:val="0"/>
          <w:numId w:val="0"/>
        </w:numPr>
        <w:spacing w:before="156" w:after="156"/>
        <w:ind w:left="567" w:hanging="567"/>
      </w:pPr>
      <w:r>
        <w:br w:type="page"/>
      </w: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557"/>
        <w:gridCol w:w="1452"/>
      </w:tblGrid>
      <w:tr w14:paraId="3E0A00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4116B1CE">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53FFEC80">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3B30BD41">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7DB34005">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6B930F98">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21B288ED">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3020FF37">
            <w:pPr>
              <w:adjustRightInd w:val="0"/>
              <w:snapToGrid w:val="0"/>
              <w:jc w:val="center"/>
              <w:rPr>
                <w:rFonts w:ascii="宋体" w:hAnsi="宋体"/>
                <w:sz w:val="18"/>
                <w:szCs w:val="18"/>
              </w:rPr>
            </w:pPr>
            <w:r>
              <w:rPr>
                <w:rFonts w:hint="eastAsia" w:ascii="宋体" w:hAnsi="宋体"/>
                <w:sz w:val="18"/>
                <w:szCs w:val="18"/>
              </w:rPr>
              <w:t>评定得分</w:t>
            </w:r>
          </w:p>
        </w:tc>
        <w:tc>
          <w:tcPr>
            <w:tcW w:w="1557" w:type="dxa"/>
            <w:noWrap w:val="0"/>
            <w:vAlign w:val="center"/>
          </w:tcPr>
          <w:p w14:paraId="0E863D8F">
            <w:pPr>
              <w:adjustRightInd w:val="0"/>
              <w:snapToGrid w:val="0"/>
              <w:jc w:val="center"/>
              <w:rPr>
                <w:rFonts w:ascii="宋体" w:hAnsi="宋体"/>
                <w:sz w:val="18"/>
                <w:szCs w:val="18"/>
              </w:rPr>
            </w:pPr>
            <w:r>
              <w:rPr>
                <w:rFonts w:hint="eastAsia" w:ascii="宋体" w:hAnsi="宋体"/>
                <w:sz w:val="18"/>
                <w:szCs w:val="18"/>
              </w:rPr>
              <w:t>扣分说明</w:t>
            </w:r>
          </w:p>
        </w:tc>
        <w:tc>
          <w:tcPr>
            <w:tcW w:w="1452" w:type="dxa"/>
            <w:noWrap w:val="0"/>
            <w:vAlign w:val="center"/>
          </w:tcPr>
          <w:p w14:paraId="55E5C855">
            <w:pPr>
              <w:adjustRightInd w:val="0"/>
              <w:snapToGrid w:val="0"/>
              <w:jc w:val="center"/>
              <w:rPr>
                <w:rFonts w:ascii="宋体" w:hAnsi="宋体"/>
                <w:sz w:val="18"/>
                <w:szCs w:val="18"/>
              </w:rPr>
            </w:pPr>
            <w:r>
              <w:rPr>
                <w:rFonts w:hint="eastAsia" w:ascii="宋体" w:hAnsi="宋体"/>
                <w:sz w:val="18"/>
                <w:szCs w:val="18"/>
              </w:rPr>
              <w:t>对应条款编号</w:t>
            </w:r>
          </w:p>
        </w:tc>
      </w:tr>
      <w:tr w14:paraId="33885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65A22339">
            <w:pPr>
              <w:adjustRightInd w:val="0"/>
              <w:snapToGrid w:val="0"/>
              <w:jc w:val="center"/>
              <w:rPr>
                <w:rFonts w:ascii="宋体" w:hAnsi="宋体"/>
                <w:sz w:val="18"/>
                <w:szCs w:val="18"/>
              </w:rPr>
            </w:pPr>
          </w:p>
        </w:tc>
        <w:tc>
          <w:tcPr>
            <w:tcW w:w="5954" w:type="dxa"/>
            <w:noWrap w:val="0"/>
            <w:vAlign w:val="center"/>
          </w:tcPr>
          <w:p w14:paraId="08B6CD54">
            <w:pPr>
              <w:numPr>
                <w:ilvl w:val="0"/>
                <w:numId w:val="0"/>
              </w:numPr>
              <w:adjustRightInd w:val="0"/>
              <w:snapToGrid w:val="0"/>
              <w:ind w:leftChars="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）站台上有人流方向指示及上下车线、禁止线、上车区、下车区、等待区等安全指示标志清晰</w:t>
            </w:r>
            <w:r>
              <w:rPr>
                <w:rFonts w:hint="eastAsia" w:ascii="宋体" w:hAnsi="宋体"/>
                <w:sz w:val="18"/>
                <w:szCs w:val="18"/>
                <w:lang w:eastAsia="zh-CN"/>
              </w:rPr>
              <w:t>、</w:t>
            </w:r>
            <w:r>
              <w:rPr>
                <w:rFonts w:hint="eastAsia" w:ascii="宋体" w:hAnsi="宋体"/>
                <w:sz w:val="18"/>
                <w:szCs w:val="18"/>
              </w:rPr>
              <w:t>明确</w:t>
            </w:r>
            <w:r>
              <w:rPr>
                <w:rFonts w:hint="eastAsia" w:ascii="宋体" w:hAnsi="宋体"/>
                <w:sz w:val="18"/>
                <w:szCs w:val="18"/>
                <w:lang w:eastAsia="zh-CN"/>
              </w:rPr>
              <w:t>；</w:t>
            </w:r>
          </w:p>
          <w:p w14:paraId="35497D47">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 xml:space="preserve">）运载工具（吊椅除外）内安全说明、定员和最大载荷的标志完好； </w:t>
            </w:r>
          </w:p>
          <w:p w14:paraId="64B288AD">
            <w:pPr>
              <w:adjustRightInd w:val="0"/>
              <w:snapToGrid w:val="0"/>
              <w:rPr>
                <w:rFonts w:hint="default" w:ascii="宋体" w:hAnsi="宋体"/>
                <w:sz w:val="18"/>
                <w:szCs w:val="18"/>
                <w:lang w:val="en-US" w:eastAsia="zh-CN"/>
              </w:rPr>
            </w:pPr>
            <w:r>
              <w:rPr>
                <w:rFonts w:hint="eastAsia" w:ascii="宋体" w:hAnsi="宋体"/>
                <w:sz w:val="18"/>
                <w:szCs w:val="18"/>
                <w:lang w:val="en-US" w:eastAsia="zh-CN"/>
              </w:rPr>
              <w:t>f</w:t>
            </w:r>
            <w:r>
              <w:rPr>
                <w:rFonts w:hint="eastAsia" w:ascii="宋体" w:hAnsi="宋体"/>
                <w:sz w:val="18"/>
                <w:szCs w:val="18"/>
              </w:rPr>
              <w:t>）</w:t>
            </w:r>
            <w:r>
              <w:rPr>
                <w:rFonts w:hint="eastAsia" w:ascii="宋体" w:hAnsi="宋体"/>
                <w:sz w:val="18"/>
                <w:szCs w:val="18"/>
                <w:lang w:val="en-US" w:eastAsia="zh-CN"/>
              </w:rPr>
              <w:t>配备营救设备设施</w:t>
            </w:r>
            <w:r>
              <w:rPr>
                <w:rFonts w:hint="eastAsia" w:ascii="宋体" w:hAnsi="宋体"/>
                <w:sz w:val="18"/>
                <w:szCs w:val="18"/>
              </w:rPr>
              <w:t>，</w:t>
            </w:r>
            <w:r>
              <w:rPr>
                <w:rFonts w:hint="eastAsia" w:ascii="宋体" w:hAnsi="宋体"/>
                <w:sz w:val="18"/>
                <w:szCs w:val="18"/>
                <w:lang w:val="en-US" w:eastAsia="zh-CN"/>
              </w:rPr>
              <w:t>其中</w:t>
            </w:r>
            <w:r>
              <w:rPr>
                <w:rFonts w:hint="eastAsia" w:ascii="宋体" w:hAnsi="宋体"/>
                <w:sz w:val="18"/>
                <w:szCs w:val="18"/>
              </w:rPr>
              <w:t>每条循环式架空索道应配备至少</w:t>
            </w:r>
            <w:r>
              <w:rPr>
                <w:rFonts w:hint="eastAsia" w:ascii="宋体" w:hAnsi="宋体"/>
                <w:sz w:val="18"/>
                <w:szCs w:val="18"/>
                <w:lang w:val="en-US" w:eastAsia="zh-CN"/>
              </w:rPr>
              <w:t>2</w:t>
            </w:r>
            <w:r>
              <w:rPr>
                <w:rFonts w:hint="eastAsia" w:ascii="宋体" w:hAnsi="宋体"/>
                <w:sz w:val="18"/>
                <w:szCs w:val="18"/>
              </w:rPr>
              <w:t>套救护设备，并且当运载工具距地超过</w:t>
            </w:r>
            <w:r>
              <w:rPr>
                <w:rFonts w:hint="eastAsia" w:ascii="宋体" w:hAnsi="宋体"/>
                <w:sz w:val="18"/>
                <w:szCs w:val="18"/>
                <w:lang w:val="en-US" w:eastAsia="zh-CN"/>
              </w:rPr>
              <w:t>1</w:t>
            </w:r>
            <w:r>
              <w:rPr>
                <w:rFonts w:hint="eastAsia" w:ascii="宋体" w:hAnsi="宋体"/>
                <w:sz w:val="18"/>
                <w:szCs w:val="18"/>
              </w:rPr>
              <w:t>5m时，应采用缓降器进行救护</w:t>
            </w:r>
            <w:r>
              <w:rPr>
                <w:rFonts w:hint="eastAsia" w:ascii="宋体" w:hAnsi="宋体"/>
                <w:sz w:val="18"/>
                <w:szCs w:val="18"/>
                <w:lang w:eastAsia="zh-CN"/>
              </w:rPr>
              <w:t>，</w:t>
            </w:r>
            <w:r>
              <w:rPr>
                <w:rFonts w:hint="eastAsia" w:ascii="宋体" w:hAnsi="宋体"/>
                <w:sz w:val="18"/>
                <w:szCs w:val="18"/>
                <w:lang w:val="en-US" w:eastAsia="zh-CN"/>
              </w:rPr>
              <w:t>营救设备设施确保完好有效；</w:t>
            </w:r>
          </w:p>
          <w:p w14:paraId="39651380">
            <w:pPr>
              <w:adjustRightInd w:val="0"/>
              <w:snapToGrid w:val="0"/>
              <w:jc w:val="both"/>
              <w:rPr>
                <w:rFonts w:hint="eastAsia" w:ascii="宋体" w:hAnsi="宋体"/>
                <w:sz w:val="18"/>
                <w:szCs w:val="18"/>
              </w:rPr>
            </w:pPr>
            <w:r>
              <w:rPr>
                <w:rFonts w:hint="eastAsia" w:ascii="宋体" w:hAnsi="宋体"/>
                <w:sz w:val="18"/>
                <w:szCs w:val="18"/>
                <w:lang w:val="en-US" w:eastAsia="zh-CN"/>
              </w:rPr>
              <w:t>g</w:t>
            </w:r>
            <w:r>
              <w:rPr>
                <w:rFonts w:hint="eastAsia" w:ascii="宋体" w:hAnsi="宋体"/>
                <w:sz w:val="18"/>
                <w:szCs w:val="18"/>
              </w:rPr>
              <w:t>）</w:t>
            </w:r>
            <w:r>
              <w:rPr>
                <w:rFonts w:hint="eastAsia" w:ascii="宋体" w:hAnsi="宋体"/>
                <w:sz w:val="18"/>
                <w:szCs w:val="18"/>
                <w:lang w:val="en-US" w:eastAsia="zh-CN"/>
              </w:rPr>
              <w:t>救护索具表面状态良好，</w:t>
            </w:r>
            <w:r>
              <w:rPr>
                <w:rFonts w:hint="eastAsia" w:ascii="宋体" w:hAnsi="宋体" w:eastAsia="宋体" w:cs="Times New Roman"/>
                <w:color w:val="auto"/>
                <w:kern w:val="2"/>
                <w:sz w:val="18"/>
                <w:szCs w:val="18"/>
                <w:lang w:val="en-US" w:eastAsia="zh-CN" w:bidi="ar"/>
              </w:rPr>
              <w:t>循环式救护索保持在承载索、运载索上方</w:t>
            </w:r>
            <w:r>
              <w:rPr>
                <w:rFonts w:hint="eastAsia" w:ascii="宋体" w:hAnsi="宋体" w:cs="Times New Roman"/>
                <w:kern w:val="2"/>
                <w:sz w:val="18"/>
                <w:szCs w:val="18"/>
                <w:lang w:val="en-US" w:eastAsia="zh-CN" w:bidi="ar"/>
              </w:rPr>
              <w:t>，不擦碰承载索、牵引索、运载索和支架上的其他设施。</w:t>
            </w:r>
          </w:p>
        </w:tc>
        <w:tc>
          <w:tcPr>
            <w:tcW w:w="596" w:type="dxa"/>
            <w:noWrap w:val="0"/>
            <w:vAlign w:val="center"/>
          </w:tcPr>
          <w:p w14:paraId="4D46D2D5">
            <w:pPr>
              <w:adjustRightInd w:val="0"/>
              <w:snapToGrid w:val="0"/>
              <w:jc w:val="center"/>
              <w:rPr>
                <w:rFonts w:hint="eastAsia" w:ascii="宋体" w:hAnsi="宋体"/>
                <w:sz w:val="18"/>
                <w:szCs w:val="18"/>
              </w:rPr>
            </w:pPr>
          </w:p>
        </w:tc>
        <w:tc>
          <w:tcPr>
            <w:tcW w:w="654" w:type="dxa"/>
            <w:noWrap w:val="0"/>
            <w:vAlign w:val="center"/>
          </w:tcPr>
          <w:p w14:paraId="7D15362A">
            <w:pPr>
              <w:adjustRightInd w:val="0"/>
              <w:snapToGrid w:val="0"/>
              <w:jc w:val="center"/>
              <w:rPr>
                <w:rFonts w:hint="eastAsia" w:ascii="宋体" w:hAnsi="宋体"/>
                <w:sz w:val="18"/>
                <w:szCs w:val="18"/>
              </w:rPr>
            </w:pPr>
          </w:p>
        </w:tc>
        <w:tc>
          <w:tcPr>
            <w:tcW w:w="593" w:type="dxa"/>
            <w:noWrap w:val="0"/>
            <w:vAlign w:val="center"/>
          </w:tcPr>
          <w:p w14:paraId="1C67C2B3">
            <w:pPr>
              <w:adjustRightInd w:val="0"/>
              <w:snapToGrid w:val="0"/>
              <w:jc w:val="center"/>
              <w:rPr>
                <w:rFonts w:hint="eastAsia" w:ascii="宋体" w:hAnsi="宋体"/>
                <w:sz w:val="18"/>
                <w:szCs w:val="18"/>
              </w:rPr>
            </w:pPr>
          </w:p>
        </w:tc>
        <w:tc>
          <w:tcPr>
            <w:tcW w:w="2978" w:type="dxa"/>
            <w:noWrap w:val="0"/>
            <w:vAlign w:val="center"/>
          </w:tcPr>
          <w:p w14:paraId="39350CF0">
            <w:pPr>
              <w:adjustRightInd w:val="0"/>
              <w:snapToGrid w:val="0"/>
              <w:jc w:val="center"/>
              <w:rPr>
                <w:rFonts w:hint="eastAsia" w:ascii="宋体" w:hAnsi="宋体"/>
                <w:sz w:val="18"/>
                <w:szCs w:val="18"/>
              </w:rPr>
            </w:pPr>
          </w:p>
        </w:tc>
        <w:tc>
          <w:tcPr>
            <w:tcW w:w="611" w:type="dxa"/>
            <w:noWrap w:val="0"/>
            <w:vAlign w:val="center"/>
          </w:tcPr>
          <w:p w14:paraId="460550C4">
            <w:pPr>
              <w:adjustRightInd w:val="0"/>
              <w:snapToGrid w:val="0"/>
              <w:jc w:val="center"/>
              <w:rPr>
                <w:rFonts w:hint="eastAsia" w:ascii="宋体" w:hAnsi="宋体"/>
                <w:sz w:val="18"/>
                <w:szCs w:val="18"/>
              </w:rPr>
            </w:pPr>
          </w:p>
        </w:tc>
        <w:tc>
          <w:tcPr>
            <w:tcW w:w="1557" w:type="dxa"/>
            <w:noWrap w:val="0"/>
            <w:vAlign w:val="center"/>
          </w:tcPr>
          <w:p w14:paraId="7F859215">
            <w:pPr>
              <w:adjustRightInd w:val="0"/>
              <w:snapToGrid w:val="0"/>
              <w:jc w:val="center"/>
              <w:rPr>
                <w:rFonts w:hint="eastAsia" w:ascii="宋体" w:hAnsi="宋体"/>
                <w:sz w:val="18"/>
                <w:szCs w:val="18"/>
              </w:rPr>
            </w:pPr>
          </w:p>
        </w:tc>
        <w:tc>
          <w:tcPr>
            <w:tcW w:w="1452" w:type="dxa"/>
            <w:noWrap w:val="0"/>
            <w:vAlign w:val="center"/>
          </w:tcPr>
          <w:p w14:paraId="43D66CD6">
            <w:pPr>
              <w:adjustRightInd w:val="0"/>
              <w:snapToGrid w:val="0"/>
              <w:jc w:val="center"/>
              <w:rPr>
                <w:rFonts w:hint="eastAsia" w:ascii="宋体" w:hAnsi="宋体"/>
                <w:sz w:val="18"/>
                <w:szCs w:val="18"/>
              </w:rPr>
            </w:pPr>
          </w:p>
        </w:tc>
      </w:tr>
      <w:tr w14:paraId="0CE6FE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1238B8A8">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6</w:t>
            </w:r>
            <w:r>
              <w:rPr>
                <w:rFonts w:hint="eastAsia" w:ascii="宋体" w:hAnsi="宋体"/>
                <w:sz w:val="18"/>
                <w:szCs w:val="18"/>
              </w:rPr>
              <w:t>.3</w:t>
            </w:r>
          </w:p>
        </w:tc>
        <w:tc>
          <w:tcPr>
            <w:tcW w:w="5954" w:type="dxa"/>
            <w:noWrap w:val="0"/>
            <w:vAlign w:val="center"/>
          </w:tcPr>
          <w:p w14:paraId="72474A46">
            <w:pPr>
              <w:numPr>
                <w:ilvl w:val="0"/>
                <w:numId w:val="0"/>
              </w:numPr>
              <w:adjustRightInd w:val="0"/>
              <w:snapToGrid w:val="0"/>
              <w:rPr>
                <w:rFonts w:hint="eastAsia" w:ascii="宋体" w:hAnsi="宋体"/>
                <w:sz w:val="18"/>
                <w:szCs w:val="18"/>
              </w:rPr>
            </w:pPr>
            <w:r>
              <w:rPr>
                <w:rFonts w:hint="eastAsia" w:ascii="宋体" w:hAnsi="宋体"/>
                <w:sz w:val="18"/>
                <w:szCs w:val="18"/>
              </w:rPr>
              <w:t>水上游乐设施运行应符合下列要求：</w:t>
            </w:r>
          </w:p>
          <w:p w14:paraId="767B0910">
            <w:pPr>
              <w:numPr>
                <w:ilvl w:val="0"/>
                <w:numId w:val="62"/>
              </w:numPr>
              <w:adjustRightInd w:val="0"/>
              <w:snapToGrid w:val="0"/>
              <w:rPr>
                <w:rFonts w:hint="eastAsia" w:ascii="宋体" w:hAnsi="宋体"/>
                <w:sz w:val="18"/>
                <w:szCs w:val="18"/>
                <w:lang w:eastAsia="zh-CN"/>
              </w:rPr>
            </w:pPr>
            <w:r>
              <w:rPr>
                <w:rFonts w:hint="eastAsia" w:ascii="宋体" w:hAnsi="宋体"/>
                <w:sz w:val="18"/>
                <w:szCs w:val="18"/>
              </w:rPr>
              <w:t>经常和水接触的零部件应采用防锈材料或者采取防锈措施，不应有严重锈蚀或者腐蚀</w:t>
            </w:r>
            <w:r>
              <w:rPr>
                <w:rFonts w:hint="eastAsia" w:ascii="宋体" w:hAnsi="宋体"/>
                <w:sz w:val="18"/>
                <w:szCs w:val="18"/>
                <w:lang w:eastAsia="zh-CN"/>
              </w:rPr>
              <w:t>；</w:t>
            </w:r>
          </w:p>
          <w:p w14:paraId="6A252833">
            <w:pPr>
              <w:numPr>
                <w:ilvl w:val="0"/>
                <w:numId w:val="62"/>
              </w:numPr>
              <w:adjustRightInd w:val="0"/>
              <w:snapToGrid w:val="0"/>
              <w:ind w:left="0" w:leftChars="0" w:firstLine="0" w:firstLineChars="0"/>
              <w:rPr>
                <w:rFonts w:hint="eastAsia" w:ascii="宋体" w:hAnsi="宋体"/>
                <w:sz w:val="18"/>
                <w:szCs w:val="18"/>
                <w:lang w:val="en-US" w:eastAsia="zh-CN"/>
              </w:rPr>
            </w:pPr>
            <w:r>
              <w:rPr>
                <w:rFonts w:hint="default" w:ascii="宋体" w:hAnsi="宋体"/>
                <w:sz w:val="18"/>
                <w:szCs w:val="18"/>
                <w:lang w:val="en-US" w:eastAsia="zh-CN"/>
              </w:rPr>
              <w:t>水循环系统的水池回水口至少应设置两套独立、固定、非专业人员不可以移动的安全格栅，并且在回水口格栅上部水线以上位置设置“危险、切勿靠近”等安全警示标志</w:t>
            </w:r>
            <w:r>
              <w:rPr>
                <w:rFonts w:hint="eastAsia" w:ascii="宋体" w:hAnsi="宋体"/>
                <w:sz w:val="18"/>
                <w:szCs w:val="18"/>
                <w:lang w:val="en-US" w:eastAsia="zh-CN"/>
              </w:rPr>
              <w:t>；</w:t>
            </w:r>
          </w:p>
          <w:p w14:paraId="17FAEEB0">
            <w:pPr>
              <w:numPr>
                <w:ilvl w:val="0"/>
                <w:numId w:val="62"/>
              </w:numPr>
              <w:adjustRightInd w:val="0"/>
              <w:snapToGrid w:val="0"/>
              <w:ind w:left="0" w:leftChars="0" w:firstLine="0" w:firstLineChars="0"/>
              <w:rPr>
                <w:rFonts w:hint="eastAsia" w:ascii="宋体" w:hAnsi="宋体"/>
                <w:sz w:val="18"/>
                <w:szCs w:val="18"/>
                <w:lang w:val="en-US" w:eastAsia="zh-CN"/>
              </w:rPr>
            </w:pPr>
            <w:r>
              <w:rPr>
                <w:rFonts w:hint="eastAsia" w:ascii="宋体" w:hAnsi="宋体"/>
                <w:sz w:val="18"/>
                <w:szCs w:val="18"/>
                <w:lang w:val="en-US" w:eastAsia="zh-CN"/>
              </w:rPr>
              <w:t>水上游乐园区应配备足够的救生员及相应的救生设备或者器具；</w:t>
            </w:r>
          </w:p>
          <w:p w14:paraId="54560F0D">
            <w:pPr>
              <w:numPr>
                <w:ilvl w:val="0"/>
                <w:numId w:val="62"/>
              </w:numPr>
              <w:adjustRightInd w:val="0"/>
              <w:snapToGrid w:val="0"/>
              <w:ind w:left="0" w:leftChars="0" w:firstLine="0" w:firstLineChars="0"/>
              <w:rPr>
                <w:rFonts w:hint="eastAsia" w:ascii="宋体" w:hAnsi="宋体"/>
                <w:sz w:val="18"/>
                <w:szCs w:val="18"/>
                <w:lang w:val="en-US" w:eastAsia="zh-CN"/>
              </w:rPr>
            </w:pPr>
            <w:r>
              <w:rPr>
                <w:rFonts w:hint="eastAsia" w:ascii="宋体" w:hAnsi="宋体"/>
                <w:sz w:val="18"/>
                <w:szCs w:val="18"/>
                <w:lang w:val="en-US" w:eastAsia="zh-CN"/>
              </w:rPr>
              <w:t>有落水危险的船只或者漂流筏应设扶手，并为乘客配备救生衣，禁止设安全带；</w:t>
            </w:r>
          </w:p>
          <w:p w14:paraId="11936506">
            <w:pPr>
              <w:numPr>
                <w:ilvl w:val="0"/>
                <w:numId w:val="62"/>
              </w:numPr>
              <w:adjustRightInd w:val="0"/>
              <w:snapToGrid w:val="0"/>
              <w:ind w:left="0" w:leftChars="0" w:firstLine="0" w:firstLineChars="0"/>
              <w:rPr>
                <w:rFonts w:hint="eastAsia" w:ascii="宋体" w:hAnsi="宋体"/>
                <w:sz w:val="18"/>
                <w:szCs w:val="18"/>
                <w:lang w:eastAsia="zh-CN"/>
              </w:rPr>
            </w:pPr>
            <w:r>
              <w:rPr>
                <w:rFonts w:hint="eastAsia" w:ascii="宋体" w:hAnsi="宋体"/>
                <w:sz w:val="18"/>
                <w:szCs w:val="18"/>
              </w:rPr>
              <w:t>水上游乐设施凡乘员可触及之处,不应有外露的锐边、尖角、毛刺和危险突出物等</w:t>
            </w:r>
            <w:r>
              <w:rPr>
                <w:rFonts w:hint="eastAsia" w:ascii="宋体" w:hAnsi="宋体"/>
                <w:sz w:val="18"/>
                <w:szCs w:val="18"/>
                <w:lang w:eastAsia="zh-CN"/>
              </w:rPr>
              <w:t>；</w:t>
            </w:r>
          </w:p>
          <w:p w14:paraId="060811E7">
            <w:pPr>
              <w:numPr>
                <w:ilvl w:val="0"/>
                <w:numId w:val="62"/>
              </w:numPr>
              <w:adjustRightInd w:val="0"/>
              <w:snapToGrid w:val="0"/>
              <w:ind w:left="0" w:leftChars="0" w:firstLine="0" w:firstLineChars="0"/>
              <w:rPr>
                <w:rFonts w:hint="eastAsia" w:ascii="宋体" w:hAnsi="宋体"/>
                <w:sz w:val="18"/>
                <w:szCs w:val="18"/>
                <w:lang w:val="en-US" w:eastAsia="zh-CN"/>
              </w:rPr>
            </w:pPr>
            <w:r>
              <w:rPr>
                <w:rFonts w:hint="default" w:ascii="宋体" w:hAnsi="宋体"/>
                <w:sz w:val="18"/>
                <w:szCs w:val="18"/>
                <w:lang w:val="en-US" w:eastAsia="zh-CN"/>
              </w:rPr>
              <w:t>水上游乐设施的外观不应有影响安全的破损、龟裂等现象</w:t>
            </w:r>
            <w:r>
              <w:rPr>
                <w:rFonts w:hint="eastAsia" w:ascii="宋体" w:hAnsi="宋体"/>
                <w:sz w:val="18"/>
                <w:szCs w:val="18"/>
                <w:lang w:val="en-US" w:eastAsia="zh-CN"/>
              </w:rPr>
              <w:t>；</w:t>
            </w:r>
          </w:p>
          <w:p w14:paraId="48CF7E84">
            <w:pPr>
              <w:numPr>
                <w:ilvl w:val="0"/>
                <w:numId w:val="62"/>
              </w:numPr>
              <w:adjustRightInd w:val="0"/>
              <w:snapToGrid w:val="0"/>
              <w:ind w:left="0" w:leftChars="0" w:firstLine="0" w:firstLineChars="0"/>
              <w:rPr>
                <w:rFonts w:hint="eastAsia" w:ascii="宋体" w:hAnsi="宋体"/>
                <w:sz w:val="18"/>
                <w:szCs w:val="18"/>
                <w:lang w:val="en-US" w:eastAsia="zh-CN"/>
              </w:rPr>
            </w:pPr>
            <w:r>
              <w:rPr>
                <w:rFonts w:hint="default" w:ascii="宋体" w:hAnsi="宋体"/>
                <w:sz w:val="18"/>
                <w:szCs w:val="18"/>
                <w:lang w:val="en-US" w:eastAsia="zh-CN"/>
              </w:rPr>
              <w:t>水上游乐设施应按照有关规定设置安全告示牌、安全警示标识</w:t>
            </w:r>
            <w:r>
              <w:rPr>
                <w:rFonts w:hint="eastAsia" w:ascii="宋体" w:hAnsi="宋体"/>
                <w:sz w:val="18"/>
                <w:szCs w:val="18"/>
                <w:lang w:val="en-US" w:eastAsia="zh-CN"/>
              </w:rPr>
              <w:t>；</w:t>
            </w:r>
          </w:p>
          <w:p w14:paraId="78C4762A">
            <w:pPr>
              <w:numPr>
                <w:ilvl w:val="0"/>
                <w:numId w:val="0"/>
              </w:numPr>
              <w:adjustRightInd w:val="0"/>
              <w:snapToGrid w:val="0"/>
              <w:ind w:leftChars="0"/>
              <w:rPr>
                <w:rFonts w:hint="default" w:ascii="宋体" w:hAnsi="宋体"/>
                <w:sz w:val="18"/>
                <w:szCs w:val="18"/>
                <w:lang w:val="en-US" w:eastAsia="zh-CN"/>
              </w:rPr>
            </w:pPr>
            <w:r>
              <w:rPr>
                <w:rFonts w:hint="eastAsia" w:ascii="宋体" w:hAnsi="宋体"/>
                <w:sz w:val="18"/>
                <w:szCs w:val="18"/>
                <w:lang w:val="en-US" w:eastAsia="zh-CN"/>
              </w:rPr>
              <w:t>h</w:t>
            </w:r>
            <w:r>
              <w:rPr>
                <w:rFonts w:hint="eastAsia" w:ascii="宋体" w:hAnsi="宋体"/>
                <w:sz w:val="18"/>
                <w:szCs w:val="18"/>
              </w:rPr>
              <w:t>）</w:t>
            </w:r>
            <w:r>
              <w:rPr>
                <w:rFonts w:hint="eastAsia" w:ascii="宋体" w:hAnsi="宋体"/>
                <w:sz w:val="18"/>
                <w:szCs w:val="18"/>
                <w:lang w:val="en-US" w:eastAsia="zh-CN"/>
              </w:rPr>
              <w:t>水滑梯应符合下列要求：</w:t>
            </w:r>
          </w:p>
          <w:p w14:paraId="7BB90AC4">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身体滑梯人口处应设置高度为0.8m</w:t>
            </w:r>
            <w:r>
              <w:rPr>
                <w:rFonts w:hint="eastAsia" w:ascii="宋体" w:hAnsi="宋体"/>
                <w:sz w:val="18"/>
                <w:szCs w:val="18"/>
                <w:lang w:val="en-US" w:eastAsia="zh-CN"/>
              </w:rPr>
              <w:t>-</w:t>
            </w:r>
            <w:r>
              <w:rPr>
                <w:rFonts w:hint="default" w:ascii="宋体" w:hAnsi="宋体"/>
                <w:sz w:val="18"/>
                <w:szCs w:val="18"/>
                <w:lang w:val="en-US" w:eastAsia="zh-CN"/>
              </w:rPr>
              <w:t>1.1m的横杆</w:t>
            </w:r>
            <w:r>
              <w:rPr>
                <w:rFonts w:hint="eastAsia" w:ascii="宋体" w:hAnsi="宋体"/>
                <w:sz w:val="18"/>
                <w:szCs w:val="18"/>
                <w:lang w:val="en-US" w:eastAsia="zh-CN"/>
              </w:rPr>
              <w:t>；</w:t>
            </w:r>
          </w:p>
          <w:p w14:paraId="06DE271F">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水滑梯末端滑落点距溅落区水面的高度应不大于200mm</w:t>
            </w:r>
            <w:r>
              <w:rPr>
                <w:rFonts w:hint="eastAsia" w:ascii="宋体" w:hAnsi="宋体"/>
                <w:sz w:val="18"/>
                <w:szCs w:val="18"/>
                <w:lang w:val="en-US" w:eastAsia="zh-CN"/>
              </w:rPr>
              <w:t>；</w:t>
            </w:r>
            <w:r>
              <w:rPr>
                <w:rFonts w:hint="default" w:ascii="宋体" w:hAnsi="宋体"/>
                <w:sz w:val="18"/>
                <w:szCs w:val="18"/>
                <w:lang w:val="en-US" w:eastAsia="zh-CN"/>
              </w:rPr>
              <w:t>儿童滑梯末端滑落点距溅落区水面的高度应不大于50mm</w:t>
            </w:r>
            <w:r>
              <w:rPr>
                <w:rFonts w:hint="eastAsia" w:ascii="宋体" w:hAnsi="宋体"/>
                <w:sz w:val="18"/>
                <w:szCs w:val="18"/>
                <w:lang w:val="en-US" w:eastAsia="zh-CN"/>
              </w:rPr>
              <w:t>；</w:t>
            </w:r>
            <w:r>
              <w:rPr>
                <w:rFonts w:hint="default" w:ascii="宋体" w:hAnsi="宋体"/>
                <w:sz w:val="18"/>
                <w:szCs w:val="18"/>
                <w:lang w:val="en-US" w:eastAsia="zh-CN"/>
              </w:rPr>
              <w:t>上抛入水的滑梯末端距溅落区水面高度应不大于 1200mm</w:t>
            </w:r>
            <w:r>
              <w:rPr>
                <w:rFonts w:hint="eastAsia" w:ascii="宋体" w:hAnsi="宋体"/>
                <w:sz w:val="18"/>
                <w:szCs w:val="18"/>
                <w:lang w:val="en-US" w:eastAsia="zh-CN"/>
              </w:rPr>
              <w:t>；</w:t>
            </w:r>
          </w:p>
          <w:p w14:paraId="39964ECB">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w:t>
            </w:r>
            <w:r>
              <w:rPr>
                <w:rFonts w:hint="default" w:ascii="宋体" w:hAnsi="宋体"/>
                <w:sz w:val="18"/>
                <w:szCs w:val="18"/>
                <w:lang w:val="en-US" w:eastAsia="zh-CN"/>
              </w:rPr>
              <w:t>为防止乘员之间相互碰撞等危险，出发平台、结束端的服务人员应配置适宜的联络与沟通工具，合理设定前后乘员(滑行工具)之间的间隔</w:t>
            </w:r>
            <w:r>
              <w:rPr>
                <w:rFonts w:hint="eastAsia" w:ascii="宋体" w:hAnsi="宋体"/>
                <w:sz w:val="18"/>
                <w:szCs w:val="18"/>
                <w:lang w:val="en-US" w:eastAsia="zh-CN"/>
              </w:rPr>
              <w:t>。</w:t>
            </w:r>
          </w:p>
          <w:p w14:paraId="1E2D47CC">
            <w:pPr>
              <w:numPr>
                <w:ilvl w:val="-1"/>
                <w:numId w:val="0"/>
              </w:numPr>
              <w:adjustRightInd w:val="0"/>
              <w:snapToGrid w:val="0"/>
              <w:rPr>
                <w:rFonts w:hint="eastAsia" w:ascii="宋体" w:hAnsi="宋体"/>
                <w:sz w:val="18"/>
                <w:szCs w:val="18"/>
                <w:lang w:val="en-US" w:eastAsia="zh-CN"/>
              </w:rPr>
            </w:pPr>
            <w:r>
              <w:rPr>
                <w:rFonts w:hint="eastAsia" w:ascii="宋体" w:hAnsi="宋体"/>
                <w:sz w:val="18"/>
                <w:szCs w:val="18"/>
                <w:lang w:val="en-US" w:eastAsia="zh-CN"/>
              </w:rPr>
              <w:t>i</w:t>
            </w:r>
            <w:r>
              <w:rPr>
                <w:rFonts w:hint="eastAsia" w:ascii="宋体" w:hAnsi="宋体"/>
                <w:sz w:val="18"/>
                <w:szCs w:val="18"/>
              </w:rPr>
              <w:t>）</w:t>
            </w:r>
            <w:r>
              <w:rPr>
                <w:rFonts w:hint="eastAsia" w:ascii="宋体" w:hAnsi="宋体"/>
                <w:sz w:val="18"/>
                <w:szCs w:val="18"/>
                <w:lang w:val="en-US" w:eastAsia="zh-CN"/>
              </w:rPr>
              <w:t>峡谷漂流应符合下列要求：</w:t>
            </w:r>
          </w:p>
          <w:p w14:paraId="2BD089AD">
            <w:pPr>
              <w:numPr>
                <w:ilvl w:val="-1"/>
                <w:numId w:val="0"/>
              </w:numPr>
              <w:adjustRightInd w:val="0"/>
              <w:snapToGrid w:val="0"/>
              <w:ind w:firstLine="360" w:firstLineChars="20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峡谷漂流水道的水深应不大于1.2m</w:t>
            </w:r>
            <w:r>
              <w:rPr>
                <w:rFonts w:hint="eastAsia" w:ascii="宋体" w:hAnsi="宋体"/>
                <w:sz w:val="18"/>
                <w:szCs w:val="18"/>
                <w:lang w:val="en-US" w:eastAsia="zh-CN"/>
              </w:rPr>
              <w:t>；</w:t>
            </w:r>
          </w:p>
        </w:tc>
        <w:tc>
          <w:tcPr>
            <w:tcW w:w="596" w:type="dxa"/>
            <w:noWrap w:val="0"/>
            <w:vAlign w:val="center"/>
          </w:tcPr>
          <w:p w14:paraId="00ED637C">
            <w:pPr>
              <w:adjustRightInd w:val="0"/>
              <w:snapToGrid w:val="0"/>
              <w:jc w:val="center"/>
              <w:rPr>
                <w:rFonts w:ascii="宋体" w:hAnsi="宋体" w:eastAsia="宋体" w:cs="Times New Roman"/>
                <w:kern w:val="2"/>
                <w:sz w:val="18"/>
                <w:szCs w:val="18"/>
                <w:lang w:val="en-US" w:eastAsia="zh-CN" w:bidi="ar-SA"/>
              </w:rPr>
            </w:pPr>
          </w:p>
        </w:tc>
        <w:tc>
          <w:tcPr>
            <w:tcW w:w="654" w:type="dxa"/>
            <w:noWrap w:val="0"/>
            <w:vAlign w:val="center"/>
          </w:tcPr>
          <w:p w14:paraId="7136D214">
            <w:pPr>
              <w:adjustRightInd w:val="0"/>
              <w:snapToGrid w:val="0"/>
              <w:jc w:val="center"/>
              <w:rPr>
                <w:rFonts w:ascii="宋体" w:hAnsi="宋体" w:eastAsia="宋体" w:cs="Times New Roman"/>
                <w:kern w:val="2"/>
                <w:sz w:val="18"/>
                <w:szCs w:val="18"/>
                <w:lang w:val="en-US" w:eastAsia="zh-CN" w:bidi="ar-SA"/>
              </w:rPr>
            </w:pPr>
          </w:p>
        </w:tc>
        <w:tc>
          <w:tcPr>
            <w:tcW w:w="593" w:type="dxa"/>
            <w:noWrap w:val="0"/>
            <w:vAlign w:val="center"/>
          </w:tcPr>
          <w:p w14:paraId="7BC1AAC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8</w:t>
            </w:r>
          </w:p>
        </w:tc>
        <w:tc>
          <w:tcPr>
            <w:tcW w:w="2978" w:type="dxa"/>
            <w:noWrap w:val="0"/>
            <w:vAlign w:val="center"/>
          </w:tcPr>
          <w:p w14:paraId="23C7BBAD">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一处不符合扣3分。</w:t>
            </w:r>
          </w:p>
        </w:tc>
        <w:tc>
          <w:tcPr>
            <w:tcW w:w="611" w:type="dxa"/>
            <w:noWrap w:val="0"/>
            <w:vAlign w:val="top"/>
          </w:tcPr>
          <w:p w14:paraId="3A3263F2">
            <w:pPr>
              <w:adjustRightInd w:val="0"/>
              <w:snapToGrid w:val="0"/>
              <w:rPr>
                <w:rFonts w:ascii="宋体" w:hAnsi="宋体" w:eastAsia="宋体" w:cs="Times New Roman"/>
                <w:kern w:val="2"/>
                <w:sz w:val="18"/>
                <w:szCs w:val="18"/>
                <w:lang w:val="en-US" w:eastAsia="zh-CN" w:bidi="ar-SA"/>
              </w:rPr>
            </w:pPr>
          </w:p>
        </w:tc>
        <w:tc>
          <w:tcPr>
            <w:tcW w:w="1557" w:type="dxa"/>
            <w:noWrap w:val="0"/>
            <w:vAlign w:val="top"/>
          </w:tcPr>
          <w:p w14:paraId="2FD108D6">
            <w:pPr>
              <w:adjustRightInd w:val="0"/>
              <w:snapToGrid w:val="0"/>
              <w:rPr>
                <w:rFonts w:ascii="宋体" w:hAnsi="宋体" w:eastAsia="宋体" w:cs="Times New Roman"/>
                <w:kern w:val="2"/>
                <w:sz w:val="18"/>
                <w:szCs w:val="18"/>
                <w:lang w:val="en-US" w:eastAsia="zh-CN" w:bidi="ar-SA"/>
              </w:rPr>
            </w:pPr>
          </w:p>
        </w:tc>
        <w:tc>
          <w:tcPr>
            <w:tcW w:w="1452" w:type="dxa"/>
            <w:noWrap w:val="0"/>
            <w:vAlign w:val="center"/>
          </w:tcPr>
          <w:p w14:paraId="6DA98B04">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w:t>
            </w:r>
            <w:r>
              <w:rPr>
                <w:rFonts w:hint="eastAsia" w:ascii="宋体" w:hAnsi="宋体"/>
                <w:sz w:val="18"/>
                <w:szCs w:val="18"/>
                <w:lang w:val="en-US" w:eastAsia="zh-CN"/>
              </w:rPr>
              <w:t>3</w:t>
            </w:r>
          </w:p>
        </w:tc>
      </w:tr>
    </w:tbl>
    <w:p w14:paraId="3FE405FE">
      <w:pPr>
        <w:pStyle w:val="168"/>
        <w:widowControl/>
        <w:numPr>
          <w:ilvl w:val="0"/>
          <w:numId w:val="0"/>
        </w:numPr>
        <w:spacing w:before="156" w:after="156"/>
        <w:ind w:left="567" w:hanging="567"/>
      </w:pPr>
      <w:r>
        <w:br w:type="page"/>
      </w: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557"/>
        <w:gridCol w:w="1452"/>
      </w:tblGrid>
      <w:tr w14:paraId="0659F0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2A41E1BC">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7558A356">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7C58204E">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429AD9D1">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4290161B">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3750E306">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4A9EB3EF">
            <w:pPr>
              <w:adjustRightInd w:val="0"/>
              <w:snapToGrid w:val="0"/>
              <w:jc w:val="center"/>
              <w:rPr>
                <w:rFonts w:ascii="宋体" w:hAnsi="宋体"/>
                <w:sz w:val="18"/>
                <w:szCs w:val="18"/>
              </w:rPr>
            </w:pPr>
            <w:r>
              <w:rPr>
                <w:rFonts w:hint="eastAsia" w:ascii="宋体" w:hAnsi="宋体"/>
                <w:sz w:val="18"/>
                <w:szCs w:val="18"/>
              </w:rPr>
              <w:t>评定得分</w:t>
            </w:r>
          </w:p>
        </w:tc>
        <w:tc>
          <w:tcPr>
            <w:tcW w:w="1557" w:type="dxa"/>
            <w:noWrap w:val="0"/>
            <w:vAlign w:val="center"/>
          </w:tcPr>
          <w:p w14:paraId="219C26D3">
            <w:pPr>
              <w:adjustRightInd w:val="0"/>
              <w:snapToGrid w:val="0"/>
              <w:jc w:val="center"/>
              <w:rPr>
                <w:rFonts w:ascii="宋体" w:hAnsi="宋体"/>
                <w:sz w:val="18"/>
                <w:szCs w:val="18"/>
              </w:rPr>
            </w:pPr>
            <w:r>
              <w:rPr>
                <w:rFonts w:hint="eastAsia" w:ascii="宋体" w:hAnsi="宋体"/>
                <w:sz w:val="18"/>
                <w:szCs w:val="18"/>
              </w:rPr>
              <w:t>扣分说明</w:t>
            </w:r>
          </w:p>
        </w:tc>
        <w:tc>
          <w:tcPr>
            <w:tcW w:w="1452" w:type="dxa"/>
            <w:noWrap w:val="0"/>
            <w:vAlign w:val="center"/>
          </w:tcPr>
          <w:p w14:paraId="2D54291D">
            <w:pPr>
              <w:adjustRightInd w:val="0"/>
              <w:snapToGrid w:val="0"/>
              <w:jc w:val="center"/>
              <w:rPr>
                <w:rFonts w:ascii="宋体" w:hAnsi="宋体"/>
                <w:sz w:val="18"/>
                <w:szCs w:val="18"/>
              </w:rPr>
            </w:pPr>
            <w:r>
              <w:rPr>
                <w:rFonts w:hint="eastAsia" w:ascii="宋体" w:hAnsi="宋体"/>
                <w:sz w:val="18"/>
                <w:szCs w:val="18"/>
              </w:rPr>
              <w:t>对应条款编号</w:t>
            </w:r>
          </w:p>
        </w:tc>
      </w:tr>
      <w:tr w14:paraId="0F488B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958" w:type="dxa"/>
            <w:noWrap w:val="0"/>
            <w:vAlign w:val="center"/>
          </w:tcPr>
          <w:p w14:paraId="394C7867">
            <w:pPr>
              <w:adjustRightInd w:val="0"/>
              <w:snapToGrid w:val="0"/>
              <w:jc w:val="center"/>
              <w:rPr>
                <w:rFonts w:hint="default" w:ascii="宋体" w:hAnsi="宋体" w:eastAsia="宋体"/>
                <w:sz w:val="18"/>
                <w:szCs w:val="18"/>
                <w:lang w:val="en-US" w:eastAsia="zh-CN"/>
              </w:rPr>
            </w:pPr>
          </w:p>
        </w:tc>
        <w:tc>
          <w:tcPr>
            <w:tcW w:w="5954" w:type="dxa"/>
            <w:noWrap w:val="0"/>
            <w:vAlign w:val="center"/>
          </w:tcPr>
          <w:p w14:paraId="49B4BFBA">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水道上方和两侧不应有影响乘客人身安全的凸起和障碍</w:t>
            </w:r>
            <w:r>
              <w:rPr>
                <w:rFonts w:hint="eastAsia" w:ascii="宋体" w:hAnsi="宋体"/>
                <w:sz w:val="18"/>
                <w:szCs w:val="18"/>
                <w:lang w:val="en-US" w:eastAsia="zh-CN"/>
              </w:rPr>
              <w:t>；</w:t>
            </w:r>
          </w:p>
          <w:p w14:paraId="45C0C0FB">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w:t>
            </w:r>
            <w:r>
              <w:rPr>
                <w:rFonts w:hint="default" w:ascii="宋体" w:hAnsi="宋体"/>
                <w:sz w:val="18"/>
                <w:szCs w:val="18"/>
                <w:lang w:val="en-US" w:eastAsia="zh-CN"/>
              </w:rPr>
              <w:t>漂流筏的筏体应结实耐用，筏胎采用充气胎时，应无明显漏气现象</w:t>
            </w:r>
            <w:r>
              <w:rPr>
                <w:rFonts w:hint="eastAsia" w:ascii="宋体" w:hAnsi="宋体"/>
                <w:sz w:val="18"/>
                <w:szCs w:val="18"/>
                <w:lang w:val="en-US" w:eastAsia="zh-CN"/>
              </w:rPr>
              <w:t>；</w:t>
            </w:r>
          </w:p>
          <w:p w14:paraId="76AEC548">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w:t>
            </w:r>
            <w:r>
              <w:rPr>
                <w:rFonts w:hint="default" w:ascii="宋体" w:hAnsi="宋体"/>
                <w:sz w:val="18"/>
                <w:szCs w:val="18"/>
                <w:lang w:val="en-US" w:eastAsia="zh-CN"/>
              </w:rPr>
              <w:t>漂流筏踏脚平面和出入口应设有防滑措施</w:t>
            </w:r>
            <w:r>
              <w:rPr>
                <w:rFonts w:hint="eastAsia" w:ascii="宋体" w:hAnsi="宋体"/>
                <w:sz w:val="18"/>
                <w:szCs w:val="18"/>
                <w:lang w:val="en-US" w:eastAsia="zh-CN"/>
              </w:rPr>
              <w:t>；</w:t>
            </w:r>
          </w:p>
          <w:p w14:paraId="275F865C">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5</w:t>
            </w:r>
            <w:r>
              <w:rPr>
                <w:rFonts w:hint="eastAsia" w:ascii="宋体" w:hAnsi="宋体"/>
                <w:sz w:val="18"/>
                <w:szCs w:val="18"/>
              </w:rPr>
              <w:t>）</w:t>
            </w:r>
            <w:r>
              <w:rPr>
                <w:rFonts w:hint="default" w:ascii="宋体" w:hAnsi="宋体"/>
                <w:sz w:val="18"/>
                <w:szCs w:val="18"/>
                <w:lang w:val="en-US" w:eastAsia="zh-CN"/>
              </w:rPr>
              <w:t>漂流筏运行时与水道间应无影响人员乘坐安全的冲击</w:t>
            </w:r>
            <w:r>
              <w:rPr>
                <w:rFonts w:hint="eastAsia" w:ascii="宋体" w:hAnsi="宋体"/>
                <w:sz w:val="18"/>
                <w:szCs w:val="18"/>
                <w:lang w:val="en-US" w:eastAsia="zh-CN"/>
              </w:rPr>
              <w:t>碰撞。</w:t>
            </w:r>
          </w:p>
          <w:p w14:paraId="5588B034">
            <w:pPr>
              <w:numPr>
                <w:ilvl w:val="-1"/>
                <w:numId w:val="0"/>
              </w:numPr>
              <w:adjustRightInd w:val="0"/>
              <w:snapToGrid w:val="0"/>
              <w:rPr>
                <w:rFonts w:hint="eastAsia" w:ascii="宋体" w:hAnsi="宋体"/>
                <w:sz w:val="18"/>
                <w:szCs w:val="18"/>
                <w:lang w:val="en-US" w:eastAsia="zh-CN"/>
              </w:rPr>
            </w:pPr>
            <w:r>
              <w:rPr>
                <w:rFonts w:hint="eastAsia" w:ascii="宋体" w:hAnsi="宋体"/>
                <w:sz w:val="18"/>
                <w:szCs w:val="18"/>
                <w:lang w:val="en-US" w:eastAsia="zh-CN"/>
              </w:rPr>
              <w:t>j</w:t>
            </w:r>
            <w:r>
              <w:rPr>
                <w:rFonts w:hint="eastAsia" w:ascii="宋体" w:hAnsi="宋体"/>
                <w:sz w:val="18"/>
                <w:szCs w:val="18"/>
              </w:rPr>
              <w:t>）</w:t>
            </w:r>
            <w:r>
              <w:rPr>
                <w:rFonts w:hint="eastAsia" w:ascii="宋体" w:hAnsi="宋体"/>
                <w:sz w:val="18"/>
                <w:szCs w:val="18"/>
                <w:lang w:val="en-US" w:eastAsia="zh-CN"/>
              </w:rPr>
              <w:t>碰碰船应符合下列要求：</w:t>
            </w:r>
          </w:p>
          <w:p w14:paraId="68C13D52">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船体应有承受碰撞的保护装置</w:t>
            </w:r>
            <w:r>
              <w:rPr>
                <w:rFonts w:hint="eastAsia" w:ascii="宋体" w:hAnsi="宋体"/>
                <w:sz w:val="18"/>
                <w:szCs w:val="18"/>
                <w:lang w:val="en-US" w:eastAsia="zh-CN"/>
              </w:rPr>
              <w:t>；</w:t>
            </w:r>
          </w:p>
          <w:p w14:paraId="3FA2D8AD">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船上应设安全扶手，座席结构应固定牢固</w:t>
            </w:r>
            <w:r>
              <w:rPr>
                <w:rFonts w:hint="eastAsia" w:ascii="宋体" w:hAnsi="宋体"/>
                <w:sz w:val="18"/>
                <w:szCs w:val="18"/>
                <w:lang w:val="en-US" w:eastAsia="zh-CN"/>
              </w:rPr>
              <w:t>；</w:t>
            </w:r>
          </w:p>
          <w:p w14:paraId="7C63807E">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w:t>
            </w:r>
            <w:r>
              <w:rPr>
                <w:rFonts w:hint="default" w:ascii="宋体" w:hAnsi="宋体"/>
                <w:sz w:val="18"/>
                <w:szCs w:val="18"/>
                <w:lang w:val="en-US" w:eastAsia="zh-CN"/>
              </w:rPr>
              <w:t>碰碰船最大行驶速度应小于10km/h</w:t>
            </w:r>
            <w:r>
              <w:rPr>
                <w:rFonts w:hint="eastAsia" w:ascii="宋体" w:hAnsi="宋体"/>
                <w:sz w:val="18"/>
                <w:szCs w:val="18"/>
                <w:lang w:val="en-US" w:eastAsia="zh-CN"/>
              </w:rPr>
              <w:t>；</w:t>
            </w:r>
          </w:p>
          <w:p w14:paraId="6A2A8D32">
            <w:pPr>
              <w:numPr>
                <w:ilvl w:val="-1"/>
                <w:numId w:val="0"/>
              </w:num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w:t>
            </w:r>
            <w:r>
              <w:rPr>
                <w:rFonts w:hint="default" w:ascii="宋体" w:hAnsi="宋体"/>
                <w:sz w:val="18"/>
                <w:szCs w:val="18"/>
                <w:lang w:val="en-US" w:eastAsia="zh-CN"/>
              </w:rPr>
              <w:t>碰碰船水池水深应不大于1.5m</w:t>
            </w:r>
            <w:r>
              <w:rPr>
                <w:rFonts w:hint="eastAsia" w:ascii="宋体" w:hAnsi="宋体"/>
                <w:sz w:val="18"/>
                <w:szCs w:val="18"/>
                <w:lang w:val="en-US" w:eastAsia="zh-CN"/>
              </w:rPr>
              <w:t>；</w:t>
            </w:r>
          </w:p>
          <w:p w14:paraId="79E0D15A">
            <w:pPr>
              <w:numPr>
                <w:ilvl w:val="-1"/>
                <w:numId w:val="0"/>
              </w:num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5</w:t>
            </w:r>
            <w:r>
              <w:rPr>
                <w:rFonts w:hint="eastAsia" w:ascii="宋体" w:hAnsi="宋体"/>
                <w:sz w:val="18"/>
                <w:szCs w:val="18"/>
              </w:rPr>
              <w:t>）</w:t>
            </w:r>
            <w:r>
              <w:rPr>
                <w:rFonts w:hint="default" w:ascii="宋体" w:hAnsi="宋体"/>
                <w:sz w:val="18"/>
                <w:szCs w:val="18"/>
                <w:lang w:val="en-US" w:eastAsia="zh-CN"/>
              </w:rPr>
              <w:t>船的动力部分和传动装置，应采用遮挡物与乘客严格分开</w:t>
            </w:r>
            <w:r>
              <w:rPr>
                <w:rFonts w:hint="eastAsia" w:ascii="宋体" w:hAnsi="宋体"/>
                <w:sz w:val="18"/>
                <w:szCs w:val="18"/>
                <w:lang w:val="en-US" w:eastAsia="zh-CN"/>
              </w:rPr>
              <w:t>；</w:t>
            </w:r>
          </w:p>
          <w:p w14:paraId="5BE58D93">
            <w:pPr>
              <w:numPr>
                <w:ilvl w:val="-1"/>
                <w:numId w:val="0"/>
              </w:numPr>
              <w:adjustRightInd w:val="0"/>
              <w:snapToGrid w:val="0"/>
              <w:ind w:firstLine="360" w:firstLineChars="200"/>
              <w:jc w:val="both"/>
              <w:rPr>
                <w:rFonts w:hint="default" w:ascii="宋体" w:hAnsi="宋体"/>
                <w:sz w:val="18"/>
                <w:szCs w:val="18"/>
                <w:highlight w:val="none"/>
                <w:lang w:val="en-US" w:eastAsia="zh-CN"/>
              </w:rPr>
            </w:pPr>
            <w:r>
              <w:rPr>
                <w:rFonts w:hint="eastAsia" w:ascii="宋体" w:hAnsi="宋体"/>
                <w:sz w:val="18"/>
                <w:szCs w:val="18"/>
                <w:lang w:val="en-US" w:eastAsia="zh-CN"/>
              </w:rPr>
              <w:t>6</w:t>
            </w:r>
            <w:r>
              <w:rPr>
                <w:rFonts w:hint="eastAsia" w:ascii="宋体" w:hAnsi="宋体"/>
                <w:sz w:val="18"/>
                <w:szCs w:val="18"/>
              </w:rPr>
              <w:t>）</w:t>
            </w:r>
            <w:r>
              <w:rPr>
                <w:rFonts w:hint="default" w:ascii="宋体" w:hAnsi="宋体"/>
                <w:sz w:val="18"/>
                <w:szCs w:val="18"/>
                <w:lang w:val="en-US" w:eastAsia="zh-CN"/>
              </w:rPr>
              <w:t>碰碰船必须在限制的水域内行驶，不得与其他船只混杂在一起</w:t>
            </w:r>
            <w:r>
              <w:rPr>
                <w:rFonts w:hint="eastAsia" w:ascii="宋体" w:hAnsi="宋体"/>
                <w:sz w:val="18"/>
                <w:szCs w:val="18"/>
                <w:lang w:val="en-US" w:eastAsia="zh-CN"/>
              </w:rPr>
              <w:t>。</w:t>
            </w:r>
          </w:p>
        </w:tc>
        <w:tc>
          <w:tcPr>
            <w:tcW w:w="596" w:type="dxa"/>
            <w:noWrap w:val="0"/>
            <w:vAlign w:val="center"/>
          </w:tcPr>
          <w:p w14:paraId="0FCF9DE8">
            <w:pPr>
              <w:adjustRightInd w:val="0"/>
              <w:snapToGrid w:val="0"/>
              <w:jc w:val="both"/>
              <w:rPr>
                <w:rFonts w:hint="default" w:ascii="宋体" w:hAnsi="宋体"/>
                <w:sz w:val="18"/>
                <w:szCs w:val="18"/>
                <w:lang w:val="en-US" w:eastAsia="zh-CN"/>
              </w:rPr>
            </w:pPr>
          </w:p>
        </w:tc>
        <w:tc>
          <w:tcPr>
            <w:tcW w:w="654" w:type="dxa"/>
            <w:noWrap w:val="0"/>
            <w:vAlign w:val="center"/>
          </w:tcPr>
          <w:p w14:paraId="19EF6FB1">
            <w:pPr>
              <w:adjustRightInd w:val="0"/>
              <w:snapToGrid w:val="0"/>
              <w:jc w:val="both"/>
              <w:rPr>
                <w:rFonts w:hint="eastAsia" w:ascii="宋体" w:hAnsi="宋体"/>
                <w:sz w:val="18"/>
                <w:szCs w:val="18"/>
                <w:lang w:val="en-US" w:eastAsia="zh-CN"/>
              </w:rPr>
            </w:pPr>
          </w:p>
        </w:tc>
        <w:tc>
          <w:tcPr>
            <w:tcW w:w="593" w:type="dxa"/>
            <w:noWrap w:val="0"/>
            <w:vAlign w:val="center"/>
          </w:tcPr>
          <w:p w14:paraId="070B33B8">
            <w:pPr>
              <w:adjustRightInd w:val="0"/>
              <w:snapToGrid w:val="0"/>
              <w:jc w:val="center"/>
              <w:rPr>
                <w:rFonts w:hint="eastAsia" w:ascii="宋体" w:hAnsi="宋体" w:eastAsia="宋体" w:cs="Times New Roman"/>
                <w:kern w:val="2"/>
                <w:sz w:val="18"/>
                <w:szCs w:val="18"/>
                <w:lang w:val="en-US" w:eastAsia="zh-CN" w:bidi="ar-SA"/>
              </w:rPr>
            </w:pPr>
          </w:p>
        </w:tc>
        <w:tc>
          <w:tcPr>
            <w:tcW w:w="2978" w:type="dxa"/>
            <w:noWrap w:val="0"/>
            <w:vAlign w:val="center"/>
          </w:tcPr>
          <w:p w14:paraId="41E3D6B3">
            <w:pPr>
              <w:adjustRightInd w:val="0"/>
              <w:snapToGrid w:val="0"/>
              <w:rPr>
                <w:rFonts w:hint="eastAsia" w:ascii="宋体" w:hAnsi="宋体" w:eastAsia="宋体" w:cs="Times New Roman"/>
                <w:kern w:val="2"/>
                <w:sz w:val="18"/>
                <w:szCs w:val="18"/>
                <w:lang w:val="en-US" w:eastAsia="zh-CN" w:bidi="ar-SA"/>
              </w:rPr>
            </w:pPr>
          </w:p>
        </w:tc>
        <w:tc>
          <w:tcPr>
            <w:tcW w:w="611" w:type="dxa"/>
            <w:noWrap w:val="0"/>
            <w:vAlign w:val="top"/>
          </w:tcPr>
          <w:p w14:paraId="54C16C9E">
            <w:pPr>
              <w:adjustRightInd w:val="0"/>
              <w:snapToGrid w:val="0"/>
              <w:rPr>
                <w:rFonts w:hint="eastAsia" w:ascii="宋体" w:hAnsi="宋体" w:eastAsia="宋体" w:cs="Times New Roman"/>
                <w:kern w:val="2"/>
                <w:sz w:val="18"/>
                <w:szCs w:val="18"/>
                <w:lang w:val="en-US" w:eastAsia="zh-CN" w:bidi="ar-SA"/>
              </w:rPr>
            </w:pPr>
          </w:p>
        </w:tc>
        <w:tc>
          <w:tcPr>
            <w:tcW w:w="1557" w:type="dxa"/>
            <w:noWrap w:val="0"/>
            <w:vAlign w:val="top"/>
          </w:tcPr>
          <w:p w14:paraId="44CF1D70">
            <w:pPr>
              <w:adjustRightInd w:val="0"/>
              <w:snapToGrid w:val="0"/>
              <w:rPr>
                <w:rFonts w:hint="default" w:ascii="宋体" w:hAnsi="宋体" w:eastAsia="宋体" w:cs="Times New Roman"/>
                <w:kern w:val="2"/>
                <w:sz w:val="18"/>
                <w:szCs w:val="18"/>
                <w:lang w:val="en-US" w:eastAsia="zh-CN" w:bidi="ar-SA"/>
              </w:rPr>
            </w:pPr>
          </w:p>
        </w:tc>
        <w:tc>
          <w:tcPr>
            <w:tcW w:w="1452" w:type="dxa"/>
            <w:noWrap w:val="0"/>
            <w:vAlign w:val="center"/>
          </w:tcPr>
          <w:p w14:paraId="26E8926C">
            <w:pPr>
              <w:adjustRightInd w:val="0"/>
              <w:snapToGrid w:val="0"/>
              <w:jc w:val="center"/>
              <w:rPr>
                <w:rFonts w:hint="default" w:ascii="宋体" w:hAnsi="宋体"/>
                <w:sz w:val="18"/>
                <w:szCs w:val="18"/>
                <w:lang w:val="en-US" w:eastAsia="zh-CN"/>
              </w:rPr>
            </w:pPr>
          </w:p>
        </w:tc>
      </w:tr>
      <w:tr w14:paraId="18E95D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58" w:type="dxa"/>
            <w:noWrap w:val="0"/>
            <w:vAlign w:val="center"/>
          </w:tcPr>
          <w:p w14:paraId="173D26E4">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4.6.4</w:t>
            </w:r>
          </w:p>
        </w:tc>
        <w:tc>
          <w:tcPr>
            <w:tcW w:w="5954" w:type="dxa"/>
            <w:noWrap w:val="0"/>
            <w:vAlign w:val="center"/>
          </w:tcPr>
          <w:p w14:paraId="4ECB07AB">
            <w:pPr>
              <w:numPr>
                <w:ilvl w:val="0"/>
                <w:numId w:val="0"/>
              </w:numPr>
              <w:adjustRightInd w:val="0"/>
              <w:snapToGrid w:val="0"/>
              <w:jc w:val="both"/>
              <w:rPr>
                <w:rFonts w:hint="eastAsia" w:ascii="宋体" w:hAnsi="宋体"/>
                <w:sz w:val="18"/>
                <w:szCs w:val="18"/>
                <w:lang w:val="en-US" w:eastAsia="zh-CN"/>
              </w:rPr>
            </w:pPr>
            <w:r>
              <w:rPr>
                <w:rFonts w:hint="default" w:ascii="宋体" w:hAnsi="宋体"/>
                <w:sz w:val="18"/>
                <w:szCs w:val="18"/>
                <w:lang w:val="en-US" w:eastAsia="zh-CN"/>
              </w:rPr>
              <w:t>无动力游乐设施应符合下列要求</w:t>
            </w:r>
            <w:r>
              <w:rPr>
                <w:rFonts w:hint="eastAsia" w:ascii="宋体" w:hAnsi="宋体"/>
                <w:sz w:val="18"/>
                <w:szCs w:val="18"/>
                <w:lang w:val="en-US" w:eastAsia="zh-CN"/>
              </w:rPr>
              <w:t>：</w:t>
            </w:r>
          </w:p>
          <w:p w14:paraId="66BBE5B2">
            <w:pPr>
              <w:numPr>
                <w:ilvl w:val="0"/>
                <w:numId w:val="0"/>
              </w:numPr>
              <w:adjustRightInd w:val="0"/>
              <w:snapToGrid w:val="0"/>
              <w:jc w:val="both"/>
              <w:rPr>
                <w:rFonts w:hint="default" w:ascii="宋体" w:hAnsi="宋体"/>
                <w:sz w:val="18"/>
                <w:szCs w:val="18"/>
                <w:lang w:val="en-US" w:eastAsia="zh-CN"/>
              </w:rPr>
            </w:pPr>
            <w:r>
              <w:rPr>
                <w:rFonts w:hint="eastAsia" w:ascii="宋体" w:hAnsi="宋体"/>
                <w:sz w:val="18"/>
                <w:szCs w:val="18"/>
              </w:rPr>
              <w:t>a）</w:t>
            </w:r>
            <w:r>
              <w:rPr>
                <w:rFonts w:hint="default" w:ascii="宋体" w:hAnsi="宋体"/>
                <w:sz w:val="18"/>
                <w:szCs w:val="18"/>
                <w:lang w:val="en-US" w:eastAsia="zh-CN"/>
              </w:rPr>
              <w:t>蹦极</w:t>
            </w:r>
            <w:r>
              <w:rPr>
                <w:rFonts w:hint="eastAsia" w:ascii="宋体" w:hAnsi="宋体"/>
                <w:sz w:val="18"/>
                <w:szCs w:val="18"/>
                <w:lang w:val="en-US" w:eastAsia="zh-CN"/>
              </w:rPr>
              <w:t>应符合下列要求：</w:t>
            </w:r>
          </w:p>
          <w:p w14:paraId="00FD73D8">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高空蹦极平台的弹跳口应设置拦挡物，并设置两道锁紧装置或者一道带保险的锁紧装置</w:t>
            </w:r>
            <w:r>
              <w:rPr>
                <w:rFonts w:hint="eastAsia" w:ascii="宋体" w:hAnsi="宋体"/>
                <w:sz w:val="18"/>
                <w:szCs w:val="18"/>
                <w:lang w:val="en-US" w:eastAsia="zh-CN"/>
              </w:rPr>
              <w:t>，</w:t>
            </w:r>
            <w:r>
              <w:rPr>
                <w:rFonts w:hint="default" w:ascii="宋体" w:hAnsi="宋体"/>
                <w:sz w:val="18"/>
                <w:szCs w:val="18"/>
                <w:lang w:val="en-US" w:eastAsia="zh-CN"/>
              </w:rPr>
              <w:t>平台台面应有防滑措施</w:t>
            </w:r>
            <w:r>
              <w:rPr>
                <w:rFonts w:hint="eastAsia" w:ascii="宋体" w:hAnsi="宋体"/>
                <w:sz w:val="18"/>
                <w:szCs w:val="18"/>
                <w:lang w:val="en-US" w:eastAsia="zh-CN"/>
              </w:rPr>
              <w:t>；</w:t>
            </w:r>
          </w:p>
          <w:p w14:paraId="324F1CF4">
            <w:pPr>
              <w:numPr>
                <w:ilvl w:val="0"/>
                <w:numId w:val="0"/>
              </w:numPr>
              <w:adjustRightInd w:val="0"/>
              <w:snapToGrid w:val="0"/>
              <w:ind w:firstLine="360" w:firstLineChars="200"/>
              <w:jc w:val="both"/>
              <w:rPr>
                <w:rFonts w:hint="eastAsia"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接应点在陆地或者固体表面上，应设置面积不小于3m</w:t>
            </w:r>
            <w:r>
              <w:rPr>
                <w:rFonts w:hint="eastAsia" w:ascii="宋体" w:hAnsi="宋体"/>
                <w:sz w:val="18"/>
                <w:szCs w:val="18"/>
                <w:vertAlign w:val="superscript"/>
                <w:lang w:val="en-US" w:eastAsia="zh-CN"/>
              </w:rPr>
              <w:t>2</w:t>
            </w:r>
            <w:r>
              <w:rPr>
                <w:rFonts w:hint="default" w:ascii="宋体" w:hAnsi="宋体"/>
                <w:sz w:val="18"/>
                <w:szCs w:val="18"/>
                <w:lang w:val="en-US" w:eastAsia="zh-CN"/>
              </w:rPr>
              <w:t>的缓冲垫</w:t>
            </w:r>
            <w:r>
              <w:rPr>
                <w:rFonts w:hint="eastAsia" w:ascii="宋体" w:hAnsi="宋体"/>
                <w:sz w:val="18"/>
                <w:szCs w:val="18"/>
                <w:lang w:val="en-US" w:eastAsia="zh-CN"/>
              </w:rPr>
              <w:t>；</w:t>
            </w:r>
            <w:r>
              <w:rPr>
                <w:rFonts w:hint="default" w:ascii="宋体" w:hAnsi="宋体"/>
                <w:sz w:val="18"/>
                <w:szCs w:val="18"/>
                <w:lang w:val="en-US" w:eastAsia="zh-CN"/>
              </w:rPr>
              <w:t>接应点在水上，应有安全水域，接应船上应设置面积不小于1.5m</w:t>
            </w:r>
            <w:r>
              <w:rPr>
                <w:rFonts w:hint="eastAsia" w:ascii="宋体" w:hAnsi="宋体"/>
                <w:sz w:val="18"/>
                <w:szCs w:val="18"/>
                <w:vertAlign w:val="superscript"/>
                <w:lang w:val="en-US" w:eastAsia="zh-CN"/>
              </w:rPr>
              <w:t>2</w:t>
            </w:r>
            <w:r>
              <w:rPr>
                <w:rFonts w:hint="default" w:ascii="宋体" w:hAnsi="宋体"/>
                <w:sz w:val="18"/>
                <w:szCs w:val="18"/>
                <w:lang w:val="en-US" w:eastAsia="zh-CN"/>
              </w:rPr>
              <w:t>的防护垫</w:t>
            </w:r>
            <w:r>
              <w:rPr>
                <w:rFonts w:hint="eastAsia" w:ascii="宋体" w:hAnsi="宋体"/>
                <w:sz w:val="18"/>
                <w:szCs w:val="18"/>
                <w:lang w:val="en-US" w:eastAsia="zh-CN"/>
              </w:rPr>
              <w:t>，配备足够的救生衣和救援装置，船上的所有人员都应穿戴救生装置；</w:t>
            </w:r>
          </w:p>
          <w:p w14:paraId="665FCF90">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w:t>
            </w:r>
            <w:r>
              <w:rPr>
                <w:rFonts w:hint="eastAsia" w:ascii="宋体" w:hAnsi="宋体"/>
                <w:sz w:val="18"/>
                <w:szCs w:val="18"/>
                <w:lang w:val="en-US" w:eastAsia="zh-CN"/>
              </w:rPr>
              <w:t>高空蹦极弹性绳应装有安全绳，其拉直长度应等于弹性绳的有效拉伸量；</w:t>
            </w:r>
          </w:p>
          <w:p w14:paraId="26817E25">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w:t>
            </w:r>
            <w:r>
              <w:rPr>
                <w:rFonts w:hint="eastAsia" w:ascii="宋体" w:hAnsi="宋体"/>
                <w:sz w:val="18"/>
                <w:szCs w:val="18"/>
                <w:lang w:val="en-US" w:eastAsia="zh-CN"/>
              </w:rPr>
              <w:t>高空蹦极弹性绳上应标注使用载荷，并且有明显标识。</w:t>
            </w:r>
          </w:p>
          <w:p w14:paraId="3FF8C245">
            <w:pPr>
              <w:numPr>
                <w:ilvl w:val="0"/>
                <w:numId w:val="0"/>
              </w:numPr>
              <w:adjustRightInd w:val="0"/>
              <w:snapToGrid w:val="0"/>
              <w:jc w:val="both"/>
              <w:rPr>
                <w:rFonts w:hint="default" w:ascii="宋体" w:hAnsi="宋体"/>
                <w:sz w:val="18"/>
                <w:szCs w:val="18"/>
                <w:lang w:val="en-US" w:eastAsia="zh-CN"/>
              </w:rPr>
            </w:pPr>
            <w:r>
              <w:rPr>
                <w:rFonts w:hint="eastAsia" w:ascii="宋体" w:hAnsi="宋体"/>
                <w:sz w:val="18"/>
                <w:szCs w:val="18"/>
                <w:lang w:val="en-US" w:eastAsia="zh-CN"/>
              </w:rPr>
              <w:t>b</w:t>
            </w:r>
            <w:r>
              <w:rPr>
                <w:rFonts w:hint="eastAsia" w:ascii="宋体" w:hAnsi="宋体"/>
                <w:sz w:val="18"/>
                <w:szCs w:val="18"/>
              </w:rPr>
              <w:t>）</w:t>
            </w:r>
            <w:r>
              <w:rPr>
                <w:rFonts w:hint="default" w:ascii="宋体" w:hAnsi="宋体"/>
                <w:sz w:val="18"/>
                <w:szCs w:val="18"/>
                <w:lang w:val="en-US" w:eastAsia="zh-CN"/>
              </w:rPr>
              <w:t>滑索应符合下列要求</w:t>
            </w:r>
            <w:r>
              <w:rPr>
                <w:rFonts w:hint="eastAsia" w:ascii="宋体" w:hAnsi="宋体"/>
                <w:sz w:val="18"/>
                <w:szCs w:val="18"/>
                <w:lang w:val="en-US" w:eastAsia="zh-CN"/>
              </w:rPr>
              <w:t>：</w:t>
            </w:r>
          </w:p>
          <w:p w14:paraId="37156004">
            <w:pPr>
              <w:numPr>
                <w:ilvl w:val="0"/>
                <w:numId w:val="0"/>
              </w:numPr>
              <w:adjustRightInd w:val="0"/>
              <w:snapToGrid w:val="0"/>
              <w:ind w:firstLine="360" w:firstLineChars="200"/>
              <w:jc w:val="both"/>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滑索应设有放行联锁装置，限位、限速、断绳保护装置完好有效</w:t>
            </w:r>
            <w:r>
              <w:rPr>
                <w:rFonts w:hint="eastAsia" w:ascii="宋体" w:hAnsi="宋体"/>
                <w:sz w:val="18"/>
                <w:szCs w:val="18"/>
                <w:lang w:val="en-US" w:eastAsia="zh-CN"/>
              </w:rPr>
              <w:t>；</w:t>
            </w:r>
          </w:p>
          <w:p w14:paraId="18964662">
            <w:pPr>
              <w:numPr>
                <w:ilvl w:val="0"/>
                <w:numId w:val="0"/>
              </w:numPr>
              <w:adjustRightInd w:val="0"/>
              <w:snapToGrid w:val="0"/>
              <w:ind w:firstLine="360" w:firstLineChars="200"/>
              <w:jc w:val="both"/>
              <w:rPr>
                <w:rFonts w:hint="eastAsia"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等待区与出发区应设置可靠拦挡物</w:t>
            </w:r>
            <w:r>
              <w:rPr>
                <w:rFonts w:hint="eastAsia" w:ascii="宋体" w:hAnsi="宋体"/>
                <w:sz w:val="18"/>
                <w:szCs w:val="18"/>
                <w:lang w:val="en-US" w:eastAsia="zh-CN"/>
              </w:rPr>
              <w:t>；</w:t>
            </w:r>
          </w:p>
          <w:p w14:paraId="13D16BC2">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w:t>
            </w:r>
            <w:r>
              <w:rPr>
                <w:rFonts w:hint="default" w:ascii="宋体" w:hAnsi="宋体"/>
                <w:sz w:val="18"/>
                <w:szCs w:val="18"/>
                <w:lang w:val="en-US" w:eastAsia="zh-CN"/>
              </w:rPr>
              <w:t>出发站等待区应设立安全标志和乘客须知，乘客须知应明确标识乘客的乘坐限制条件和正确乘坐姿势，并有防止头发、衣物等卷入滑车和不允许手触碰承载索或者牵引索的要求</w:t>
            </w:r>
            <w:r>
              <w:rPr>
                <w:rFonts w:hint="eastAsia" w:ascii="宋体" w:hAnsi="宋体"/>
                <w:sz w:val="18"/>
                <w:szCs w:val="18"/>
                <w:lang w:val="en-US" w:eastAsia="zh-CN"/>
              </w:rPr>
              <w:t>；</w:t>
            </w:r>
          </w:p>
          <w:p w14:paraId="3916BCCD">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w:t>
            </w:r>
            <w:r>
              <w:rPr>
                <w:rFonts w:hint="default" w:ascii="宋体" w:hAnsi="宋体"/>
                <w:sz w:val="18"/>
                <w:szCs w:val="18"/>
                <w:lang w:val="en-US" w:eastAsia="zh-CN"/>
              </w:rPr>
              <w:t>出发站每道滑索应设置两套独立的常闭式乘客放行装置</w:t>
            </w:r>
            <w:r>
              <w:rPr>
                <w:rFonts w:hint="eastAsia" w:ascii="宋体" w:hAnsi="宋体"/>
                <w:sz w:val="18"/>
                <w:szCs w:val="18"/>
                <w:lang w:val="en-US" w:eastAsia="zh-CN"/>
              </w:rPr>
              <w:t>；</w:t>
            </w:r>
          </w:p>
          <w:p w14:paraId="734CB269">
            <w:pPr>
              <w:numPr>
                <w:ilvl w:val="-1"/>
                <w:numId w:val="0"/>
              </w:numPr>
              <w:adjustRightInd w:val="0"/>
              <w:snapToGrid w:val="0"/>
              <w:ind w:left="0" w:leftChars="0" w:firstLine="360" w:firstLineChars="200"/>
              <w:jc w:val="both"/>
              <w:rPr>
                <w:rFonts w:hint="eastAsia" w:ascii="宋体" w:hAnsi="宋体" w:eastAsia="宋体" w:cs="Times New Roman"/>
                <w:kern w:val="2"/>
                <w:sz w:val="18"/>
                <w:szCs w:val="18"/>
                <w:highlight w:val="none"/>
                <w:lang w:val="en-US" w:eastAsia="zh-CN" w:bidi="ar-SA"/>
              </w:rPr>
            </w:pPr>
            <w:r>
              <w:rPr>
                <w:rFonts w:hint="eastAsia" w:ascii="宋体" w:hAnsi="宋体"/>
                <w:sz w:val="18"/>
                <w:szCs w:val="18"/>
                <w:lang w:val="en-US" w:eastAsia="zh-CN"/>
              </w:rPr>
              <w:t>5</w:t>
            </w:r>
            <w:r>
              <w:rPr>
                <w:rFonts w:hint="eastAsia" w:ascii="宋体" w:hAnsi="宋体"/>
                <w:sz w:val="18"/>
                <w:szCs w:val="18"/>
              </w:rPr>
              <w:t>）</w:t>
            </w:r>
            <w:r>
              <w:rPr>
                <w:rFonts w:hint="default" w:ascii="宋体" w:hAnsi="宋体"/>
                <w:sz w:val="18"/>
                <w:szCs w:val="18"/>
                <w:lang w:val="en-US" w:eastAsia="zh-CN"/>
              </w:rPr>
              <w:t>无动力牵引滑索的出发站应设置安全门，安全门开启方向不应与</w:t>
            </w:r>
          </w:p>
        </w:tc>
        <w:tc>
          <w:tcPr>
            <w:tcW w:w="596" w:type="dxa"/>
            <w:noWrap w:val="0"/>
            <w:vAlign w:val="center"/>
          </w:tcPr>
          <w:p w14:paraId="36EA9CE2">
            <w:pPr>
              <w:adjustRightInd w:val="0"/>
              <w:snapToGrid w:val="0"/>
              <w:jc w:val="both"/>
              <w:rPr>
                <w:rFonts w:hint="default" w:ascii="宋体" w:hAnsi="宋体" w:eastAsia="宋体" w:cs="Times New Roman"/>
                <w:kern w:val="2"/>
                <w:sz w:val="18"/>
                <w:szCs w:val="18"/>
                <w:lang w:val="en-US" w:eastAsia="zh-CN" w:bidi="ar-SA"/>
              </w:rPr>
            </w:pPr>
          </w:p>
        </w:tc>
        <w:tc>
          <w:tcPr>
            <w:tcW w:w="654" w:type="dxa"/>
            <w:noWrap w:val="0"/>
            <w:vAlign w:val="center"/>
          </w:tcPr>
          <w:p w14:paraId="5F729B50">
            <w:pPr>
              <w:adjustRightInd w:val="0"/>
              <w:snapToGrid w:val="0"/>
              <w:jc w:val="both"/>
              <w:rPr>
                <w:rFonts w:hint="eastAsia" w:ascii="宋体" w:hAnsi="宋体" w:eastAsia="宋体" w:cs="Times New Roman"/>
                <w:kern w:val="2"/>
                <w:sz w:val="18"/>
                <w:szCs w:val="18"/>
                <w:lang w:val="en-US" w:eastAsia="zh-CN" w:bidi="ar-SA"/>
              </w:rPr>
            </w:pPr>
          </w:p>
        </w:tc>
        <w:tc>
          <w:tcPr>
            <w:tcW w:w="593" w:type="dxa"/>
            <w:noWrap w:val="0"/>
            <w:vAlign w:val="center"/>
          </w:tcPr>
          <w:p w14:paraId="1EE32AA4">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8</w:t>
            </w:r>
          </w:p>
        </w:tc>
        <w:tc>
          <w:tcPr>
            <w:tcW w:w="2978" w:type="dxa"/>
            <w:noWrap w:val="0"/>
            <w:vAlign w:val="center"/>
          </w:tcPr>
          <w:p w14:paraId="73C3CDDA">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一处不符合扣3分。</w:t>
            </w:r>
          </w:p>
        </w:tc>
        <w:tc>
          <w:tcPr>
            <w:tcW w:w="611" w:type="dxa"/>
            <w:noWrap w:val="0"/>
            <w:vAlign w:val="top"/>
          </w:tcPr>
          <w:p w14:paraId="42E34511">
            <w:pPr>
              <w:adjustRightInd w:val="0"/>
              <w:snapToGrid w:val="0"/>
              <w:rPr>
                <w:rFonts w:hint="eastAsia" w:ascii="宋体" w:hAnsi="宋体" w:eastAsia="宋体" w:cs="Times New Roman"/>
                <w:kern w:val="2"/>
                <w:sz w:val="18"/>
                <w:szCs w:val="18"/>
                <w:lang w:val="en-US" w:eastAsia="zh-CN" w:bidi="ar-SA"/>
              </w:rPr>
            </w:pPr>
          </w:p>
        </w:tc>
        <w:tc>
          <w:tcPr>
            <w:tcW w:w="1557" w:type="dxa"/>
            <w:noWrap w:val="0"/>
            <w:vAlign w:val="top"/>
          </w:tcPr>
          <w:p w14:paraId="7C332ED0">
            <w:pPr>
              <w:adjustRightInd w:val="0"/>
              <w:snapToGrid w:val="0"/>
              <w:rPr>
                <w:rFonts w:hint="default" w:ascii="宋体" w:hAnsi="宋体" w:eastAsia="宋体" w:cs="Times New Roman"/>
                <w:kern w:val="2"/>
                <w:sz w:val="18"/>
                <w:szCs w:val="18"/>
                <w:lang w:val="en-US" w:eastAsia="zh-CN" w:bidi="ar-SA"/>
              </w:rPr>
            </w:pPr>
          </w:p>
        </w:tc>
        <w:tc>
          <w:tcPr>
            <w:tcW w:w="1452" w:type="dxa"/>
            <w:noWrap w:val="0"/>
            <w:vAlign w:val="center"/>
          </w:tcPr>
          <w:p w14:paraId="73740E01">
            <w:pPr>
              <w:adjustRightInd w:val="0"/>
              <w:snapToGrid w:val="0"/>
              <w:jc w:val="center"/>
              <w:rPr>
                <w:rFonts w:hint="eastAsia"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.4.</w:t>
            </w:r>
            <w:r>
              <w:rPr>
                <w:rFonts w:hint="eastAsia" w:ascii="宋体" w:hAnsi="宋体"/>
                <w:sz w:val="18"/>
                <w:szCs w:val="18"/>
                <w:lang w:val="en-US" w:eastAsia="zh-CN"/>
              </w:rPr>
              <w:t>3</w:t>
            </w:r>
          </w:p>
          <w:p w14:paraId="0B7645C6">
            <w:pPr>
              <w:adjustRightInd w:val="0"/>
              <w:snapToGrid w:val="0"/>
              <w:jc w:val="center"/>
              <w:rPr>
                <w:rFonts w:hint="eastAsia" w:ascii="宋体" w:hAnsi="宋体"/>
                <w:sz w:val="18"/>
                <w:szCs w:val="18"/>
                <w:lang w:val="en-US" w:eastAsia="zh-CN"/>
              </w:rPr>
            </w:pPr>
          </w:p>
          <w:p w14:paraId="220103FB">
            <w:pPr>
              <w:adjustRightInd w:val="0"/>
              <w:snapToGrid w:val="0"/>
              <w:jc w:val="center"/>
              <w:rPr>
                <w:rFonts w:hint="default" w:ascii="宋体" w:hAnsi="宋体" w:eastAsia="宋体" w:cs="Times New Roman"/>
                <w:kern w:val="2"/>
                <w:sz w:val="18"/>
                <w:szCs w:val="18"/>
                <w:lang w:val="en-US" w:eastAsia="zh-CN" w:bidi="ar-SA"/>
              </w:rPr>
            </w:pPr>
          </w:p>
        </w:tc>
      </w:tr>
    </w:tbl>
    <w:p w14:paraId="303A17D1">
      <w:pPr>
        <w:pStyle w:val="168"/>
        <w:widowControl/>
        <w:numPr>
          <w:ilvl w:val="0"/>
          <w:numId w:val="0"/>
        </w:numPr>
        <w:spacing w:before="156" w:after="156"/>
        <w:ind w:left="567" w:hanging="567"/>
        <w:rPr>
          <w:rFonts w:hint="eastAsia"/>
        </w:rPr>
      </w:pPr>
    </w:p>
    <w:p w14:paraId="1980636D">
      <w:pPr>
        <w:pStyle w:val="168"/>
        <w:widowControl/>
        <w:numPr>
          <w:ilvl w:val="0"/>
          <w:numId w:val="0"/>
        </w:numPr>
        <w:spacing w:before="156" w:after="156"/>
        <w:ind w:left="567" w:hanging="567"/>
      </w:pP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557"/>
        <w:gridCol w:w="1452"/>
      </w:tblGrid>
      <w:tr w14:paraId="2617D8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33B5E37D">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227AF142">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468A1F7B">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7EE244DF">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1B4F980C">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349851C3">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19F1BDF1">
            <w:pPr>
              <w:adjustRightInd w:val="0"/>
              <w:snapToGrid w:val="0"/>
              <w:jc w:val="center"/>
              <w:rPr>
                <w:rFonts w:ascii="宋体" w:hAnsi="宋体"/>
                <w:sz w:val="18"/>
                <w:szCs w:val="18"/>
              </w:rPr>
            </w:pPr>
            <w:r>
              <w:rPr>
                <w:rFonts w:hint="eastAsia" w:ascii="宋体" w:hAnsi="宋体"/>
                <w:sz w:val="18"/>
                <w:szCs w:val="18"/>
              </w:rPr>
              <w:t>评定得分</w:t>
            </w:r>
          </w:p>
        </w:tc>
        <w:tc>
          <w:tcPr>
            <w:tcW w:w="1557" w:type="dxa"/>
            <w:noWrap w:val="0"/>
            <w:vAlign w:val="center"/>
          </w:tcPr>
          <w:p w14:paraId="170287CE">
            <w:pPr>
              <w:adjustRightInd w:val="0"/>
              <w:snapToGrid w:val="0"/>
              <w:jc w:val="center"/>
              <w:rPr>
                <w:rFonts w:ascii="宋体" w:hAnsi="宋体"/>
                <w:sz w:val="18"/>
                <w:szCs w:val="18"/>
              </w:rPr>
            </w:pPr>
            <w:r>
              <w:rPr>
                <w:rFonts w:hint="eastAsia" w:ascii="宋体" w:hAnsi="宋体"/>
                <w:sz w:val="18"/>
                <w:szCs w:val="18"/>
              </w:rPr>
              <w:t>扣分说明</w:t>
            </w:r>
          </w:p>
        </w:tc>
        <w:tc>
          <w:tcPr>
            <w:tcW w:w="1452" w:type="dxa"/>
            <w:noWrap w:val="0"/>
            <w:vAlign w:val="center"/>
          </w:tcPr>
          <w:p w14:paraId="2C9735C4">
            <w:pPr>
              <w:adjustRightInd w:val="0"/>
              <w:snapToGrid w:val="0"/>
              <w:jc w:val="center"/>
              <w:rPr>
                <w:rFonts w:ascii="宋体" w:hAnsi="宋体"/>
                <w:sz w:val="18"/>
                <w:szCs w:val="18"/>
              </w:rPr>
            </w:pPr>
            <w:r>
              <w:rPr>
                <w:rFonts w:hint="eastAsia" w:ascii="宋体" w:hAnsi="宋体"/>
                <w:sz w:val="18"/>
                <w:szCs w:val="18"/>
              </w:rPr>
              <w:t>对应条款编号</w:t>
            </w:r>
          </w:p>
        </w:tc>
      </w:tr>
      <w:tr w14:paraId="0F844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443133EE">
            <w:pPr>
              <w:adjustRightInd w:val="0"/>
              <w:snapToGrid w:val="0"/>
              <w:jc w:val="center"/>
              <w:rPr>
                <w:rFonts w:ascii="宋体" w:hAnsi="宋体"/>
                <w:sz w:val="18"/>
                <w:szCs w:val="18"/>
              </w:rPr>
            </w:pPr>
          </w:p>
        </w:tc>
        <w:tc>
          <w:tcPr>
            <w:tcW w:w="5954" w:type="dxa"/>
            <w:noWrap w:val="0"/>
            <w:vAlign w:val="center"/>
          </w:tcPr>
          <w:p w14:paraId="0197DC2B">
            <w:pPr>
              <w:numPr>
                <w:ilvl w:val="0"/>
                <w:numId w:val="0"/>
              </w:numPr>
              <w:adjustRightInd w:val="0"/>
              <w:snapToGrid w:val="0"/>
              <w:jc w:val="both"/>
              <w:rPr>
                <w:rFonts w:hint="eastAsia" w:ascii="宋体" w:hAnsi="宋体"/>
                <w:sz w:val="18"/>
                <w:szCs w:val="18"/>
                <w:lang w:val="en-US" w:eastAsia="zh-CN"/>
              </w:rPr>
            </w:pPr>
            <w:r>
              <w:rPr>
                <w:rFonts w:hint="default" w:ascii="宋体" w:hAnsi="宋体"/>
                <w:sz w:val="18"/>
                <w:szCs w:val="18"/>
                <w:lang w:val="en-US" w:eastAsia="zh-CN"/>
              </w:rPr>
              <w:t>乘客行进方向相同</w:t>
            </w:r>
            <w:r>
              <w:rPr>
                <w:rFonts w:hint="eastAsia" w:ascii="宋体" w:hAnsi="宋体"/>
                <w:sz w:val="18"/>
                <w:szCs w:val="18"/>
                <w:lang w:val="en-US" w:eastAsia="zh-CN"/>
              </w:rPr>
              <w:t>，</w:t>
            </w:r>
            <w:r>
              <w:rPr>
                <w:rFonts w:hint="default" w:ascii="宋体" w:hAnsi="宋体"/>
                <w:sz w:val="18"/>
                <w:szCs w:val="18"/>
                <w:lang w:val="en-US" w:eastAsia="zh-CN"/>
              </w:rPr>
              <w:t>滑索不运营时，安全门应锁闭</w:t>
            </w:r>
            <w:r>
              <w:rPr>
                <w:rFonts w:hint="eastAsia" w:ascii="宋体" w:hAnsi="宋体"/>
                <w:sz w:val="18"/>
                <w:szCs w:val="18"/>
                <w:lang w:val="en-US" w:eastAsia="zh-CN"/>
              </w:rPr>
              <w:t>；</w:t>
            </w:r>
          </w:p>
          <w:p w14:paraId="42517C5A">
            <w:pPr>
              <w:numPr>
                <w:ilvl w:val="0"/>
                <w:numId w:val="0"/>
              </w:numPr>
              <w:adjustRightInd w:val="0"/>
              <w:snapToGrid w:val="0"/>
              <w:ind w:firstLine="360" w:firstLineChars="200"/>
              <w:jc w:val="both"/>
              <w:rPr>
                <w:rFonts w:hint="eastAsia" w:ascii="宋体" w:hAnsi="宋体"/>
                <w:sz w:val="18"/>
                <w:szCs w:val="18"/>
                <w:lang w:val="en-US" w:eastAsia="zh-CN"/>
              </w:rPr>
            </w:pPr>
            <w:r>
              <w:rPr>
                <w:rFonts w:hint="eastAsia" w:ascii="宋体" w:hAnsi="宋体"/>
                <w:sz w:val="18"/>
                <w:szCs w:val="18"/>
                <w:lang w:val="en-US" w:eastAsia="zh-CN"/>
              </w:rPr>
              <w:t>6</w:t>
            </w:r>
            <w:r>
              <w:rPr>
                <w:rFonts w:hint="eastAsia" w:ascii="宋体" w:hAnsi="宋体"/>
                <w:sz w:val="18"/>
                <w:szCs w:val="18"/>
              </w:rPr>
              <w:t>）</w:t>
            </w:r>
            <w:r>
              <w:rPr>
                <w:rFonts w:hint="default" w:ascii="宋体" w:hAnsi="宋体"/>
                <w:sz w:val="18"/>
                <w:szCs w:val="18"/>
                <w:lang w:val="en-US" w:eastAsia="zh-CN"/>
              </w:rPr>
              <w:t>滑索的出发站、到达站的站台出人口处与相邻地面(</w:t>
            </w:r>
            <w:r>
              <w:rPr>
                <w:rFonts w:hint="eastAsia" w:ascii="宋体" w:hAnsi="宋体"/>
                <w:sz w:val="18"/>
                <w:szCs w:val="18"/>
                <w:lang w:val="en-US" w:eastAsia="zh-CN"/>
              </w:rPr>
              <w:t>或</w:t>
            </w:r>
            <w:r>
              <w:rPr>
                <w:rFonts w:hint="default" w:ascii="宋体" w:hAnsi="宋体"/>
                <w:sz w:val="18"/>
                <w:szCs w:val="18"/>
                <w:lang w:val="en-US" w:eastAsia="zh-CN"/>
              </w:rPr>
              <w:t>者水面)高差大于 2m 时应设安全网，安全网安装应固定可靠，站台外延伸长度应不小于 2m</w:t>
            </w:r>
            <w:r>
              <w:rPr>
                <w:rFonts w:hint="eastAsia" w:ascii="宋体" w:hAnsi="宋体"/>
                <w:sz w:val="18"/>
                <w:szCs w:val="18"/>
                <w:lang w:val="en-US" w:eastAsia="zh-CN"/>
              </w:rPr>
              <w:t>；</w:t>
            </w:r>
          </w:p>
          <w:p w14:paraId="1502AD2E">
            <w:pPr>
              <w:numPr>
                <w:ilvl w:val="0"/>
                <w:numId w:val="0"/>
              </w:numPr>
              <w:adjustRightInd w:val="0"/>
              <w:snapToGrid w:val="0"/>
              <w:ind w:firstLine="360" w:firstLineChars="200"/>
              <w:jc w:val="both"/>
              <w:rPr>
                <w:rFonts w:hint="default" w:ascii="宋体" w:hAnsi="宋体"/>
                <w:sz w:val="18"/>
                <w:szCs w:val="18"/>
                <w:lang w:val="en-US" w:eastAsia="zh-CN"/>
              </w:rPr>
            </w:pPr>
            <w:r>
              <w:rPr>
                <w:rFonts w:hint="eastAsia" w:ascii="宋体" w:hAnsi="宋体"/>
                <w:sz w:val="18"/>
                <w:szCs w:val="18"/>
                <w:lang w:val="en-US" w:eastAsia="zh-CN"/>
              </w:rPr>
              <w:t>7</w:t>
            </w:r>
            <w:r>
              <w:rPr>
                <w:rFonts w:hint="eastAsia" w:ascii="宋体" w:hAnsi="宋体"/>
                <w:sz w:val="18"/>
                <w:szCs w:val="18"/>
              </w:rPr>
              <w:t>）</w:t>
            </w:r>
            <w:r>
              <w:rPr>
                <w:rFonts w:hint="default" w:ascii="宋体" w:hAnsi="宋体"/>
                <w:sz w:val="18"/>
                <w:szCs w:val="18"/>
                <w:lang w:val="en-US" w:eastAsia="zh-CN"/>
              </w:rPr>
              <w:t>无动力牵引滑索的到达站应设置缓冲垫</w:t>
            </w:r>
            <w:r>
              <w:rPr>
                <w:rFonts w:hint="eastAsia" w:ascii="宋体" w:hAnsi="宋体"/>
                <w:sz w:val="18"/>
                <w:szCs w:val="18"/>
                <w:lang w:val="en-US" w:eastAsia="zh-CN"/>
              </w:rPr>
              <w:t>；</w:t>
            </w:r>
          </w:p>
          <w:p w14:paraId="7FABA2F2">
            <w:pPr>
              <w:numPr>
                <w:ilvl w:val="0"/>
                <w:numId w:val="0"/>
              </w:numPr>
              <w:adjustRightInd w:val="0"/>
              <w:snapToGrid w:val="0"/>
              <w:ind w:firstLine="360" w:firstLineChars="200"/>
              <w:jc w:val="both"/>
              <w:rPr>
                <w:rFonts w:hint="default" w:ascii="宋体" w:hAnsi="宋体" w:eastAsia="宋体"/>
                <w:sz w:val="18"/>
                <w:szCs w:val="18"/>
                <w:lang w:val="en-US" w:eastAsia="zh-CN"/>
              </w:rPr>
            </w:pPr>
            <w:r>
              <w:rPr>
                <w:rFonts w:hint="eastAsia" w:ascii="宋体" w:hAnsi="宋体"/>
                <w:sz w:val="18"/>
                <w:szCs w:val="18"/>
                <w:lang w:val="en-US" w:eastAsia="zh-CN"/>
              </w:rPr>
              <w:t>8</w:t>
            </w:r>
            <w:r>
              <w:rPr>
                <w:rFonts w:hint="eastAsia" w:ascii="宋体" w:hAnsi="宋体"/>
                <w:sz w:val="18"/>
                <w:szCs w:val="18"/>
              </w:rPr>
              <w:t>）承载索与牵引索正常情况宜每4年更换一次。</w:t>
            </w:r>
          </w:p>
          <w:p w14:paraId="439B05A0">
            <w:pPr>
              <w:numPr>
                <w:ilvl w:val="0"/>
                <w:numId w:val="0"/>
              </w:numPr>
              <w:adjustRightInd w:val="0"/>
              <w:snapToGrid w:val="0"/>
              <w:jc w:val="both"/>
              <w:rPr>
                <w:rFonts w:hint="eastAsia" w:ascii="宋体" w:hAnsi="宋体"/>
                <w:sz w:val="18"/>
                <w:szCs w:val="18"/>
                <w:lang w:val="en-US" w:eastAsia="zh-CN"/>
              </w:rPr>
            </w:pPr>
            <w:r>
              <w:rPr>
                <w:rFonts w:hint="eastAsia" w:ascii="宋体" w:hAnsi="宋体"/>
                <w:sz w:val="18"/>
                <w:szCs w:val="18"/>
                <w:lang w:val="en-US" w:eastAsia="zh-CN"/>
              </w:rPr>
              <w:t>c</w:t>
            </w:r>
            <w:r>
              <w:rPr>
                <w:rFonts w:hint="eastAsia" w:ascii="宋体" w:hAnsi="宋体"/>
                <w:sz w:val="18"/>
                <w:szCs w:val="18"/>
              </w:rPr>
              <w:t>）</w:t>
            </w:r>
            <w:r>
              <w:rPr>
                <w:rFonts w:hint="default" w:ascii="宋体" w:hAnsi="宋体"/>
                <w:sz w:val="18"/>
                <w:szCs w:val="18"/>
                <w:lang w:val="en-US" w:eastAsia="zh-CN"/>
              </w:rPr>
              <w:t>空中飞人</w:t>
            </w:r>
            <w:r>
              <w:rPr>
                <w:rFonts w:hint="eastAsia" w:ascii="宋体" w:hAnsi="宋体"/>
                <w:sz w:val="18"/>
                <w:szCs w:val="18"/>
                <w:lang w:val="en-US" w:eastAsia="zh-CN"/>
              </w:rPr>
              <w:t>应符合下列要求：</w:t>
            </w:r>
          </w:p>
          <w:p w14:paraId="233A5378">
            <w:pPr>
              <w:numPr>
                <w:ilvl w:val="0"/>
                <w:numId w:val="0"/>
              </w:numPr>
              <w:adjustRightInd w:val="0"/>
              <w:snapToGrid w:val="0"/>
              <w:ind w:firstLine="360" w:firstLineChars="200"/>
              <w:jc w:val="both"/>
              <w:rPr>
                <w:rFonts w:hint="default" w:ascii="宋体" w:hAnsi="宋体"/>
                <w:sz w:val="18"/>
                <w:szCs w:val="18"/>
                <w:highlight w:val="none"/>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highlight w:val="none"/>
                <w:lang w:val="en-US" w:eastAsia="zh-CN"/>
              </w:rPr>
              <w:t>“悬崖秋千”乘客运动轨迹两侧安全距离应不小于1m，“空中飞人”乘客运动轨迹两侧安全距离应不小于10m</w:t>
            </w:r>
            <w:r>
              <w:rPr>
                <w:rFonts w:hint="eastAsia" w:ascii="宋体" w:hAnsi="宋体"/>
                <w:sz w:val="18"/>
                <w:szCs w:val="18"/>
                <w:highlight w:val="none"/>
                <w:lang w:val="en-US" w:eastAsia="zh-CN"/>
              </w:rPr>
              <w:t>；</w:t>
            </w:r>
            <w:r>
              <w:rPr>
                <w:rFonts w:hint="default" w:ascii="宋体" w:hAnsi="宋体"/>
                <w:sz w:val="18"/>
                <w:szCs w:val="18"/>
                <w:highlight w:val="none"/>
                <w:lang w:val="en-US" w:eastAsia="zh-CN"/>
              </w:rPr>
              <w:t>座席面距地面的安全距离应不小于800mm</w:t>
            </w:r>
            <w:r>
              <w:rPr>
                <w:rFonts w:hint="eastAsia" w:ascii="宋体" w:hAnsi="宋体"/>
                <w:sz w:val="18"/>
                <w:szCs w:val="18"/>
                <w:highlight w:val="none"/>
                <w:lang w:val="en-US" w:eastAsia="zh-CN"/>
              </w:rPr>
              <w:t>；</w:t>
            </w:r>
          </w:p>
          <w:p w14:paraId="1F362B0A">
            <w:pPr>
              <w:numPr>
                <w:ilvl w:val="0"/>
                <w:numId w:val="0"/>
              </w:numPr>
              <w:adjustRightInd w:val="0"/>
              <w:snapToGrid w:val="0"/>
              <w:ind w:firstLine="360" w:firstLineChars="200"/>
              <w:jc w:val="both"/>
              <w:rPr>
                <w:rFonts w:hint="eastAsia" w:ascii="宋体" w:hAnsi="宋体"/>
                <w:sz w:val="18"/>
                <w:szCs w:val="18"/>
                <w:highlight w:val="none"/>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highlight w:val="none"/>
                <w:lang w:val="en-US" w:eastAsia="zh-CN"/>
              </w:rPr>
              <w:t>刚性乘人装置的安全压杠与提升机构应设置联锁控制，当安全压杠未锁紧时，提升机构不能启动</w:t>
            </w:r>
            <w:r>
              <w:rPr>
                <w:rFonts w:hint="eastAsia" w:ascii="宋体" w:hAnsi="宋体"/>
                <w:sz w:val="18"/>
                <w:szCs w:val="18"/>
                <w:highlight w:val="none"/>
                <w:lang w:val="en-US" w:eastAsia="zh-CN"/>
              </w:rPr>
              <w:t>；</w:t>
            </w:r>
          </w:p>
          <w:p w14:paraId="67047DE2">
            <w:pPr>
              <w:adjustRightInd/>
              <w:snapToGrid w:val="0"/>
              <w:ind w:firstLine="360" w:firstLineChars="200"/>
              <w:jc w:val="both"/>
              <w:rPr>
                <w:rFonts w:ascii="宋体" w:hAnsi="宋体"/>
                <w:sz w:val="18"/>
                <w:szCs w:val="18"/>
              </w:rPr>
            </w:pPr>
            <w:r>
              <w:rPr>
                <w:rFonts w:hint="eastAsia" w:ascii="宋体" w:hAnsi="宋体"/>
                <w:sz w:val="18"/>
                <w:szCs w:val="18"/>
                <w:lang w:val="en-US" w:eastAsia="zh-CN"/>
              </w:rPr>
              <w:t>3</w:t>
            </w:r>
            <w:r>
              <w:rPr>
                <w:rFonts w:hint="eastAsia" w:ascii="宋体" w:hAnsi="宋体"/>
                <w:sz w:val="18"/>
                <w:szCs w:val="18"/>
              </w:rPr>
              <w:t>）</w:t>
            </w:r>
            <w:r>
              <w:rPr>
                <w:rFonts w:hint="default" w:ascii="宋体" w:hAnsi="宋体"/>
                <w:sz w:val="18"/>
                <w:szCs w:val="18"/>
                <w:highlight w:val="none"/>
                <w:lang w:val="en-US" w:eastAsia="zh-CN"/>
              </w:rPr>
              <w:t>站台区应设有排队等候区和运行区，并设置隔离装置和安全标识</w:t>
            </w:r>
            <w:r>
              <w:rPr>
                <w:rFonts w:hint="eastAsia" w:ascii="宋体" w:hAnsi="宋体"/>
                <w:sz w:val="18"/>
                <w:szCs w:val="18"/>
                <w:highlight w:val="none"/>
                <w:lang w:val="en-US" w:eastAsia="zh-CN"/>
              </w:rPr>
              <w:t>。</w:t>
            </w:r>
          </w:p>
        </w:tc>
        <w:tc>
          <w:tcPr>
            <w:tcW w:w="596" w:type="dxa"/>
            <w:noWrap w:val="0"/>
            <w:vAlign w:val="center"/>
          </w:tcPr>
          <w:p w14:paraId="1DF4AEA9">
            <w:pPr>
              <w:adjustRightInd w:val="0"/>
              <w:snapToGrid w:val="0"/>
              <w:jc w:val="center"/>
              <w:rPr>
                <w:rFonts w:ascii="宋体" w:hAnsi="宋体"/>
                <w:sz w:val="18"/>
                <w:szCs w:val="18"/>
              </w:rPr>
            </w:pPr>
          </w:p>
        </w:tc>
        <w:tc>
          <w:tcPr>
            <w:tcW w:w="654" w:type="dxa"/>
            <w:noWrap w:val="0"/>
            <w:vAlign w:val="center"/>
          </w:tcPr>
          <w:p w14:paraId="31AC1A20">
            <w:pPr>
              <w:adjustRightInd w:val="0"/>
              <w:snapToGrid w:val="0"/>
              <w:jc w:val="center"/>
              <w:rPr>
                <w:rFonts w:ascii="宋体" w:hAnsi="宋体"/>
                <w:sz w:val="18"/>
                <w:szCs w:val="18"/>
              </w:rPr>
            </w:pPr>
          </w:p>
        </w:tc>
        <w:tc>
          <w:tcPr>
            <w:tcW w:w="593" w:type="dxa"/>
            <w:noWrap w:val="0"/>
            <w:vAlign w:val="center"/>
          </w:tcPr>
          <w:p w14:paraId="3B0EAD9C">
            <w:pPr>
              <w:adjustRightInd w:val="0"/>
              <w:snapToGrid w:val="0"/>
              <w:jc w:val="center"/>
              <w:rPr>
                <w:rFonts w:hint="eastAsia" w:ascii="宋体" w:hAnsi="宋体" w:eastAsia="宋体"/>
                <w:sz w:val="18"/>
                <w:szCs w:val="18"/>
                <w:lang w:eastAsia="zh-CN"/>
              </w:rPr>
            </w:pPr>
          </w:p>
        </w:tc>
        <w:tc>
          <w:tcPr>
            <w:tcW w:w="2978" w:type="dxa"/>
            <w:noWrap w:val="0"/>
            <w:vAlign w:val="center"/>
          </w:tcPr>
          <w:p w14:paraId="30F5333C">
            <w:pPr>
              <w:adjustRightInd w:val="0"/>
              <w:snapToGrid w:val="0"/>
              <w:rPr>
                <w:rFonts w:ascii="宋体" w:hAnsi="宋体"/>
                <w:sz w:val="18"/>
                <w:szCs w:val="18"/>
              </w:rPr>
            </w:pPr>
          </w:p>
        </w:tc>
        <w:tc>
          <w:tcPr>
            <w:tcW w:w="611" w:type="dxa"/>
            <w:noWrap w:val="0"/>
            <w:vAlign w:val="top"/>
          </w:tcPr>
          <w:p w14:paraId="794D711F">
            <w:pPr>
              <w:adjustRightInd w:val="0"/>
              <w:snapToGrid w:val="0"/>
              <w:rPr>
                <w:rFonts w:ascii="宋体" w:hAnsi="宋体"/>
                <w:sz w:val="18"/>
                <w:szCs w:val="18"/>
              </w:rPr>
            </w:pPr>
          </w:p>
        </w:tc>
        <w:tc>
          <w:tcPr>
            <w:tcW w:w="1557" w:type="dxa"/>
            <w:noWrap w:val="0"/>
            <w:vAlign w:val="top"/>
          </w:tcPr>
          <w:p w14:paraId="1B0509A7">
            <w:pPr>
              <w:adjustRightInd w:val="0"/>
              <w:snapToGrid w:val="0"/>
              <w:rPr>
                <w:rFonts w:ascii="宋体" w:hAnsi="宋体"/>
                <w:sz w:val="18"/>
                <w:szCs w:val="18"/>
              </w:rPr>
            </w:pPr>
          </w:p>
        </w:tc>
        <w:tc>
          <w:tcPr>
            <w:tcW w:w="1452" w:type="dxa"/>
            <w:noWrap w:val="0"/>
            <w:vAlign w:val="center"/>
          </w:tcPr>
          <w:p w14:paraId="7B40C4F7">
            <w:pPr>
              <w:adjustRightInd w:val="0"/>
              <w:snapToGrid w:val="0"/>
              <w:jc w:val="center"/>
              <w:rPr>
                <w:rFonts w:ascii="宋体" w:hAnsi="宋体"/>
                <w:sz w:val="18"/>
                <w:szCs w:val="18"/>
              </w:rPr>
            </w:pPr>
          </w:p>
        </w:tc>
      </w:tr>
      <w:tr w14:paraId="0D693A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026B9C85">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6</w:t>
            </w:r>
            <w:r>
              <w:rPr>
                <w:rFonts w:hint="eastAsia" w:ascii="宋体" w:hAnsi="宋体"/>
                <w:sz w:val="18"/>
                <w:szCs w:val="18"/>
              </w:rPr>
              <w:t>.5</w:t>
            </w:r>
          </w:p>
        </w:tc>
        <w:tc>
          <w:tcPr>
            <w:tcW w:w="5954" w:type="dxa"/>
            <w:noWrap w:val="0"/>
            <w:vAlign w:val="center"/>
          </w:tcPr>
          <w:p w14:paraId="3EC772BD">
            <w:pPr>
              <w:adjustRightInd/>
              <w:snapToGrid w:val="0"/>
              <w:jc w:val="both"/>
              <w:rPr>
                <w:rFonts w:hint="default" w:ascii="宋体" w:hAnsi="宋体"/>
                <w:sz w:val="18"/>
                <w:szCs w:val="18"/>
                <w:lang w:val="en-US" w:eastAsia="zh-CN"/>
              </w:rPr>
            </w:pPr>
            <w:r>
              <w:rPr>
                <w:rFonts w:hint="eastAsia" w:ascii="宋体" w:hAnsi="宋体"/>
                <w:sz w:val="18"/>
                <w:szCs w:val="18"/>
                <w:lang w:val="en-US" w:eastAsia="zh-CN"/>
              </w:rPr>
              <w:t>游乐车辆应符合下列要求：</w:t>
            </w:r>
          </w:p>
          <w:p w14:paraId="02A44DBF">
            <w:pPr>
              <w:adjustRightInd/>
              <w:snapToGrid w:val="0"/>
              <w:jc w:val="both"/>
              <w:rPr>
                <w:rFonts w:hint="default" w:ascii="宋体" w:hAnsi="宋体"/>
                <w:sz w:val="18"/>
                <w:szCs w:val="18"/>
                <w:lang w:val="en-US" w:eastAsia="zh-CN"/>
              </w:rPr>
            </w:pPr>
            <w:r>
              <w:rPr>
                <w:rFonts w:hint="eastAsia" w:ascii="宋体" w:hAnsi="宋体"/>
                <w:sz w:val="18"/>
                <w:szCs w:val="18"/>
              </w:rPr>
              <w:t>a）</w:t>
            </w:r>
            <w:r>
              <w:rPr>
                <w:rFonts w:hint="default" w:ascii="宋体" w:hAnsi="宋体"/>
                <w:sz w:val="18"/>
                <w:szCs w:val="18"/>
                <w:lang w:val="en-US" w:eastAsia="zh-CN"/>
              </w:rPr>
              <w:t>赛车类游乐设施</w:t>
            </w:r>
            <w:r>
              <w:rPr>
                <w:rFonts w:hint="eastAsia" w:ascii="宋体" w:hAnsi="宋体"/>
                <w:sz w:val="18"/>
                <w:szCs w:val="18"/>
                <w:lang w:val="en-US" w:eastAsia="zh-CN"/>
              </w:rPr>
              <w:t>，</w:t>
            </w:r>
            <w:r>
              <w:rPr>
                <w:rFonts w:hint="default" w:ascii="宋体" w:hAnsi="宋体"/>
                <w:sz w:val="18"/>
                <w:szCs w:val="18"/>
                <w:lang w:val="en-US" w:eastAsia="zh-CN"/>
              </w:rPr>
              <w:t>车道平整坚实，不应有凹凸不平现象</w:t>
            </w:r>
            <w:r>
              <w:rPr>
                <w:rFonts w:hint="eastAsia" w:ascii="宋体" w:hAnsi="宋体"/>
                <w:sz w:val="18"/>
                <w:szCs w:val="18"/>
                <w:lang w:val="en-US" w:eastAsia="zh-CN"/>
              </w:rPr>
              <w:t>，</w:t>
            </w:r>
            <w:r>
              <w:rPr>
                <w:rFonts w:hint="default" w:ascii="宋体" w:hAnsi="宋体"/>
                <w:sz w:val="18"/>
                <w:szCs w:val="18"/>
                <w:lang w:val="en-US" w:eastAsia="zh-CN"/>
              </w:rPr>
              <w:t>允许超车行驶的道路，路面宽度应不小于5m，不允许超车行驶的道路，路面宽度应不小于 3m</w:t>
            </w:r>
            <w:r>
              <w:rPr>
                <w:rFonts w:hint="eastAsia" w:ascii="宋体" w:hAnsi="宋体"/>
                <w:sz w:val="18"/>
                <w:szCs w:val="18"/>
                <w:lang w:val="en-US" w:eastAsia="zh-CN"/>
              </w:rPr>
              <w:t>，</w:t>
            </w:r>
            <w:r>
              <w:rPr>
                <w:rFonts w:hint="default" w:ascii="宋体" w:hAnsi="宋体"/>
                <w:sz w:val="18"/>
                <w:szCs w:val="18"/>
                <w:lang w:val="en-US" w:eastAsia="zh-CN"/>
              </w:rPr>
              <w:t>道路内不应有障碍物，并且不应插人支线，道路两侧应设置缓冲拦挡物，拦挡物上端高于车辆防撞装置上端，拦挡物下端低于车辆防撞装置下端</w:t>
            </w:r>
            <w:r>
              <w:rPr>
                <w:rFonts w:hint="eastAsia" w:ascii="宋体" w:hAnsi="宋体"/>
                <w:sz w:val="18"/>
                <w:szCs w:val="18"/>
                <w:lang w:val="en-US" w:eastAsia="zh-CN"/>
              </w:rPr>
              <w:t>；</w:t>
            </w:r>
          </w:p>
          <w:p w14:paraId="6B01193A">
            <w:pPr>
              <w:adjustRightInd/>
              <w:snapToGrid w:val="0"/>
              <w:jc w:val="both"/>
              <w:rPr>
                <w:rFonts w:hint="default" w:ascii="宋体" w:hAnsi="宋体"/>
                <w:sz w:val="18"/>
                <w:szCs w:val="18"/>
                <w:lang w:val="en-US" w:eastAsia="zh-CN"/>
              </w:rPr>
            </w:pPr>
            <w:r>
              <w:rPr>
                <w:rFonts w:hint="eastAsia" w:ascii="宋体" w:hAnsi="宋体"/>
                <w:sz w:val="18"/>
                <w:szCs w:val="18"/>
                <w:lang w:val="en-US" w:eastAsia="zh-CN"/>
              </w:rPr>
              <w:t>b）</w:t>
            </w:r>
            <w:r>
              <w:rPr>
                <w:rFonts w:hint="default" w:ascii="宋体" w:hAnsi="宋体"/>
                <w:sz w:val="18"/>
                <w:szCs w:val="18"/>
                <w:lang w:val="en-US" w:eastAsia="zh-CN"/>
              </w:rPr>
              <w:t>小火车类游乐设施运行时不应有异常的振动、冲击、发热、声响及卡滞现象</w:t>
            </w:r>
            <w:r>
              <w:rPr>
                <w:rFonts w:hint="eastAsia" w:ascii="宋体" w:hAnsi="宋体"/>
                <w:sz w:val="18"/>
                <w:szCs w:val="18"/>
                <w:lang w:val="en-US" w:eastAsia="zh-CN"/>
              </w:rPr>
              <w:t>，</w:t>
            </w:r>
            <w:r>
              <w:rPr>
                <w:rFonts w:hint="default" w:ascii="宋体" w:hAnsi="宋体"/>
                <w:sz w:val="18"/>
                <w:szCs w:val="18"/>
                <w:lang w:val="en-US" w:eastAsia="zh-CN"/>
              </w:rPr>
              <w:t>每节车厢应标出定员人数，车厢进出口处应设有拦挡物</w:t>
            </w:r>
            <w:r>
              <w:rPr>
                <w:rFonts w:hint="eastAsia" w:ascii="宋体" w:hAnsi="宋体"/>
                <w:sz w:val="18"/>
                <w:szCs w:val="18"/>
                <w:lang w:val="en-US" w:eastAsia="zh-CN"/>
              </w:rPr>
              <w:t>,安装紧急呼叫按钮；</w:t>
            </w:r>
          </w:p>
          <w:p w14:paraId="04EBD073">
            <w:pPr>
              <w:adjustRightInd/>
              <w:snapToGrid w:val="0"/>
              <w:jc w:val="both"/>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c）</w:t>
            </w:r>
            <w:r>
              <w:rPr>
                <w:rFonts w:hint="default" w:ascii="宋体" w:hAnsi="宋体"/>
                <w:sz w:val="18"/>
                <w:szCs w:val="18"/>
                <w:lang w:val="en-US" w:eastAsia="zh-CN"/>
              </w:rPr>
              <w:t>碰碰车</w:t>
            </w:r>
            <w:r>
              <w:rPr>
                <w:rFonts w:hint="eastAsia" w:ascii="宋体" w:hAnsi="宋体"/>
                <w:sz w:val="18"/>
                <w:szCs w:val="18"/>
                <w:lang w:val="en-US" w:eastAsia="zh-CN"/>
              </w:rPr>
              <w:t>类游乐设施，</w:t>
            </w:r>
            <w:r>
              <w:rPr>
                <w:rFonts w:hint="default" w:ascii="宋体" w:hAnsi="宋体"/>
                <w:sz w:val="18"/>
                <w:szCs w:val="18"/>
                <w:lang w:val="en-US" w:eastAsia="zh-CN"/>
              </w:rPr>
              <w:t>车架四周应设缓冲装置，乘客束缚装置应能有效束缚</w:t>
            </w:r>
            <w:r>
              <w:rPr>
                <w:rFonts w:hint="eastAsia" w:ascii="宋体" w:hAnsi="宋体"/>
                <w:sz w:val="18"/>
                <w:szCs w:val="18"/>
                <w:lang w:val="en-US" w:eastAsia="zh-CN"/>
              </w:rPr>
              <w:t>，</w:t>
            </w:r>
            <w:r>
              <w:rPr>
                <w:rFonts w:hint="default" w:ascii="宋体" w:hAnsi="宋体"/>
                <w:sz w:val="18"/>
                <w:szCs w:val="18"/>
                <w:lang w:val="en-US" w:eastAsia="zh-CN"/>
              </w:rPr>
              <w:t>车场要求平整坚实</w:t>
            </w:r>
            <w:r>
              <w:rPr>
                <w:rFonts w:hint="eastAsia" w:ascii="宋体" w:hAnsi="宋体"/>
                <w:sz w:val="18"/>
                <w:szCs w:val="18"/>
                <w:lang w:val="en-US" w:eastAsia="zh-CN"/>
              </w:rPr>
              <w:t>，</w:t>
            </w:r>
            <w:r>
              <w:rPr>
                <w:rFonts w:hint="default" w:ascii="宋体" w:hAnsi="宋体"/>
                <w:sz w:val="18"/>
                <w:szCs w:val="18"/>
                <w:lang w:val="en-US" w:eastAsia="zh-CN"/>
              </w:rPr>
              <w:t>车场四周应设置缓冲拦挡物</w:t>
            </w:r>
            <w:r>
              <w:rPr>
                <w:rFonts w:hint="eastAsia" w:ascii="宋体" w:hAnsi="宋体"/>
                <w:sz w:val="18"/>
                <w:szCs w:val="18"/>
                <w:lang w:val="en-US" w:eastAsia="zh-CN"/>
              </w:rPr>
              <w:t>，</w:t>
            </w:r>
            <w:r>
              <w:rPr>
                <w:rFonts w:hint="default" w:ascii="宋体" w:hAnsi="宋体"/>
                <w:sz w:val="18"/>
                <w:szCs w:val="18"/>
                <w:lang w:val="en-US" w:eastAsia="zh-CN"/>
              </w:rPr>
              <w:t>拦挡物上边缘高于车辆缓冲装置上边缘，拦挡物下边缘低于车辆缓冲装置下边缘</w:t>
            </w:r>
            <w:r>
              <w:rPr>
                <w:rFonts w:hint="eastAsia" w:ascii="宋体" w:hAnsi="宋体"/>
                <w:sz w:val="18"/>
                <w:szCs w:val="18"/>
                <w:lang w:val="en-US" w:eastAsia="zh-CN"/>
              </w:rPr>
              <w:t>；</w:t>
            </w:r>
            <w:r>
              <w:rPr>
                <w:rFonts w:hint="default" w:ascii="宋体" w:hAnsi="宋体"/>
                <w:sz w:val="18"/>
                <w:szCs w:val="18"/>
                <w:lang w:val="en-US" w:eastAsia="zh-CN"/>
              </w:rPr>
              <w:t>车场应有可靠的防雨措施</w:t>
            </w:r>
            <w:r>
              <w:rPr>
                <w:rFonts w:hint="eastAsia" w:ascii="宋体" w:hAnsi="宋体"/>
                <w:sz w:val="18"/>
                <w:szCs w:val="18"/>
                <w:lang w:val="en-US" w:eastAsia="zh-CN"/>
              </w:rPr>
              <w:t>。</w:t>
            </w:r>
          </w:p>
        </w:tc>
        <w:tc>
          <w:tcPr>
            <w:tcW w:w="596" w:type="dxa"/>
            <w:noWrap w:val="0"/>
            <w:vAlign w:val="center"/>
          </w:tcPr>
          <w:p w14:paraId="78E1BF97">
            <w:pPr>
              <w:adjustRightInd w:val="0"/>
              <w:snapToGrid w:val="0"/>
              <w:jc w:val="center"/>
              <w:rPr>
                <w:rFonts w:ascii="宋体" w:hAnsi="宋体" w:eastAsia="宋体" w:cs="Times New Roman"/>
                <w:kern w:val="2"/>
                <w:sz w:val="18"/>
                <w:szCs w:val="18"/>
                <w:lang w:val="en-US" w:eastAsia="zh-CN" w:bidi="ar-SA"/>
              </w:rPr>
            </w:pPr>
          </w:p>
        </w:tc>
        <w:tc>
          <w:tcPr>
            <w:tcW w:w="654" w:type="dxa"/>
            <w:noWrap w:val="0"/>
            <w:vAlign w:val="center"/>
          </w:tcPr>
          <w:p w14:paraId="58F24791">
            <w:pPr>
              <w:adjustRightInd w:val="0"/>
              <w:snapToGrid w:val="0"/>
              <w:jc w:val="center"/>
              <w:rPr>
                <w:rFonts w:ascii="宋体" w:hAnsi="宋体" w:eastAsia="宋体" w:cs="Times New Roman"/>
                <w:kern w:val="2"/>
                <w:sz w:val="18"/>
                <w:szCs w:val="18"/>
                <w:lang w:val="en-US" w:eastAsia="zh-CN" w:bidi="ar-SA"/>
              </w:rPr>
            </w:pPr>
          </w:p>
        </w:tc>
        <w:tc>
          <w:tcPr>
            <w:tcW w:w="593" w:type="dxa"/>
            <w:noWrap w:val="0"/>
            <w:vAlign w:val="center"/>
          </w:tcPr>
          <w:p w14:paraId="398F67B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8</w:t>
            </w:r>
          </w:p>
        </w:tc>
        <w:tc>
          <w:tcPr>
            <w:tcW w:w="2978" w:type="dxa"/>
            <w:noWrap w:val="0"/>
            <w:vAlign w:val="center"/>
          </w:tcPr>
          <w:p w14:paraId="0CC353F8">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3</w:t>
            </w:r>
            <w:r>
              <w:rPr>
                <w:rFonts w:hint="eastAsia" w:ascii="宋体" w:hAnsi="宋体"/>
                <w:sz w:val="18"/>
                <w:szCs w:val="18"/>
              </w:rPr>
              <w:t>分。</w:t>
            </w:r>
          </w:p>
        </w:tc>
        <w:tc>
          <w:tcPr>
            <w:tcW w:w="611" w:type="dxa"/>
            <w:noWrap w:val="0"/>
            <w:vAlign w:val="top"/>
          </w:tcPr>
          <w:p w14:paraId="0D363A42">
            <w:pPr>
              <w:adjustRightInd w:val="0"/>
              <w:snapToGrid w:val="0"/>
              <w:rPr>
                <w:rFonts w:ascii="宋体" w:hAnsi="宋体" w:eastAsia="宋体" w:cs="Times New Roman"/>
                <w:kern w:val="2"/>
                <w:sz w:val="18"/>
                <w:szCs w:val="18"/>
                <w:lang w:val="en-US" w:eastAsia="zh-CN" w:bidi="ar-SA"/>
              </w:rPr>
            </w:pPr>
          </w:p>
        </w:tc>
        <w:tc>
          <w:tcPr>
            <w:tcW w:w="1557" w:type="dxa"/>
            <w:noWrap w:val="0"/>
            <w:vAlign w:val="top"/>
          </w:tcPr>
          <w:p w14:paraId="4293CA0C">
            <w:pPr>
              <w:adjustRightInd w:val="0"/>
              <w:snapToGrid w:val="0"/>
              <w:rPr>
                <w:rFonts w:ascii="宋体" w:hAnsi="宋体" w:eastAsia="宋体" w:cs="Times New Roman"/>
                <w:kern w:val="2"/>
                <w:sz w:val="18"/>
                <w:szCs w:val="18"/>
                <w:lang w:val="en-US" w:eastAsia="zh-CN" w:bidi="ar-SA"/>
              </w:rPr>
            </w:pPr>
          </w:p>
        </w:tc>
        <w:tc>
          <w:tcPr>
            <w:tcW w:w="1452" w:type="dxa"/>
            <w:noWrap w:val="0"/>
            <w:vAlign w:val="center"/>
          </w:tcPr>
          <w:p w14:paraId="4EFF9B76">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.4.</w:t>
            </w:r>
            <w:r>
              <w:rPr>
                <w:rFonts w:hint="eastAsia" w:ascii="宋体" w:hAnsi="宋体"/>
                <w:sz w:val="18"/>
                <w:szCs w:val="18"/>
                <w:lang w:val="en-US" w:eastAsia="zh-CN"/>
              </w:rPr>
              <w:t>3</w:t>
            </w:r>
          </w:p>
        </w:tc>
      </w:tr>
      <w:tr w14:paraId="359EF3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7DF7AD49">
            <w:pPr>
              <w:adjustRightInd w:val="0"/>
              <w:snapToGrid w:val="0"/>
              <w:jc w:val="center"/>
              <w:rPr>
                <w:rFonts w:hint="eastAsia" w:ascii="宋体" w:hAnsi="宋体"/>
                <w:sz w:val="18"/>
                <w:szCs w:val="18"/>
              </w:rPr>
            </w:pPr>
            <w:r>
              <w:rPr>
                <w:rFonts w:hint="eastAsia" w:ascii="宋体" w:hAnsi="宋体"/>
                <w:sz w:val="18"/>
                <w:szCs w:val="18"/>
              </w:rPr>
              <w:t>4.</w:t>
            </w:r>
            <w:r>
              <w:rPr>
                <w:rFonts w:hint="eastAsia" w:ascii="宋体" w:hAnsi="宋体"/>
                <w:sz w:val="18"/>
                <w:szCs w:val="18"/>
                <w:lang w:val="en-US" w:eastAsia="zh-CN"/>
              </w:rPr>
              <w:t>6</w:t>
            </w:r>
            <w:r>
              <w:rPr>
                <w:rFonts w:hint="eastAsia" w:ascii="宋体" w:hAnsi="宋体"/>
                <w:sz w:val="18"/>
                <w:szCs w:val="18"/>
              </w:rPr>
              <w:t>.</w:t>
            </w:r>
            <w:r>
              <w:rPr>
                <w:rFonts w:hint="eastAsia" w:ascii="宋体" w:hAnsi="宋体"/>
                <w:sz w:val="18"/>
                <w:szCs w:val="18"/>
                <w:lang w:val="en-US" w:eastAsia="zh-CN"/>
              </w:rPr>
              <w:t>6</w:t>
            </w:r>
          </w:p>
        </w:tc>
        <w:tc>
          <w:tcPr>
            <w:tcW w:w="5954" w:type="dxa"/>
            <w:noWrap w:val="0"/>
            <w:vAlign w:val="center"/>
          </w:tcPr>
          <w:p w14:paraId="7F253F3B">
            <w:pPr>
              <w:adjustRightInd w:val="0"/>
              <w:snapToGrid w:val="0"/>
              <w:rPr>
                <w:rFonts w:hint="eastAsia" w:ascii="宋体" w:hAnsi="宋体"/>
                <w:sz w:val="18"/>
                <w:szCs w:val="18"/>
                <w:lang w:val="en-US" w:eastAsia="zh-CN"/>
              </w:rPr>
            </w:pPr>
            <w:r>
              <w:rPr>
                <w:rFonts w:hint="eastAsia" w:ascii="宋体" w:hAnsi="宋体"/>
                <w:sz w:val="18"/>
                <w:szCs w:val="18"/>
                <w:lang w:val="en-US" w:eastAsia="zh-CN"/>
              </w:rPr>
              <w:t>观览车类、滑行车类、架空游览车类、陀螺类、飞行塔类、转马类、自控飞机类类游乐设施应符合下列要求：</w:t>
            </w:r>
          </w:p>
          <w:p w14:paraId="7BD2C0B9">
            <w:pPr>
              <w:adjustRightInd w:val="0"/>
              <w:snapToGrid w:val="0"/>
              <w:rPr>
                <w:rFonts w:hint="eastAsia" w:ascii="宋体" w:hAnsi="宋体"/>
                <w:sz w:val="18"/>
                <w:szCs w:val="18"/>
                <w:lang w:val="en-US" w:eastAsia="zh-CN"/>
              </w:rPr>
            </w:pPr>
            <w:r>
              <w:rPr>
                <w:rFonts w:hint="eastAsia" w:ascii="宋体" w:hAnsi="宋体"/>
                <w:sz w:val="18"/>
                <w:szCs w:val="18"/>
              </w:rPr>
              <w:t>a）</w:t>
            </w:r>
            <w:r>
              <w:rPr>
                <w:rFonts w:hint="eastAsia" w:ascii="宋体" w:hAnsi="宋体"/>
                <w:sz w:val="18"/>
                <w:szCs w:val="18"/>
                <w:lang w:val="en-US" w:eastAsia="zh-CN"/>
              </w:rPr>
              <w:t>外观良好，无破损；</w:t>
            </w:r>
          </w:p>
        </w:tc>
        <w:tc>
          <w:tcPr>
            <w:tcW w:w="596" w:type="dxa"/>
            <w:noWrap w:val="0"/>
            <w:vAlign w:val="center"/>
          </w:tcPr>
          <w:p w14:paraId="17512FDE">
            <w:pPr>
              <w:adjustRightInd w:val="0"/>
              <w:snapToGrid w:val="0"/>
              <w:jc w:val="center"/>
              <w:rPr>
                <w:rFonts w:ascii="宋体" w:hAnsi="宋体" w:eastAsia="宋体" w:cs="Times New Roman"/>
                <w:kern w:val="2"/>
                <w:sz w:val="18"/>
                <w:szCs w:val="18"/>
                <w:lang w:val="en-US" w:eastAsia="zh-CN" w:bidi="ar-SA"/>
              </w:rPr>
            </w:pPr>
          </w:p>
        </w:tc>
        <w:tc>
          <w:tcPr>
            <w:tcW w:w="654" w:type="dxa"/>
            <w:noWrap w:val="0"/>
            <w:vAlign w:val="center"/>
          </w:tcPr>
          <w:p w14:paraId="1CE84715">
            <w:pPr>
              <w:adjustRightInd w:val="0"/>
              <w:snapToGrid w:val="0"/>
              <w:jc w:val="center"/>
              <w:rPr>
                <w:rFonts w:ascii="宋体" w:hAnsi="宋体" w:eastAsia="宋体" w:cs="Times New Roman"/>
                <w:kern w:val="2"/>
                <w:sz w:val="18"/>
                <w:szCs w:val="18"/>
                <w:lang w:val="en-US" w:eastAsia="zh-CN" w:bidi="ar-SA"/>
              </w:rPr>
            </w:pPr>
          </w:p>
        </w:tc>
        <w:tc>
          <w:tcPr>
            <w:tcW w:w="593" w:type="dxa"/>
            <w:shd w:val="clear"/>
            <w:noWrap w:val="0"/>
            <w:vAlign w:val="center"/>
          </w:tcPr>
          <w:p w14:paraId="2BF50896">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10</w:t>
            </w:r>
          </w:p>
        </w:tc>
        <w:tc>
          <w:tcPr>
            <w:tcW w:w="2978" w:type="dxa"/>
            <w:shd w:val="clear"/>
            <w:noWrap w:val="0"/>
            <w:vAlign w:val="center"/>
          </w:tcPr>
          <w:p w14:paraId="08656DEA">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3</w:t>
            </w:r>
            <w:r>
              <w:rPr>
                <w:rFonts w:hint="eastAsia" w:ascii="宋体" w:hAnsi="宋体"/>
                <w:sz w:val="18"/>
                <w:szCs w:val="18"/>
              </w:rPr>
              <w:t>分。</w:t>
            </w:r>
          </w:p>
        </w:tc>
        <w:tc>
          <w:tcPr>
            <w:tcW w:w="611" w:type="dxa"/>
            <w:shd w:val="clear"/>
            <w:noWrap w:val="0"/>
            <w:vAlign w:val="top"/>
          </w:tcPr>
          <w:p w14:paraId="044DFC22">
            <w:pPr>
              <w:adjustRightInd w:val="0"/>
              <w:snapToGrid w:val="0"/>
              <w:rPr>
                <w:rFonts w:ascii="宋体" w:hAnsi="宋体" w:eastAsia="宋体" w:cs="Times New Roman"/>
                <w:kern w:val="2"/>
                <w:sz w:val="18"/>
                <w:szCs w:val="18"/>
                <w:lang w:val="en-US" w:eastAsia="zh-CN" w:bidi="ar-SA"/>
              </w:rPr>
            </w:pPr>
          </w:p>
        </w:tc>
        <w:tc>
          <w:tcPr>
            <w:tcW w:w="1557" w:type="dxa"/>
            <w:shd w:val="clear"/>
            <w:noWrap w:val="0"/>
            <w:vAlign w:val="top"/>
          </w:tcPr>
          <w:p w14:paraId="37E9D85C">
            <w:pPr>
              <w:adjustRightInd w:val="0"/>
              <w:snapToGrid w:val="0"/>
              <w:rPr>
                <w:rFonts w:ascii="宋体" w:hAnsi="宋体" w:eastAsia="宋体" w:cs="Times New Roman"/>
                <w:kern w:val="2"/>
                <w:sz w:val="18"/>
                <w:szCs w:val="18"/>
                <w:lang w:val="en-US" w:eastAsia="zh-CN" w:bidi="ar-SA"/>
              </w:rPr>
            </w:pPr>
          </w:p>
        </w:tc>
        <w:tc>
          <w:tcPr>
            <w:tcW w:w="1452" w:type="dxa"/>
            <w:shd w:val="clear"/>
            <w:noWrap w:val="0"/>
            <w:vAlign w:val="center"/>
          </w:tcPr>
          <w:p w14:paraId="5D35213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.4.</w:t>
            </w:r>
            <w:r>
              <w:rPr>
                <w:rFonts w:hint="eastAsia" w:ascii="宋体" w:hAnsi="宋体"/>
                <w:sz w:val="18"/>
                <w:szCs w:val="18"/>
                <w:lang w:val="en-US" w:eastAsia="zh-CN"/>
              </w:rPr>
              <w:t>3</w:t>
            </w:r>
          </w:p>
        </w:tc>
      </w:tr>
    </w:tbl>
    <w:p w14:paraId="3EF2E381">
      <w:pPr>
        <w:widowControl/>
        <w:spacing w:before="156" w:after="156"/>
        <w:ind w:left="567"/>
        <w:rPr>
          <w:rFonts w:hint="eastAsia"/>
        </w:rPr>
      </w:pPr>
      <w:r>
        <w:rPr>
          <w:rFonts w:hint="eastAsia"/>
        </w:rPr>
        <w:br w:type="page"/>
      </w:r>
    </w:p>
    <w:p w14:paraId="66BBFE9E">
      <w:pPr>
        <w:pStyle w:val="168"/>
        <w:widowControl/>
        <w:numPr>
          <w:ilvl w:val="0"/>
          <w:numId w:val="0"/>
        </w:numPr>
        <w:spacing w:before="156" w:after="156"/>
        <w:ind w:left="567" w:hanging="567"/>
      </w:pP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557"/>
        <w:gridCol w:w="1452"/>
      </w:tblGrid>
      <w:tr w14:paraId="091DF3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77A48793">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36D21C1E">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19F19278">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46BA84DF">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3BDB1ECE">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0FCF909C">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44F08CDE">
            <w:pPr>
              <w:adjustRightInd w:val="0"/>
              <w:snapToGrid w:val="0"/>
              <w:jc w:val="center"/>
              <w:rPr>
                <w:rFonts w:ascii="宋体" w:hAnsi="宋体"/>
                <w:sz w:val="18"/>
                <w:szCs w:val="18"/>
              </w:rPr>
            </w:pPr>
            <w:r>
              <w:rPr>
                <w:rFonts w:hint="eastAsia" w:ascii="宋体" w:hAnsi="宋体"/>
                <w:sz w:val="18"/>
                <w:szCs w:val="18"/>
              </w:rPr>
              <w:t>评定得分</w:t>
            </w:r>
          </w:p>
        </w:tc>
        <w:tc>
          <w:tcPr>
            <w:tcW w:w="1557" w:type="dxa"/>
            <w:noWrap w:val="0"/>
            <w:vAlign w:val="center"/>
          </w:tcPr>
          <w:p w14:paraId="7A24F25E">
            <w:pPr>
              <w:adjustRightInd w:val="0"/>
              <w:snapToGrid w:val="0"/>
              <w:jc w:val="center"/>
              <w:rPr>
                <w:rFonts w:ascii="宋体" w:hAnsi="宋体"/>
                <w:sz w:val="18"/>
                <w:szCs w:val="18"/>
              </w:rPr>
            </w:pPr>
            <w:r>
              <w:rPr>
                <w:rFonts w:hint="eastAsia" w:ascii="宋体" w:hAnsi="宋体"/>
                <w:sz w:val="18"/>
                <w:szCs w:val="18"/>
              </w:rPr>
              <w:t>扣分说明</w:t>
            </w:r>
          </w:p>
        </w:tc>
        <w:tc>
          <w:tcPr>
            <w:tcW w:w="1452" w:type="dxa"/>
            <w:noWrap w:val="0"/>
            <w:vAlign w:val="center"/>
          </w:tcPr>
          <w:p w14:paraId="01BBA4AE">
            <w:pPr>
              <w:adjustRightInd w:val="0"/>
              <w:snapToGrid w:val="0"/>
              <w:jc w:val="center"/>
              <w:rPr>
                <w:rFonts w:ascii="宋体" w:hAnsi="宋体"/>
                <w:sz w:val="18"/>
                <w:szCs w:val="18"/>
              </w:rPr>
            </w:pPr>
            <w:r>
              <w:rPr>
                <w:rFonts w:hint="eastAsia" w:ascii="宋体" w:hAnsi="宋体"/>
                <w:sz w:val="18"/>
                <w:szCs w:val="18"/>
              </w:rPr>
              <w:t>对应条款编号</w:t>
            </w:r>
          </w:p>
        </w:tc>
      </w:tr>
      <w:tr w14:paraId="1D38AC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7CA69EFD">
            <w:pPr>
              <w:adjustRightInd w:val="0"/>
              <w:snapToGrid w:val="0"/>
              <w:jc w:val="center"/>
              <w:rPr>
                <w:rFonts w:hint="eastAsia" w:ascii="宋体" w:hAnsi="宋体" w:eastAsia="宋体"/>
                <w:sz w:val="18"/>
                <w:szCs w:val="18"/>
                <w:lang w:eastAsia="zh-CN"/>
              </w:rPr>
            </w:pPr>
          </w:p>
        </w:tc>
        <w:tc>
          <w:tcPr>
            <w:tcW w:w="5954" w:type="dxa"/>
            <w:noWrap w:val="0"/>
            <w:vAlign w:val="center"/>
          </w:tcPr>
          <w:p w14:paraId="23E7EB63">
            <w:pPr>
              <w:adjustRightInd w:val="0"/>
              <w:snapToGrid w:val="0"/>
              <w:rPr>
                <w:rFonts w:hint="eastAsia" w:ascii="宋体" w:hAnsi="宋体"/>
                <w:sz w:val="18"/>
                <w:szCs w:val="18"/>
                <w:lang w:val="en-US" w:eastAsia="zh-CN"/>
              </w:rPr>
            </w:pPr>
            <w:r>
              <w:rPr>
                <w:rFonts w:hint="eastAsia" w:ascii="宋体" w:hAnsi="宋体"/>
                <w:sz w:val="18"/>
                <w:szCs w:val="18"/>
                <w:lang w:val="en-US" w:eastAsia="zh-CN"/>
              </w:rPr>
              <w:t>b</w:t>
            </w:r>
            <w:r>
              <w:rPr>
                <w:rFonts w:hint="eastAsia" w:ascii="宋体" w:hAnsi="宋体"/>
                <w:sz w:val="18"/>
                <w:szCs w:val="18"/>
              </w:rPr>
              <w:t>）</w:t>
            </w:r>
            <w:r>
              <w:rPr>
                <w:rFonts w:hint="eastAsia" w:ascii="宋体" w:hAnsi="宋体"/>
                <w:sz w:val="18"/>
                <w:szCs w:val="18"/>
                <w:lang w:val="en-US" w:eastAsia="zh-CN"/>
              </w:rPr>
              <w:t>室外外露的集电器应采取防水措施或具有防水功能；</w:t>
            </w:r>
          </w:p>
          <w:p w14:paraId="09D815A7">
            <w:pPr>
              <w:adjustRightInd w:val="0"/>
              <w:snapToGrid w:val="0"/>
              <w:rPr>
                <w:rFonts w:hint="eastAsia" w:ascii="宋体" w:hAnsi="宋体"/>
                <w:sz w:val="18"/>
                <w:szCs w:val="18"/>
                <w:lang w:val="en-US" w:eastAsia="zh-CN"/>
              </w:rPr>
            </w:pPr>
            <w:r>
              <w:rPr>
                <w:rFonts w:hint="eastAsia" w:ascii="宋体" w:hAnsi="宋体"/>
                <w:sz w:val="18"/>
                <w:szCs w:val="18"/>
                <w:lang w:val="en-US" w:eastAsia="zh-CN"/>
              </w:rPr>
              <w:t>c</w:t>
            </w:r>
            <w:r>
              <w:rPr>
                <w:rFonts w:hint="eastAsia" w:ascii="宋体" w:hAnsi="宋体"/>
                <w:sz w:val="18"/>
                <w:szCs w:val="18"/>
              </w:rPr>
              <w:t>）</w:t>
            </w:r>
            <w:r>
              <w:rPr>
                <w:rFonts w:hint="default" w:ascii="宋体" w:hAnsi="宋体"/>
                <w:sz w:val="18"/>
                <w:szCs w:val="18"/>
                <w:lang w:val="en-US" w:eastAsia="zh-CN"/>
              </w:rPr>
              <w:t>游乐设施各可动部件应运动平稳、灵活</w:t>
            </w:r>
            <w:r>
              <w:rPr>
                <w:rFonts w:hint="eastAsia" w:ascii="宋体" w:hAnsi="宋体"/>
                <w:sz w:val="18"/>
                <w:szCs w:val="18"/>
                <w:lang w:val="en-US" w:eastAsia="zh-CN"/>
              </w:rPr>
              <w:t>，轨道不应有异常晃动；</w:t>
            </w:r>
          </w:p>
          <w:p w14:paraId="51E73DE1">
            <w:pPr>
              <w:adjustRightInd w:val="0"/>
              <w:snapToGrid w:val="0"/>
              <w:rPr>
                <w:rFonts w:hint="eastAsia"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w:t>
            </w:r>
            <w:r>
              <w:rPr>
                <w:rFonts w:hint="default" w:ascii="宋体" w:hAnsi="宋体"/>
                <w:sz w:val="18"/>
                <w:szCs w:val="18"/>
                <w:lang w:val="en-US" w:eastAsia="zh-CN"/>
              </w:rPr>
              <w:t>游乐设施高度大于45m时</w:t>
            </w:r>
            <w:r>
              <w:rPr>
                <w:rFonts w:hint="eastAsia" w:ascii="宋体" w:hAnsi="宋体"/>
                <w:sz w:val="18"/>
                <w:szCs w:val="18"/>
                <w:lang w:val="en-US" w:eastAsia="zh-CN"/>
              </w:rPr>
              <w:t>，</w:t>
            </w:r>
            <w:r>
              <w:rPr>
                <w:rFonts w:hint="default" w:ascii="宋体" w:hAnsi="宋体"/>
                <w:sz w:val="18"/>
                <w:szCs w:val="18"/>
                <w:lang w:val="en-US" w:eastAsia="zh-CN"/>
              </w:rPr>
              <w:t>应设置航空障碍警示灯</w:t>
            </w:r>
            <w:r>
              <w:rPr>
                <w:rFonts w:hint="eastAsia" w:ascii="宋体" w:hAnsi="宋体"/>
                <w:sz w:val="18"/>
                <w:szCs w:val="18"/>
                <w:lang w:val="en-US" w:eastAsia="zh-CN"/>
              </w:rPr>
              <w:t>；</w:t>
            </w:r>
          </w:p>
          <w:p w14:paraId="772C1807">
            <w:pPr>
              <w:adjustRightInd w:val="0"/>
              <w:snapToGrid w:val="0"/>
              <w:rPr>
                <w:rFonts w:hint="default" w:ascii="宋体" w:hAnsi="宋体"/>
                <w:sz w:val="18"/>
                <w:szCs w:val="18"/>
                <w:lang w:val="en-US" w:eastAsia="zh-CN"/>
              </w:rPr>
            </w:pPr>
            <w:r>
              <w:rPr>
                <w:rFonts w:hint="eastAsia" w:ascii="宋体" w:hAnsi="宋体"/>
                <w:sz w:val="18"/>
                <w:szCs w:val="18"/>
                <w:lang w:val="en-US" w:eastAsia="zh-CN"/>
              </w:rPr>
              <w:t>e</w:t>
            </w:r>
            <w:r>
              <w:rPr>
                <w:rFonts w:hint="eastAsia" w:ascii="宋体" w:hAnsi="宋体"/>
                <w:sz w:val="18"/>
                <w:szCs w:val="18"/>
              </w:rPr>
              <w:t>）</w:t>
            </w:r>
            <w:r>
              <w:rPr>
                <w:rFonts w:hint="default" w:ascii="宋体" w:hAnsi="宋体"/>
                <w:sz w:val="18"/>
                <w:szCs w:val="18"/>
                <w:lang w:val="en-US" w:eastAsia="zh-CN"/>
              </w:rPr>
              <w:t>高度大于15m的</w:t>
            </w:r>
            <w:r>
              <w:rPr>
                <w:rFonts w:hint="eastAsia" w:ascii="宋体" w:hAnsi="宋体"/>
                <w:sz w:val="18"/>
                <w:szCs w:val="18"/>
                <w:lang w:val="en-US" w:eastAsia="zh-CN"/>
              </w:rPr>
              <w:t>室</w:t>
            </w:r>
            <w:r>
              <w:rPr>
                <w:rFonts w:hint="default" w:ascii="宋体" w:hAnsi="宋体"/>
                <w:sz w:val="18"/>
                <w:szCs w:val="18"/>
                <w:lang w:val="en-US" w:eastAsia="zh-CN"/>
              </w:rPr>
              <w:t>外游乐设施应设防雷装置</w:t>
            </w:r>
            <w:r>
              <w:rPr>
                <w:rFonts w:hint="eastAsia" w:ascii="宋体" w:hAnsi="宋体"/>
                <w:sz w:val="18"/>
                <w:szCs w:val="18"/>
                <w:lang w:val="en-US" w:eastAsia="zh-CN"/>
              </w:rPr>
              <w:t>；</w:t>
            </w:r>
          </w:p>
          <w:p w14:paraId="3C8DECEC">
            <w:pPr>
              <w:adjustRightInd w:val="0"/>
              <w:snapToGrid w:val="0"/>
              <w:rPr>
                <w:rFonts w:hint="eastAsia" w:ascii="宋体" w:hAnsi="宋体"/>
                <w:sz w:val="18"/>
                <w:szCs w:val="18"/>
                <w:lang w:val="en-US" w:eastAsia="zh-CN"/>
              </w:rPr>
            </w:pPr>
            <w:r>
              <w:rPr>
                <w:rFonts w:hint="eastAsia" w:ascii="宋体" w:hAnsi="宋体"/>
                <w:sz w:val="18"/>
                <w:szCs w:val="18"/>
                <w:lang w:val="en-US" w:eastAsia="zh-CN"/>
              </w:rPr>
              <w:t>f</w:t>
            </w:r>
            <w:r>
              <w:rPr>
                <w:rFonts w:hint="eastAsia" w:ascii="宋体" w:hAnsi="宋体"/>
                <w:sz w:val="18"/>
                <w:szCs w:val="18"/>
              </w:rPr>
              <w:t>）</w:t>
            </w:r>
            <w:r>
              <w:rPr>
                <w:rFonts w:hint="default" w:ascii="宋体" w:hAnsi="宋体"/>
                <w:sz w:val="18"/>
                <w:szCs w:val="18"/>
                <w:lang w:val="en-US" w:eastAsia="zh-CN"/>
              </w:rPr>
              <w:t>用于检查维修用的爬梯、通道</w:t>
            </w:r>
            <w:r>
              <w:rPr>
                <w:rFonts w:hint="eastAsia" w:ascii="宋体" w:hAnsi="宋体"/>
                <w:sz w:val="18"/>
                <w:szCs w:val="18"/>
                <w:lang w:val="en-US" w:eastAsia="zh-CN"/>
              </w:rPr>
              <w:t>、</w:t>
            </w:r>
            <w:r>
              <w:rPr>
                <w:rFonts w:hint="default" w:ascii="宋体" w:hAnsi="宋体"/>
                <w:sz w:val="18"/>
                <w:szCs w:val="18"/>
                <w:lang w:val="en-US" w:eastAsia="zh-CN"/>
              </w:rPr>
              <w:t>平台应牢固</w:t>
            </w:r>
            <w:r>
              <w:rPr>
                <w:rFonts w:hint="eastAsia" w:ascii="宋体" w:hAnsi="宋体"/>
                <w:sz w:val="18"/>
                <w:szCs w:val="18"/>
                <w:lang w:val="en-US" w:eastAsia="zh-CN"/>
              </w:rPr>
              <w:t>，</w:t>
            </w:r>
            <w:r>
              <w:rPr>
                <w:rFonts w:hint="default" w:ascii="宋体" w:hAnsi="宋体"/>
                <w:sz w:val="18"/>
                <w:szCs w:val="18"/>
                <w:lang w:val="en-US" w:eastAsia="zh-CN"/>
              </w:rPr>
              <w:t>高于2m的爬梯应设置防护装置或安全带挂接装置。</w:t>
            </w:r>
          </w:p>
          <w:p w14:paraId="67F5DEC8">
            <w:pPr>
              <w:adjustRightInd w:val="0"/>
              <w:snapToGrid w:val="0"/>
              <w:rPr>
                <w:rFonts w:hint="eastAsia" w:ascii="宋体" w:hAnsi="宋体"/>
                <w:sz w:val="18"/>
                <w:szCs w:val="18"/>
                <w:lang w:val="en-US" w:eastAsia="zh-CN"/>
              </w:rPr>
            </w:pPr>
            <w:r>
              <w:rPr>
                <w:rFonts w:hint="eastAsia" w:ascii="宋体" w:hAnsi="宋体"/>
                <w:sz w:val="18"/>
                <w:szCs w:val="18"/>
                <w:lang w:val="en-US" w:eastAsia="zh-CN"/>
              </w:rPr>
              <w:t>g</w:t>
            </w:r>
            <w:r>
              <w:rPr>
                <w:rFonts w:hint="eastAsia" w:ascii="宋体" w:hAnsi="宋体"/>
                <w:sz w:val="18"/>
                <w:szCs w:val="18"/>
              </w:rPr>
              <w:t>）</w:t>
            </w:r>
            <w:r>
              <w:rPr>
                <w:rFonts w:hint="eastAsia" w:ascii="宋体" w:hAnsi="宋体"/>
                <w:sz w:val="18"/>
                <w:szCs w:val="18"/>
                <w:lang w:val="en-US" w:eastAsia="zh-CN"/>
              </w:rPr>
              <w:t>滑行车类游乐设施应符合下列要求：</w:t>
            </w:r>
          </w:p>
          <w:p w14:paraId="14E56815">
            <w:p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default" w:ascii="宋体" w:hAnsi="宋体"/>
                <w:sz w:val="18"/>
                <w:szCs w:val="18"/>
                <w:lang w:val="en-US" w:eastAsia="zh-CN"/>
              </w:rPr>
              <w:t>在同一条轨道上运行的多车滑行车应设置防碰撞及缓冲装置</w:t>
            </w:r>
            <w:r>
              <w:rPr>
                <w:rFonts w:hint="eastAsia" w:ascii="宋体" w:hAnsi="宋体"/>
                <w:sz w:val="18"/>
                <w:szCs w:val="18"/>
                <w:lang w:val="en-US" w:eastAsia="zh-CN"/>
              </w:rPr>
              <w:t>；</w:t>
            </w:r>
          </w:p>
          <w:p w14:paraId="32E857E8">
            <w:p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激流勇进应设置安全扶手</w:t>
            </w:r>
            <w:r>
              <w:rPr>
                <w:rFonts w:hint="eastAsia" w:ascii="宋体" w:hAnsi="宋体"/>
                <w:sz w:val="18"/>
                <w:szCs w:val="18"/>
                <w:lang w:val="en-US" w:eastAsia="zh-CN"/>
              </w:rPr>
              <w:t>，</w:t>
            </w:r>
            <w:r>
              <w:rPr>
                <w:rFonts w:hint="default" w:ascii="宋体" w:hAnsi="宋体"/>
                <w:sz w:val="18"/>
                <w:szCs w:val="18"/>
                <w:lang w:val="en-US" w:eastAsia="zh-CN"/>
              </w:rPr>
              <w:t>骑乘式滑行车应设置安全扶手、腰部安全防护装置以及脚踏装置</w:t>
            </w:r>
            <w:r>
              <w:rPr>
                <w:rFonts w:hint="eastAsia" w:ascii="宋体" w:hAnsi="宋体"/>
                <w:sz w:val="18"/>
                <w:szCs w:val="18"/>
                <w:lang w:val="en-US" w:eastAsia="zh-CN"/>
              </w:rPr>
              <w:t>。</w:t>
            </w:r>
          </w:p>
          <w:p w14:paraId="05BEFD95">
            <w:pPr>
              <w:adjustRightInd w:val="0"/>
              <w:snapToGrid w:val="0"/>
              <w:rPr>
                <w:rFonts w:hint="eastAsia" w:ascii="宋体" w:hAnsi="宋体"/>
                <w:sz w:val="18"/>
                <w:szCs w:val="18"/>
                <w:lang w:val="en-US" w:eastAsia="zh-CN"/>
              </w:rPr>
            </w:pPr>
            <w:r>
              <w:rPr>
                <w:rFonts w:hint="eastAsia" w:ascii="宋体" w:hAnsi="宋体"/>
                <w:sz w:val="18"/>
                <w:szCs w:val="18"/>
                <w:lang w:val="en-US" w:eastAsia="zh-CN"/>
              </w:rPr>
              <w:t>h</w:t>
            </w:r>
            <w:r>
              <w:rPr>
                <w:rFonts w:hint="eastAsia" w:ascii="宋体" w:hAnsi="宋体"/>
                <w:sz w:val="18"/>
                <w:szCs w:val="18"/>
              </w:rPr>
              <w:t>）</w:t>
            </w:r>
            <w:r>
              <w:rPr>
                <w:rFonts w:hint="eastAsia" w:ascii="宋体" w:hAnsi="宋体"/>
                <w:sz w:val="18"/>
                <w:szCs w:val="18"/>
                <w:lang w:val="en-US" w:eastAsia="zh-CN"/>
              </w:rPr>
              <w:t>摩天轮</w:t>
            </w:r>
            <w:r>
              <w:rPr>
                <w:rFonts w:hint="default" w:ascii="宋体" w:hAnsi="宋体"/>
                <w:sz w:val="18"/>
                <w:szCs w:val="18"/>
                <w:lang w:val="en-US" w:eastAsia="zh-CN"/>
              </w:rPr>
              <w:t>型观览车在运行过程中,轿厢门锁不能从内部打开</w:t>
            </w:r>
            <w:r>
              <w:rPr>
                <w:rFonts w:hint="eastAsia" w:ascii="宋体" w:hAnsi="宋体"/>
                <w:sz w:val="18"/>
                <w:szCs w:val="18"/>
                <w:lang w:val="en-US" w:eastAsia="zh-CN"/>
              </w:rPr>
              <w:t>，在轿厢显著位置设安全警示标识，明确额定乘客数量和乘坐安全注意事项；</w:t>
            </w:r>
          </w:p>
          <w:p w14:paraId="37D40470">
            <w:pPr>
              <w:adjustRightInd w:val="0"/>
              <w:snapToGrid w:val="0"/>
              <w:rPr>
                <w:rFonts w:hint="default" w:ascii="宋体" w:hAnsi="宋体"/>
                <w:sz w:val="18"/>
                <w:szCs w:val="18"/>
                <w:lang w:val="en-US" w:eastAsia="zh-CN"/>
              </w:rPr>
            </w:pPr>
            <w:r>
              <w:rPr>
                <w:rFonts w:hint="eastAsia" w:ascii="宋体" w:hAnsi="宋体"/>
                <w:sz w:val="18"/>
                <w:szCs w:val="18"/>
                <w:lang w:val="en-US" w:eastAsia="zh-CN"/>
              </w:rPr>
              <w:t>i</w:t>
            </w:r>
            <w:r>
              <w:rPr>
                <w:rFonts w:hint="eastAsia" w:ascii="宋体" w:hAnsi="宋体"/>
                <w:sz w:val="18"/>
                <w:szCs w:val="18"/>
              </w:rPr>
              <w:t>）</w:t>
            </w:r>
            <w:r>
              <w:rPr>
                <w:rFonts w:hint="default" w:ascii="宋体" w:hAnsi="宋体"/>
                <w:sz w:val="18"/>
                <w:szCs w:val="18"/>
                <w:lang w:val="en-US" w:eastAsia="zh-CN"/>
              </w:rPr>
              <w:t>飞行塔类</w:t>
            </w:r>
            <w:r>
              <w:rPr>
                <w:rFonts w:hint="eastAsia" w:ascii="宋体" w:hAnsi="宋体"/>
                <w:sz w:val="18"/>
                <w:szCs w:val="18"/>
                <w:lang w:val="en-US" w:eastAsia="zh-CN"/>
              </w:rPr>
              <w:t>游乐设施应符合下列要求：</w:t>
            </w:r>
          </w:p>
          <w:p w14:paraId="0E84183B">
            <w:pPr>
              <w:adjustRightInd w:val="0"/>
              <w:snapToGrid w:val="0"/>
              <w:ind w:firstLine="360" w:firstLineChars="200"/>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w:t>
            </w:r>
            <w:r>
              <w:rPr>
                <w:rFonts w:hint="eastAsia" w:ascii="宋体" w:hAnsi="宋体"/>
                <w:sz w:val="18"/>
                <w:szCs w:val="18"/>
                <w:lang w:val="en-US" w:eastAsia="zh-CN"/>
              </w:rPr>
              <w:t>当站台高度超过2m时，安全栅栏高度应不低于1200mm；</w:t>
            </w:r>
          </w:p>
          <w:p w14:paraId="35A7FB63">
            <w:pPr>
              <w:adjustRightInd w:val="0"/>
              <w:snapToGrid w:val="0"/>
              <w:ind w:firstLine="360" w:firstLineChars="200"/>
              <w:rPr>
                <w:rFonts w:hint="default" w:ascii="宋体" w:hAnsi="宋体"/>
                <w:sz w:val="18"/>
                <w:szCs w:val="18"/>
                <w:lang w:val="en-US" w:eastAsia="zh-CN"/>
              </w:rPr>
            </w:pPr>
            <w:r>
              <w:rPr>
                <w:rFonts w:hint="eastAsia" w:ascii="宋体" w:hAnsi="宋体"/>
                <w:sz w:val="18"/>
                <w:szCs w:val="18"/>
                <w:lang w:val="en-US" w:eastAsia="zh-CN"/>
              </w:rPr>
              <w:t>2</w:t>
            </w:r>
            <w:r>
              <w:rPr>
                <w:rFonts w:hint="eastAsia" w:ascii="宋体" w:hAnsi="宋体"/>
                <w:sz w:val="18"/>
                <w:szCs w:val="18"/>
              </w:rPr>
              <w:t>）</w:t>
            </w:r>
            <w:r>
              <w:rPr>
                <w:rFonts w:hint="default" w:ascii="宋体" w:hAnsi="宋体"/>
                <w:sz w:val="18"/>
                <w:szCs w:val="18"/>
                <w:lang w:val="en-US" w:eastAsia="zh-CN"/>
              </w:rPr>
              <w:t>旋转飞椅系列飞行塔类游乐设施在运行时</w:t>
            </w:r>
            <w:r>
              <w:rPr>
                <w:rFonts w:hint="eastAsia" w:ascii="宋体" w:hAnsi="宋体"/>
                <w:sz w:val="18"/>
                <w:szCs w:val="18"/>
                <w:lang w:val="en-US" w:eastAsia="zh-CN"/>
              </w:rPr>
              <w:t>，</w:t>
            </w:r>
            <w:r>
              <w:rPr>
                <w:rFonts w:hint="default" w:ascii="宋体" w:hAnsi="宋体"/>
                <w:sz w:val="18"/>
                <w:szCs w:val="18"/>
                <w:lang w:val="en-US" w:eastAsia="zh-CN"/>
              </w:rPr>
              <w:t>束缚装置应不能由乘客自行打开</w:t>
            </w:r>
            <w:r>
              <w:rPr>
                <w:rFonts w:hint="eastAsia" w:ascii="宋体" w:hAnsi="宋体"/>
                <w:sz w:val="18"/>
                <w:szCs w:val="18"/>
                <w:lang w:val="en-US" w:eastAsia="zh-CN"/>
              </w:rPr>
              <w:t>。</w:t>
            </w:r>
          </w:p>
          <w:p w14:paraId="03AF4E4C">
            <w:pPr>
              <w:adjustRightInd w:val="0"/>
              <w:snapToGrid w:val="0"/>
              <w:rPr>
                <w:rFonts w:ascii="宋体" w:hAnsi="宋体"/>
                <w:sz w:val="18"/>
                <w:szCs w:val="18"/>
              </w:rPr>
            </w:pPr>
            <w:r>
              <w:rPr>
                <w:rFonts w:hint="eastAsia" w:ascii="宋体" w:hAnsi="宋体"/>
                <w:sz w:val="18"/>
                <w:szCs w:val="18"/>
                <w:lang w:val="en-US" w:eastAsia="zh-CN"/>
              </w:rPr>
              <w:t>j</w:t>
            </w:r>
            <w:r>
              <w:rPr>
                <w:rFonts w:hint="eastAsia" w:ascii="宋体" w:hAnsi="宋体"/>
                <w:sz w:val="18"/>
                <w:szCs w:val="18"/>
              </w:rPr>
              <w:t>）</w:t>
            </w:r>
            <w:r>
              <w:rPr>
                <w:rFonts w:hint="default" w:ascii="宋体" w:hAnsi="宋体"/>
                <w:sz w:val="18"/>
                <w:szCs w:val="18"/>
                <w:lang w:val="en-US" w:eastAsia="zh-CN"/>
              </w:rPr>
              <w:t>转马系列游乐设施</w:t>
            </w:r>
            <w:r>
              <w:rPr>
                <w:rFonts w:hint="eastAsia" w:ascii="宋体" w:hAnsi="宋体"/>
                <w:sz w:val="18"/>
                <w:szCs w:val="18"/>
                <w:lang w:val="en-US" w:eastAsia="zh-CN"/>
              </w:rPr>
              <w:t>，</w:t>
            </w:r>
            <w:r>
              <w:rPr>
                <w:rFonts w:hint="default" w:ascii="宋体" w:hAnsi="宋体"/>
                <w:sz w:val="18"/>
                <w:szCs w:val="18"/>
                <w:lang w:val="en-US" w:eastAsia="zh-CN"/>
              </w:rPr>
              <w:t>二层及以上平台应单独设置进出口</w:t>
            </w:r>
            <w:r>
              <w:rPr>
                <w:rFonts w:hint="eastAsia" w:ascii="宋体" w:hAnsi="宋体"/>
                <w:sz w:val="18"/>
                <w:szCs w:val="18"/>
                <w:lang w:val="en-US" w:eastAsia="zh-CN"/>
              </w:rPr>
              <w:t>，</w:t>
            </w:r>
            <w:r>
              <w:rPr>
                <w:rFonts w:hint="default" w:ascii="宋体" w:hAnsi="宋体"/>
                <w:sz w:val="18"/>
                <w:szCs w:val="18"/>
                <w:lang w:val="en-US" w:eastAsia="zh-CN"/>
              </w:rPr>
              <w:t>进出口门的开口方向应与乘客进人方向一致。进出口门应设置锁紧装置</w:t>
            </w:r>
            <w:r>
              <w:rPr>
                <w:rFonts w:hint="eastAsia" w:ascii="宋体" w:hAnsi="宋体"/>
                <w:sz w:val="18"/>
                <w:szCs w:val="18"/>
                <w:lang w:val="en-US" w:eastAsia="zh-CN"/>
              </w:rPr>
              <w:t>，</w:t>
            </w:r>
            <w:r>
              <w:rPr>
                <w:rFonts w:hint="default" w:ascii="宋体" w:hAnsi="宋体"/>
                <w:sz w:val="18"/>
                <w:szCs w:val="18"/>
                <w:lang w:val="en-US" w:eastAsia="zh-CN"/>
              </w:rPr>
              <w:t>在运行过程中乘客不能自行打开</w:t>
            </w:r>
            <w:r>
              <w:rPr>
                <w:rFonts w:hint="eastAsia" w:ascii="宋体" w:hAnsi="宋体"/>
                <w:sz w:val="18"/>
                <w:szCs w:val="18"/>
                <w:lang w:val="en-US" w:eastAsia="zh-CN"/>
              </w:rPr>
              <w:t>，</w:t>
            </w:r>
            <w:r>
              <w:rPr>
                <w:rFonts w:hint="default" w:ascii="宋体" w:hAnsi="宋体"/>
                <w:sz w:val="18"/>
                <w:szCs w:val="18"/>
                <w:lang w:val="en-US" w:eastAsia="zh-CN"/>
              </w:rPr>
              <w:t>并具备防夹手功能</w:t>
            </w:r>
            <w:r>
              <w:rPr>
                <w:rFonts w:hint="eastAsia" w:ascii="宋体" w:hAnsi="宋体"/>
                <w:sz w:val="18"/>
                <w:szCs w:val="18"/>
                <w:lang w:val="en-US" w:eastAsia="zh-CN"/>
              </w:rPr>
              <w:t>。</w:t>
            </w:r>
          </w:p>
        </w:tc>
        <w:tc>
          <w:tcPr>
            <w:tcW w:w="596" w:type="dxa"/>
            <w:noWrap w:val="0"/>
            <w:vAlign w:val="center"/>
          </w:tcPr>
          <w:p w14:paraId="56E108F4">
            <w:pPr>
              <w:adjustRightInd w:val="0"/>
              <w:snapToGrid w:val="0"/>
              <w:jc w:val="center"/>
              <w:rPr>
                <w:rFonts w:ascii="宋体" w:hAnsi="宋体"/>
                <w:sz w:val="18"/>
                <w:szCs w:val="18"/>
              </w:rPr>
            </w:pPr>
          </w:p>
        </w:tc>
        <w:tc>
          <w:tcPr>
            <w:tcW w:w="654" w:type="dxa"/>
            <w:noWrap w:val="0"/>
            <w:vAlign w:val="center"/>
          </w:tcPr>
          <w:p w14:paraId="2A9A9E21">
            <w:pPr>
              <w:adjustRightInd w:val="0"/>
              <w:snapToGrid w:val="0"/>
              <w:jc w:val="center"/>
              <w:rPr>
                <w:rFonts w:ascii="宋体" w:hAnsi="宋体"/>
                <w:sz w:val="18"/>
                <w:szCs w:val="18"/>
              </w:rPr>
            </w:pPr>
          </w:p>
        </w:tc>
        <w:tc>
          <w:tcPr>
            <w:tcW w:w="593" w:type="dxa"/>
            <w:noWrap w:val="0"/>
            <w:vAlign w:val="center"/>
          </w:tcPr>
          <w:p w14:paraId="1B43E82E">
            <w:pPr>
              <w:adjustRightInd w:val="0"/>
              <w:snapToGrid w:val="0"/>
              <w:jc w:val="center"/>
              <w:rPr>
                <w:rFonts w:hint="default" w:ascii="宋体" w:hAnsi="宋体" w:eastAsia="宋体"/>
                <w:sz w:val="18"/>
                <w:szCs w:val="18"/>
                <w:lang w:val="en-US" w:eastAsia="zh-CN"/>
              </w:rPr>
            </w:pPr>
          </w:p>
        </w:tc>
        <w:tc>
          <w:tcPr>
            <w:tcW w:w="2978" w:type="dxa"/>
            <w:noWrap w:val="0"/>
            <w:vAlign w:val="center"/>
          </w:tcPr>
          <w:p w14:paraId="4B7CF765">
            <w:pPr>
              <w:adjustRightInd w:val="0"/>
              <w:snapToGrid w:val="0"/>
              <w:rPr>
                <w:rFonts w:ascii="宋体" w:hAnsi="宋体"/>
                <w:sz w:val="18"/>
                <w:szCs w:val="18"/>
              </w:rPr>
            </w:pPr>
          </w:p>
        </w:tc>
        <w:tc>
          <w:tcPr>
            <w:tcW w:w="611" w:type="dxa"/>
            <w:noWrap w:val="0"/>
            <w:vAlign w:val="top"/>
          </w:tcPr>
          <w:p w14:paraId="18164944">
            <w:pPr>
              <w:adjustRightInd w:val="0"/>
              <w:snapToGrid w:val="0"/>
              <w:rPr>
                <w:rFonts w:ascii="宋体" w:hAnsi="宋体"/>
                <w:sz w:val="18"/>
                <w:szCs w:val="18"/>
              </w:rPr>
            </w:pPr>
          </w:p>
        </w:tc>
        <w:tc>
          <w:tcPr>
            <w:tcW w:w="1557" w:type="dxa"/>
            <w:noWrap w:val="0"/>
            <w:vAlign w:val="top"/>
          </w:tcPr>
          <w:p w14:paraId="7625ADA0">
            <w:pPr>
              <w:adjustRightInd w:val="0"/>
              <w:snapToGrid w:val="0"/>
              <w:rPr>
                <w:rFonts w:ascii="宋体" w:hAnsi="宋体"/>
                <w:sz w:val="18"/>
                <w:szCs w:val="18"/>
              </w:rPr>
            </w:pPr>
          </w:p>
        </w:tc>
        <w:tc>
          <w:tcPr>
            <w:tcW w:w="1452" w:type="dxa"/>
            <w:noWrap w:val="0"/>
            <w:vAlign w:val="center"/>
          </w:tcPr>
          <w:p w14:paraId="680892F8">
            <w:pPr>
              <w:adjustRightInd w:val="0"/>
              <w:snapToGrid w:val="0"/>
              <w:jc w:val="center"/>
              <w:rPr>
                <w:rFonts w:hint="eastAsia" w:ascii="宋体" w:hAnsi="宋体" w:eastAsia="宋体"/>
                <w:sz w:val="18"/>
                <w:szCs w:val="18"/>
                <w:lang w:val="en-US" w:eastAsia="zh-CN"/>
              </w:rPr>
            </w:pPr>
          </w:p>
        </w:tc>
      </w:tr>
      <w:tr w14:paraId="7EFBF8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shd w:val="clear"/>
            <w:noWrap w:val="0"/>
            <w:vAlign w:val="center"/>
          </w:tcPr>
          <w:p w14:paraId="61CB26A0">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7</w:t>
            </w:r>
          </w:p>
        </w:tc>
        <w:tc>
          <w:tcPr>
            <w:tcW w:w="5954" w:type="dxa"/>
            <w:shd w:val="clear"/>
            <w:noWrap w:val="0"/>
            <w:vAlign w:val="center"/>
          </w:tcPr>
          <w:p w14:paraId="43ADF0CB">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观光车辆</w:t>
            </w:r>
          </w:p>
        </w:tc>
        <w:tc>
          <w:tcPr>
            <w:tcW w:w="596" w:type="dxa"/>
            <w:shd w:val="clear"/>
            <w:noWrap w:val="0"/>
            <w:vAlign w:val="center"/>
          </w:tcPr>
          <w:p w14:paraId="7F5006FA">
            <w:pPr>
              <w:adjustRightInd w:val="0"/>
              <w:snapToGrid w:val="0"/>
              <w:jc w:val="center"/>
              <w:rPr>
                <w:rFonts w:ascii="宋体" w:hAnsi="宋体" w:eastAsia="宋体" w:cs="Times New Roman"/>
                <w:kern w:val="2"/>
                <w:sz w:val="18"/>
                <w:szCs w:val="18"/>
                <w:lang w:val="en-US" w:eastAsia="zh-CN" w:bidi="ar-SA"/>
              </w:rPr>
            </w:pPr>
          </w:p>
        </w:tc>
        <w:tc>
          <w:tcPr>
            <w:tcW w:w="654" w:type="dxa"/>
            <w:shd w:val="clear"/>
            <w:noWrap w:val="0"/>
            <w:vAlign w:val="center"/>
          </w:tcPr>
          <w:p w14:paraId="67FBC499">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1</w:t>
            </w:r>
            <w:r>
              <w:rPr>
                <w:rFonts w:hint="eastAsia" w:ascii="宋体" w:hAnsi="宋体"/>
                <w:sz w:val="18"/>
                <w:szCs w:val="18"/>
                <w:lang w:val="en-US" w:eastAsia="zh-CN"/>
              </w:rPr>
              <w:t>5</w:t>
            </w:r>
          </w:p>
        </w:tc>
        <w:tc>
          <w:tcPr>
            <w:tcW w:w="593" w:type="dxa"/>
            <w:shd w:val="clear"/>
            <w:noWrap w:val="0"/>
            <w:vAlign w:val="center"/>
          </w:tcPr>
          <w:p w14:paraId="11091126">
            <w:pPr>
              <w:adjustRightInd w:val="0"/>
              <w:snapToGrid w:val="0"/>
              <w:jc w:val="center"/>
              <w:rPr>
                <w:rFonts w:hint="default" w:ascii="宋体" w:hAnsi="宋体" w:eastAsia="宋体" w:cs="Times New Roman"/>
                <w:kern w:val="2"/>
                <w:sz w:val="18"/>
                <w:szCs w:val="18"/>
                <w:lang w:val="en-US" w:eastAsia="zh-CN" w:bidi="ar-SA"/>
              </w:rPr>
            </w:pPr>
          </w:p>
        </w:tc>
        <w:tc>
          <w:tcPr>
            <w:tcW w:w="2978" w:type="dxa"/>
            <w:shd w:val="clear"/>
            <w:noWrap w:val="0"/>
            <w:vAlign w:val="top"/>
          </w:tcPr>
          <w:p w14:paraId="18EA2457">
            <w:pPr>
              <w:adjustRightInd w:val="0"/>
              <w:snapToGrid w:val="0"/>
              <w:rPr>
                <w:rFonts w:ascii="宋体" w:hAnsi="宋体" w:eastAsia="宋体" w:cs="Times New Roman"/>
                <w:kern w:val="2"/>
                <w:sz w:val="18"/>
                <w:szCs w:val="18"/>
                <w:lang w:val="en-US" w:eastAsia="zh-CN" w:bidi="ar-SA"/>
              </w:rPr>
            </w:pPr>
          </w:p>
        </w:tc>
        <w:tc>
          <w:tcPr>
            <w:tcW w:w="611" w:type="dxa"/>
            <w:shd w:val="clear"/>
            <w:noWrap w:val="0"/>
            <w:vAlign w:val="top"/>
          </w:tcPr>
          <w:p w14:paraId="6E436D2E">
            <w:pPr>
              <w:adjustRightInd w:val="0"/>
              <w:snapToGrid w:val="0"/>
              <w:rPr>
                <w:rFonts w:ascii="宋体" w:hAnsi="宋体" w:eastAsia="宋体" w:cs="Times New Roman"/>
                <w:kern w:val="2"/>
                <w:sz w:val="18"/>
                <w:szCs w:val="18"/>
                <w:lang w:val="en-US" w:eastAsia="zh-CN" w:bidi="ar-SA"/>
              </w:rPr>
            </w:pPr>
          </w:p>
        </w:tc>
        <w:tc>
          <w:tcPr>
            <w:tcW w:w="1557" w:type="dxa"/>
            <w:shd w:val="clear"/>
            <w:noWrap w:val="0"/>
            <w:vAlign w:val="top"/>
          </w:tcPr>
          <w:p w14:paraId="7CA36E94">
            <w:pPr>
              <w:adjustRightInd w:val="0"/>
              <w:snapToGrid w:val="0"/>
              <w:rPr>
                <w:rFonts w:ascii="宋体" w:hAnsi="宋体" w:eastAsia="宋体" w:cs="Times New Roman"/>
                <w:kern w:val="2"/>
                <w:sz w:val="18"/>
                <w:szCs w:val="18"/>
                <w:lang w:val="en-US" w:eastAsia="zh-CN" w:bidi="ar-SA"/>
              </w:rPr>
            </w:pPr>
          </w:p>
        </w:tc>
        <w:tc>
          <w:tcPr>
            <w:tcW w:w="1452" w:type="dxa"/>
            <w:shd w:val="clear"/>
            <w:noWrap w:val="0"/>
            <w:vAlign w:val="center"/>
          </w:tcPr>
          <w:p w14:paraId="02F5A6B4">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w:t>
            </w:r>
            <w:r>
              <w:rPr>
                <w:rFonts w:hint="eastAsia" w:ascii="宋体" w:hAnsi="宋体"/>
                <w:sz w:val="18"/>
                <w:szCs w:val="18"/>
                <w:lang w:val="en-US" w:eastAsia="zh-CN"/>
              </w:rPr>
              <w:t>4</w:t>
            </w:r>
          </w:p>
        </w:tc>
      </w:tr>
      <w:tr w14:paraId="584284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shd w:val="clear"/>
            <w:vAlign w:val="center"/>
          </w:tcPr>
          <w:p w14:paraId="457B9075">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4.</w:t>
            </w:r>
            <w:r>
              <w:rPr>
                <w:rFonts w:hint="eastAsia" w:ascii="宋体" w:hAnsi="宋体"/>
                <w:sz w:val="18"/>
                <w:szCs w:val="18"/>
                <w:lang w:val="en-US" w:eastAsia="zh-CN"/>
              </w:rPr>
              <w:t>7</w:t>
            </w:r>
            <w:r>
              <w:rPr>
                <w:rFonts w:hint="eastAsia" w:ascii="宋体" w:hAnsi="宋体"/>
                <w:sz w:val="18"/>
                <w:szCs w:val="18"/>
              </w:rPr>
              <w:t>.1</w:t>
            </w:r>
          </w:p>
        </w:tc>
        <w:tc>
          <w:tcPr>
            <w:tcW w:w="0" w:type="auto"/>
            <w:shd w:val="clear"/>
            <w:vAlign w:val="center"/>
          </w:tcPr>
          <w:p w14:paraId="1231EBE2">
            <w:pPr>
              <w:adjustRightInd w:val="0"/>
              <w:snapToGrid w:val="0"/>
              <w:jc w:val="left"/>
              <w:rPr>
                <w:rFonts w:ascii="宋体" w:hAnsi="宋体"/>
                <w:sz w:val="18"/>
                <w:szCs w:val="18"/>
              </w:rPr>
            </w:pPr>
            <w:r>
              <w:rPr>
                <w:rFonts w:hint="eastAsia" w:ascii="宋体" w:hAnsi="宋体"/>
                <w:sz w:val="18"/>
                <w:szCs w:val="18"/>
              </w:rPr>
              <w:t>观光车辆应符合下列要求：</w:t>
            </w:r>
          </w:p>
          <w:p w14:paraId="7ECA3146">
            <w:pPr>
              <w:numPr>
                <w:ilvl w:val="0"/>
                <w:numId w:val="63"/>
              </w:numPr>
              <w:adjustRightInd w:val="0"/>
              <w:snapToGrid w:val="0"/>
              <w:jc w:val="left"/>
              <w:rPr>
                <w:rFonts w:hint="eastAsia" w:ascii="宋体" w:hAnsi="宋体"/>
                <w:sz w:val="18"/>
                <w:szCs w:val="18"/>
              </w:rPr>
            </w:pPr>
            <w:r>
              <w:rPr>
                <w:rFonts w:hint="eastAsia" w:ascii="宋体" w:hAnsi="宋体"/>
                <w:sz w:val="18"/>
                <w:szCs w:val="18"/>
              </w:rPr>
              <w:t>观光车标牌、标识</w:t>
            </w:r>
            <w:r>
              <w:rPr>
                <w:rFonts w:hint="eastAsia" w:ascii="宋体" w:hAnsi="宋体"/>
                <w:sz w:val="18"/>
                <w:szCs w:val="18"/>
                <w:lang w:eastAsia="zh-CN"/>
              </w:rPr>
              <w:t>、</w:t>
            </w:r>
            <w:r>
              <w:rPr>
                <w:rFonts w:hint="eastAsia" w:ascii="宋体" w:hAnsi="宋体"/>
                <w:sz w:val="18"/>
                <w:szCs w:val="18"/>
                <w:lang w:val="en-US" w:eastAsia="zh-CN"/>
              </w:rPr>
              <w:t>后视镜等</w:t>
            </w:r>
            <w:r>
              <w:rPr>
                <w:rFonts w:hint="eastAsia" w:ascii="宋体" w:hAnsi="宋体"/>
                <w:sz w:val="18"/>
                <w:szCs w:val="18"/>
              </w:rPr>
              <w:t>应完整</w:t>
            </w:r>
            <w:r>
              <w:rPr>
                <w:rFonts w:hint="eastAsia" w:ascii="宋体" w:hAnsi="宋体"/>
                <w:sz w:val="18"/>
                <w:szCs w:val="18"/>
                <w:lang w:eastAsia="zh-CN"/>
              </w:rPr>
              <w:t>，</w:t>
            </w:r>
            <w:r>
              <w:rPr>
                <w:rFonts w:hint="eastAsia" w:ascii="宋体" w:hAnsi="宋体"/>
                <w:sz w:val="18"/>
                <w:szCs w:val="18"/>
                <w:lang w:val="en-US" w:eastAsia="zh-CN"/>
              </w:rPr>
              <w:t>声响警示装置有效</w:t>
            </w:r>
            <w:r>
              <w:rPr>
                <w:rFonts w:hint="eastAsia" w:ascii="宋体" w:hAnsi="宋体"/>
                <w:sz w:val="18"/>
                <w:szCs w:val="18"/>
              </w:rPr>
              <w:t>；</w:t>
            </w:r>
          </w:p>
          <w:p w14:paraId="72D5DD92">
            <w:pPr>
              <w:numPr>
                <w:ilvl w:val="0"/>
                <w:numId w:val="0"/>
              </w:num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b</w:t>
            </w:r>
            <w:r>
              <w:rPr>
                <w:rFonts w:hint="eastAsia" w:ascii="宋体" w:hAnsi="宋体"/>
                <w:sz w:val="18"/>
                <w:szCs w:val="18"/>
              </w:rPr>
              <w:t>）</w:t>
            </w:r>
            <w:r>
              <w:rPr>
                <w:rFonts w:hint="eastAsia" w:ascii="宋体" w:hAnsi="宋体"/>
                <w:sz w:val="18"/>
                <w:szCs w:val="18"/>
                <w:lang w:val="en-US" w:eastAsia="zh-CN"/>
              </w:rPr>
              <w:t>乘客应有安全拉手，车辆侧面的乘客上下车出入口处应设置护栏、护链的安全防护装置；</w:t>
            </w:r>
          </w:p>
          <w:p w14:paraId="5F8F4980">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c</w:t>
            </w:r>
            <w:r>
              <w:rPr>
                <w:rFonts w:hint="eastAsia" w:ascii="宋体" w:hAnsi="宋体"/>
                <w:sz w:val="18"/>
                <w:szCs w:val="18"/>
              </w:rPr>
              <w:t>）</w:t>
            </w:r>
            <w:r>
              <w:rPr>
                <w:rFonts w:hint="default" w:ascii="宋体" w:hAnsi="宋体"/>
                <w:sz w:val="18"/>
                <w:szCs w:val="18"/>
                <w:lang w:val="en-US" w:eastAsia="zh-CN"/>
              </w:rPr>
              <w:t>应制定车辆运营时的行驶线路图,并且在行驶路线上设置醒目的线路标线、限速标志和固定的乘客上下车位置等标识</w:t>
            </w:r>
            <w:r>
              <w:rPr>
                <w:rFonts w:hint="eastAsia" w:ascii="宋体" w:hAnsi="宋体"/>
                <w:sz w:val="18"/>
                <w:szCs w:val="18"/>
                <w:lang w:val="en-US" w:eastAsia="zh-CN"/>
              </w:rPr>
              <w:t>；</w:t>
            </w:r>
          </w:p>
          <w:p w14:paraId="55132A64">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w:t>
            </w:r>
            <w:r>
              <w:rPr>
                <w:rFonts w:hint="default" w:ascii="宋体" w:hAnsi="宋体"/>
                <w:sz w:val="18"/>
                <w:szCs w:val="18"/>
                <w:lang w:val="en-US" w:eastAsia="zh-CN"/>
              </w:rPr>
              <w:t>观光车辆道路旁侧有超过</w:t>
            </w:r>
            <w:r>
              <w:rPr>
                <w:rFonts w:hint="eastAsia" w:ascii="宋体" w:hAnsi="宋体"/>
                <w:sz w:val="18"/>
                <w:szCs w:val="18"/>
                <w:lang w:val="en-US" w:eastAsia="zh-CN"/>
              </w:rPr>
              <w:t>0.</w:t>
            </w:r>
            <w:r>
              <w:rPr>
                <w:rFonts w:hint="default" w:ascii="宋体" w:hAnsi="宋体"/>
                <w:sz w:val="18"/>
                <w:szCs w:val="18"/>
                <w:lang w:val="en-US" w:eastAsia="zh-CN"/>
              </w:rPr>
              <w:t>6m垂直落差的路段</w:t>
            </w:r>
            <w:r>
              <w:rPr>
                <w:rFonts w:hint="eastAsia" w:ascii="宋体" w:hAnsi="宋体"/>
                <w:sz w:val="18"/>
                <w:szCs w:val="18"/>
                <w:lang w:val="en-US" w:eastAsia="zh-CN"/>
              </w:rPr>
              <w:t>，</w:t>
            </w:r>
            <w:r>
              <w:rPr>
                <w:rFonts w:hint="default" w:ascii="宋体" w:hAnsi="宋体"/>
                <w:sz w:val="18"/>
                <w:szCs w:val="18"/>
                <w:lang w:val="en-US" w:eastAsia="zh-CN"/>
              </w:rPr>
              <w:t>该路段旁侧应设置护栏</w:t>
            </w:r>
            <w:r>
              <w:rPr>
                <w:rFonts w:hint="eastAsia" w:ascii="宋体" w:hAnsi="宋体"/>
                <w:sz w:val="18"/>
                <w:szCs w:val="18"/>
                <w:lang w:val="en-US" w:eastAsia="zh-CN"/>
              </w:rPr>
              <w:t>，</w:t>
            </w:r>
            <w:r>
              <w:rPr>
                <w:rFonts w:hint="default" w:ascii="宋体" w:hAnsi="宋体"/>
                <w:sz w:val="18"/>
                <w:szCs w:val="18"/>
                <w:lang w:val="en-US" w:eastAsia="zh-CN"/>
              </w:rPr>
              <w:t>护栏高度不低于车轮高，护栏强度应保障车辆失控后不冲出护栏</w:t>
            </w:r>
            <w:r>
              <w:rPr>
                <w:rFonts w:hint="eastAsia" w:ascii="宋体" w:hAnsi="宋体"/>
                <w:sz w:val="18"/>
                <w:szCs w:val="18"/>
                <w:lang w:val="en-US" w:eastAsia="zh-CN"/>
              </w:rPr>
              <w:t>；</w:t>
            </w:r>
          </w:p>
          <w:p w14:paraId="505BB3FB">
            <w:pPr>
              <w:adjustRightInd w:val="0"/>
              <w:snapToGrid w:val="0"/>
              <w:jc w:val="left"/>
              <w:rPr>
                <w:rFonts w:hint="default" w:ascii="宋体" w:hAnsi="宋体"/>
                <w:sz w:val="18"/>
                <w:szCs w:val="18"/>
                <w:lang w:val="en-US"/>
              </w:rPr>
            </w:pPr>
            <w:r>
              <w:rPr>
                <w:rFonts w:hint="eastAsia" w:ascii="宋体" w:hAnsi="宋体"/>
                <w:sz w:val="18"/>
                <w:szCs w:val="18"/>
                <w:lang w:val="en-US" w:eastAsia="zh-CN"/>
              </w:rPr>
              <w:t>e</w:t>
            </w:r>
            <w:r>
              <w:rPr>
                <w:rFonts w:hint="eastAsia" w:ascii="宋体" w:hAnsi="宋体"/>
                <w:sz w:val="18"/>
                <w:szCs w:val="18"/>
              </w:rPr>
              <w:t>）应在指定区域使用观光车；</w:t>
            </w:r>
          </w:p>
          <w:p w14:paraId="25048944">
            <w:pPr>
              <w:adjustRightInd w:val="0"/>
              <w:snapToGrid w:val="0"/>
              <w:jc w:val="left"/>
              <w:rPr>
                <w:rFonts w:hint="default" w:ascii="宋体" w:hAnsi="宋体"/>
                <w:sz w:val="18"/>
                <w:szCs w:val="18"/>
                <w:lang w:val="en-US"/>
              </w:rPr>
            </w:pPr>
            <w:r>
              <w:rPr>
                <w:rFonts w:hint="eastAsia" w:ascii="宋体" w:hAnsi="宋体"/>
                <w:sz w:val="18"/>
                <w:szCs w:val="18"/>
                <w:lang w:val="en-US" w:eastAsia="zh-CN"/>
              </w:rPr>
              <w:t>f</w:t>
            </w:r>
            <w:r>
              <w:rPr>
                <w:rFonts w:hint="eastAsia" w:ascii="宋体" w:hAnsi="宋体"/>
                <w:sz w:val="18"/>
                <w:szCs w:val="18"/>
              </w:rPr>
              <w:t>）观光车应配备性能可靠、有效的灭火器材；</w:t>
            </w:r>
          </w:p>
          <w:p w14:paraId="112C3CDC">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g</w:t>
            </w:r>
            <w:r>
              <w:rPr>
                <w:rFonts w:hint="eastAsia" w:ascii="宋体" w:hAnsi="宋体"/>
                <w:sz w:val="18"/>
                <w:szCs w:val="18"/>
              </w:rPr>
              <w:t>）观光车停稳前，不应允许乘客上下车；</w:t>
            </w:r>
          </w:p>
        </w:tc>
        <w:tc>
          <w:tcPr>
            <w:tcW w:w="0" w:type="auto"/>
            <w:shd w:val="clear"/>
            <w:vAlign w:val="center"/>
          </w:tcPr>
          <w:p w14:paraId="47C3A0A1">
            <w:pPr>
              <w:adjustRightInd w:val="0"/>
              <w:snapToGrid w:val="0"/>
              <w:jc w:val="center"/>
              <w:rPr>
                <w:rFonts w:ascii="宋体" w:hAnsi="宋体" w:eastAsia="宋体" w:cs="Times New Roman"/>
                <w:kern w:val="2"/>
                <w:sz w:val="18"/>
                <w:szCs w:val="18"/>
                <w:lang w:val="en-US" w:eastAsia="zh-CN" w:bidi="ar-SA"/>
              </w:rPr>
            </w:pPr>
          </w:p>
        </w:tc>
        <w:tc>
          <w:tcPr>
            <w:tcW w:w="0" w:type="auto"/>
            <w:shd w:val="clear"/>
            <w:vAlign w:val="center"/>
          </w:tcPr>
          <w:p w14:paraId="503C8F94">
            <w:pPr>
              <w:adjustRightInd w:val="0"/>
              <w:snapToGrid w:val="0"/>
              <w:jc w:val="center"/>
              <w:rPr>
                <w:rFonts w:ascii="宋体" w:hAnsi="宋体" w:eastAsia="宋体" w:cs="Times New Roman"/>
                <w:kern w:val="2"/>
                <w:sz w:val="18"/>
                <w:szCs w:val="18"/>
                <w:lang w:val="en-US" w:eastAsia="zh-CN" w:bidi="ar-SA"/>
              </w:rPr>
            </w:pPr>
          </w:p>
        </w:tc>
        <w:tc>
          <w:tcPr>
            <w:tcW w:w="0" w:type="auto"/>
            <w:shd w:val="clear"/>
            <w:vAlign w:val="center"/>
          </w:tcPr>
          <w:p w14:paraId="59B09E39">
            <w:pPr>
              <w:adjustRightInd w:val="0"/>
              <w:snapToGrid w:val="0"/>
              <w:jc w:val="center"/>
              <w:rPr>
                <w:rFonts w:hint="default" w:ascii="宋体" w:hAnsi="宋体" w:eastAsia="宋体" w:cs="Times New Roman"/>
                <w:kern w:val="2"/>
                <w:sz w:val="18"/>
                <w:szCs w:val="18"/>
                <w:lang w:val="en-US" w:eastAsia="zh-CN" w:bidi="ar-SA"/>
              </w:rPr>
            </w:pPr>
            <w:r>
              <w:rPr>
                <w:rFonts w:hint="eastAsia" w:ascii="宋体" w:hAnsi="宋体"/>
                <w:sz w:val="18"/>
                <w:szCs w:val="18"/>
              </w:rPr>
              <w:t>1</w:t>
            </w:r>
            <w:r>
              <w:rPr>
                <w:rFonts w:hint="eastAsia" w:ascii="宋体" w:hAnsi="宋体"/>
                <w:sz w:val="18"/>
                <w:szCs w:val="18"/>
                <w:lang w:val="en-US" w:eastAsia="zh-CN"/>
              </w:rPr>
              <w:t>5</w:t>
            </w:r>
          </w:p>
        </w:tc>
        <w:tc>
          <w:tcPr>
            <w:tcW w:w="0" w:type="auto"/>
            <w:shd w:val="clear"/>
            <w:vAlign w:val="center"/>
          </w:tcPr>
          <w:p w14:paraId="534FEF48">
            <w:pPr>
              <w:adjustRightInd w:val="0"/>
              <w:snapToGrid w:val="0"/>
              <w:rPr>
                <w:rFonts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3</w:t>
            </w:r>
            <w:r>
              <w:rPr>
                <w:rFonts w:hint="eastAsia" w:ascii="宋体" w:hAnsi="宋体"/>
                <w:sz w:val="18"/>
                <w:szCs w:val="18"/>
              </w:rPr>
              <w:t>分。</w:t>
            </w:r>
          </w:p>
        </w:tc>
        <w:tc>
          <w:tcPr>
            <w:tcW w:w="0" w:type="auto"/>
            <w:shd w:val="clear"/>
            <w:vAlign w:val="top"/>
          </w:tcPr>
          <w:p w14:paraId="485AC99A">
            <w:pPr>
              <w:adjustRightInd w:val="0"/>
              <w:snapToGrid w:val="0"/>
              <w:rPr>
                <w:rFonts w:ascii="宋体" w:hAnsi="宋体" w:eastAsia="宋体" w:cs="Times New Roman"/>
                <w:kern w:val="2"/>
                <w:sz w:val="18"/>
                <w:szCs w:val="18"/>
                <w:lang w:val="en-US" w:eastAsia="zh-CN" w:bidi="ar-SA"/>
              </w:rPr>
            </w:pPr>
          </w:p>
        </w:tc>
        <w:tc>
          <w:tcPr>
            <w:tcW w:w="0" w:type="auto"/>
            <w:shd w:val="clear"/>
            <w:vAlign w:val="top"/>
          </w:tcPr>
          <w:p w14:paraId="6AB0D045">
            <w:pPr>
              <w:adjustRightInd w:val="0"/>
              <w:snapToGrid w:val="0"/>
              <w:rPr>
                <w:rFonts w:ascii="宋体" w:hAnsi="宋体" w:eastAsia="宋体" w:cs="Times New Roman"/>
                <w:kern w:val="2"/>
                <w:sz w:val="18"/>
                <w:szCs w:val="18"/>
                <w:lang w:val="en-US" w:eastAsia="zh-CN" w:bidi="ar-SA"/>
              </w:rPr>
            </w:pPr>
          </w:p>
        </w:tc>
        <w:tc>
          <w:tcPr>
            <w:tcW w:w="0" w:type="auto"/>
            <w:shd w:val="clear"/>
            <w:vAlign w:val="center"/>
          </w:tcPr>
          <w:p w14:paraId="7E5A5FE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4.4</w:t>
            </w:r>
            <w:r>
              <w:rPr>
                <w:rFonts w:hint="eastAsia" w:ascii="宋体" w:hAnsi="宋体"/>
                <w:sz w:val="18"/>
                <w:szCs w:val="18"/>
              </w:rPr>
              <w:t>.</w:t>
            </w:r>
            <w:r>
              <w:rPr>
                <w:rFonts w:hint="eastAsia" w:ascii="宋体" w:hAnsi="宋体"/>
                <w:sz w:val="18"/>
                <w:szCs w:val="18"/>
                <w:lang w:val="en-US" w:eastAsia="zh-CN"/>
              </w:rPr>
              <w:t>4</w:t>
            </w:r>
          </w:p>
        </w:tc>
      </w:tr>
    </w:tbl>
    <w:p w14:paraId="10336460">
      <w:pPr>
        <w:pStyle w:val="168"/>
        <w:widowControl/>
        <w:numPr>
          <w:ilvl w:val="0"/>
          <w:numId w:val="0"/>
        </w:numPr>
        <w:spacing w:before="156" w:after="156"/>
        <w:ind w:left="567" w:hanging="567"/>
      </w:pPr>
      <w:r>
        <w:rPr>
          <w:rFonts w:hint="eastAsia"/>
        </w:rPr>
        <w:t>表E.1特种设备要素的安全生产等级评定细则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8"/>
        <w:gridCol w:w="5954"/>
        <w:gridCol w:w="596"/>
        <w:gridCol w:w="654"/>
        <w:gridCol w:w="593"/>
        <w:gridCol w:w="2978"/>
        <w:gridCol w:w="611"/>
        <w:gridCol w:w="1557"/>
        <w:gridCol w:w="1452"/>
      </w:tblGrid>
      <w:tr w14:paraId="1528CA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07470356">
            <w:pPr>
              <w:adjustRightInd w:val="0"/>
              <w:snapToGrid w:val="0"/>
              <w:jc w:val="center"/>
              <w:rPr>
                <w:rFonts w:ascii="宋体" w:hAnsi="宋体"/>
                <w:sz w:val="18"/>
                <w:szCs w:val="18"/>
              </w:rPr>
            </w:pPr>
            <w:r>
              <w:rPr>
                <w:rFonts w:ascii="宋体" w:hAnsi="宋体"/>
                <w:sz w:val="18"/>
                <w:szCs w:val="18"/>
              </w:rPr>
              <w:t>序号</w:t>
            </w:r>
          </w:p>
        </w:tc>
        <w:tc>
          <w:tcPr>
            <w:tcW w:w="5954" w:type="dxa"/>
            <w:noWrap w:val="0"/>
            <w:vAlign w:val="center"/>
          </w:tcPr>
          <w:p w14:paraId="67CB46B2">
            <w:pPr>
              <w:adjustRightInd w:val="0"/>
              <w:snapToGrid w:val="0"/>
              <w:jc w:val="center"/>
              <w:rPr>
                <w:rFonts w:ascii="宋体" w:hAnsi="宋体"/>
                <w:sz w:val="18"/>
                <w:szCs w:val="18"/>
              </w:rPr>
            </w:pPr>
            <w:r>
              <w:rPr>
                <w:rFonts w:hint="eastAsia" w:ascii="宋体" w:hAnsi="宋体"/>
                <w:sz w:val="18"/>
                <w:szCs w:val="18"/>
              </w:rPr>
              <w:t>评定内容</w:t>
            </w:r>
          </w:p>
        </w:tc>
        <w:tc>
          <w:tcPr>
            <w:tcW w:w="596" w:type="dxa"/>
            <w:noWrap w:val="0"/>
            <w:vAlign w:val="center"/>
          </w:tcPr>
          <w:p w14:paraId="44014864">
            <w:pPr>
              <w:adjustRightInd w:val="0"/>
              <w:snapToGrid w:val="0"/>
              <w:jc w:val="center"/>
              <w:rPr>
                <w:rFonts w:ascii="宋体" w:hAnsi="宋体"/>
                <w:sz w:val="18"/>
                <w:szCs w:val="18"/>
              </w:rPr>
            </w:pPr>
            <w:r>
              <w:rPr>
                <w:rFonts w:hint="eastAsia" w:ascii="宋体" w:hAnsi="宋体"/>
                <w:sz w:val="18"/>
                <w:szCs w:val="18"/>
              </w:rPr>
              <w:t>评定要素分值</w:t>
            </w:r>
          </w:p>
        </w:tc>
        <w:tc>
          <w:tcPr>
            <w:tcW w:w="654" w:type="dxa"/>
            <w:noWrap w:val="0"/>
            <w:vAlign w:val="center"/>
          </w:tcPr>
          <w:p w14:paraId="2C627E3E">
            <w:pPr>
              <w:adjustRightInd w:val="0"/>
              <w:snapToGrid w:val="0"/>
              <w:jc w:val="center"/>
              <w:rPr>
                <w:rFonts w:ascii="宋体" w:hAnsi="宋体"/>
                <w:sz w:val="18"/>
                <w:szCs w:val="18"/>
              </w:rPr>
            </w:pPr>
            <w:r>
              <w:rPr>
                <w:rFonts w:hint="eastAsia" w:ascii="宋体" w:hAnsi="宋体"/>
                <w:sz w:val="18"/>
                <w:szCs w:val="18"/>
              </w:rPr>
              <w:t>评定细项分值</w:t>
            </w:r>
          </w:p>
        </w:tc>
        <w:tc>
          <w:tcPr>
            <w:tcW w:w="593" w:type="dxa"/>
            <w:noWrap w:val="0"/>
            <w:vAlign w:val="center"/>
          </w:tcPr>
          <w:p w14:paraId="6E4159C0">
            <w:pPr>
              <w:adjustRightInd w:val="0"/>
              <w:snapToGrid w:val="0"/>
              <w:jc w:val="center"/>
              <w:rPr>
                <w:rFonts w:ascii="宋体" w:hAnsi="宋体"/>
                <w:sz w:val="18"/>
                <w:szCs w:val="18"/>
              </w:rPr>
            </w:pPr>
            <w:r>
              <w:rPr>
                <w:rFonts w:hint="eastAsia" w:ascii="宋体" w:hAnsi="宋体"/>
                <w:sz w:val="18"/>
                <w:szCs w:val="18"/>
              </w:rPr>
              <w:t>评定条款分值</w:t>
            </w:r>
          </w:p>
        </w:tc>
        <w:tc>
          <w:tcPr>
            <w:tcW w:w="2978" w:type="dxa"/>
            <w:noWrap w:val="0"/>
            <w:vAlign w:val="center"/>
          </w:tcPr>
          <w:p w14:paraId="1D926316">
            <w:pPr>
              <w:adjustRightInd w:val="0"/>
              <w:snapToGrid w:val="0"/>
              <w:jc w:val="center"/>
              <w:rPr>
                <w:rFonts w:ascii="宋体" w:hAnsi="宋体"/>
                <w:sz w:val="18"/>
                <w:szCs w:val="18"/>
              </w:rPr>
            </w:pPr>
            <w:r>
              <w:rPr>
                <w:rFonts w:hint="eastAsia" w:ascii="宋体" w:hAnsi="宋体"/>
                <w:sz w:val="18"/>
                <w:szCs w:val="18"/>
              </w:rPr>
              <w:t>评分标准</w:t>
            </w:r>
          </w:p>
        </w:tc>
        <w:tc>
          <w:tcPr>
            <w:tcW w:w="611" w:type="dxa"/>
            <w:noWrap w:val="0"/>
            <w:vAlign w:val="center"/>
          </w:tcPr>
          <w:p w14:paraId="6CBB2C9F">
            <w:pPr>
              <w:adjustRightInd w:val="0"/>
              <w:snapToGrid w:val="0"/>
              <w:jc w:val="center"/>
              <w:rPr>
                <w:rFonts w:ascii="宋体" w:hAnsi="宋体"/>
                <w:sz w:val="18"/>
                <w:szCs w:val="18"/>
              </w:rPr>
            </w:pPr>
            <w:r>
              <w:rPr>
                <w:rFonts w:hint="eastAsia" w:ascii="宋体" w:hAnsi="宋体"/>
                <w:sz w:val="18"/>
                <w:szCs w:val="18"/>
              </w:rPr>
              <w:t>评定得分</w:t>
            </w:r>
          </w:p>
        </w:tc>
        <w:tc>
          <w:tcPr>
            <w:tcW w:w="1557" w:type="dxa"/>
            <w:noWrap w:val="0"/>
            <w:vAlign w:val="center"/>
          </w:tcPr>
          <w:p w14:paraId="4B38C1F1">
            <w:pPr>
              <w:adjustRightInd w:val="0"/>
              <w:snapToGrid w:val="0"/>
              <w:jc w:val="center"/>
              <w:rPr>
                <w:rFonts w:ascii="宋体" w:hAnsi="宋体"/>
                <w:sz w:val="18"/>
                <w:szCs w:val="18"/>
              </w:rPr>
            </w:pPr>
            <w:r>
              <w:rPr>
                <w:rFonts w:hint="eastAsia" w:ascii="宋体" w:hAnsi="宋体"/>
                <w:sz w:val="18"/>
                <w:szCs w:val="18"/>
              </w:rPr>
              <w:t>扣分说明</w:t>
            </w:r>
          </w:p>
        </w:tc>
        <w:tc>
          <w:tcPr>
            <w:tcW w:w="1452" w:type="dxa"/>
            <w:noWrap w:val="0"/>
            <w:vAlign w:val="center"/>
          </w:tcPr>
          <w:p w14:paraId="53F3CE22">
            <w:pPr>
              <w:adjustRightInd w:val="0"/>
              <w:snapToGrid w:val="0"/>
              <w:jc w:val="center"/>
              <w:rPr>
                <w:rFonts w:ascii="宋体" w:hAnsi="宋体"/>
                <w:sz w:val="18"/>
                <w:szCs w:val="18"/>
              </w:rPr>
            </w:pPr>
            <w:r>
              <w:rPr>
                <w:rFonts w:hint="eastAsia" w:ascii="宋体" w:hAnsi="宋体"/>
                <w:sz w:val="18"/>
                <w:szCs w:val="18"/>
              </w:rPr>
              <w:t>对应条款编号</w:t>
            </w:r>
          </w:p>
        </w:tc>
      </w:tr>
      <w:tr w14:paraId="4A1B67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8" w:type="dxa"/>
            <w:noWrap w:val="0"/>
            <w:vAlign w:val="center"/>
          </w:tcPr>
          <w:p w14:paraId="71B270C4">
            <w:pPr>
              <w:adjustRightInd w:val="0"/>
              <w:snapToGrid w:val="0"/>
              <w:jc w:val="center"/>
              <w:rPr>
                <w:rFonts w:hint="eastAsia" w:ascii="宋体" w:hAnsi="宋体" w:eastAsia="宋体"/>
                <w:sz w:val="18"/>
                <w:szCs w:val="18"/>
                <w:lang w:eastAsia="zh-CN"/>
              </w:rPr>
            </w:pPr>
          </w:p>
        </w:tc>
        <w:tc>
          <w:tcPr>
            <w:tcW w:w="5954" w:type="dxa"/>
            <w:noWrap w:val="0"/>
            <w:vAlign w:val="center"/>
          </w:tcPr>
          <w:p w14:paraId="5ED5DD4D">
            <w:pPr>
              <w:adjustRightInd w:val="0"/>
              <w:snapToGrid w:val="0"/>
              <w:jc w:val="left"/>
              <w:rPr>
                <w:rFonts w:hint="default" w:ascii="宋体" w:hAnsi="宋体"/>
                <w:sz w:val="18"/>
                <w:szCs w:val="18"/>
                <w:lang w:val="en-US"/>
              </w:rPr>
            </w:pPr>
            <w:r>
              <w:rPr>
                <w:rFonts w:hint="eastAsia" w:ascii="宋体" w:hAnsi="宋体"/>
                <w:sz w:val="18"/>
                <w:szCs w:val="18"/>
                <w:lang w:val="en-US" w:eastAsia="zh-CN"/>
              </w:rPr>
              <w:t>h</w:t>
            </w:r>
            <w:r>
              <w:rPr>
                <w:rFonts w:hint="eastAsia" w:ascii="宋体" w:hAnsi="宋体"/>
                <w:sz w:val="18"/>
                <w:szCs w:val="18"/>
              </w:rPr>
              <w:t>）</w:t>
            </w:r>
            <w:r>
              <w:rPr>
                <w:rFonts w:hint="eastAsia" w:ascii="宋体" w:hAnsi="宋体"/>
                <w:sz w:val="18"/>
                <w:szCs w:val="18"/>
                <w:lang w:val="en-US" w:eastAsia="zh-CN"/>
              </w:rPr>
              <w:t>每位乘客应有安全带，</w:t>
            </w:r>
            <w:r>
              <w:rPr>
                <w:rFonts w:hint="eastAsia" w:ascii="宋体" w:hAnsi="宋体"/>
                <w:sz w:val="18"/>
                <w:szCs w:val="18"/>
              </w:rPr>
              <w:t>观光车启动前，应检查乘客是否系好安全带</w:t>
            </w:r>
            <w:r>
              <w:rPr>
                <w:rFonts w:hint="eastAsia" w:ascii="宋体" w:hAnsi="宋体"/>
                <w:sz w:val="18"/>
                <w:szCs w:val="18"/>
                <w:lang w:eastAsia="zh-CN"/>
              </w:rPr>
              <w:t>，</w:t>
            </w:r>
            <w:r>
              <w:rPr>
                <w:rFonts w:hint="eastAsia" w:ascii="宋体" w:hAnsi="宋体"/>
                <w:sz w:val="18"/>
                <w:szCs w:val="18"/>
                <w:lang w:val="en-US" w:eastAsia="zh-CN"/>
              </w:rPr>
              <w:t>不应超载</w:t>
            </w:r>
            <w:r>
              <w:rPr>
                <w:rFonts w:hint="eastAsia" w:ascii="宋体" w:hAnsi="宋体"/>
                <w:sz w:val="18"/>
                <w:szCs w:val="18"/>
              </w:rPr>
              <w:t>；</w:t>
            </w:r>
          </w:p>
          <w:p w14:paraId="2394F2C8">
            <w:pPr>
              <w:adjustRightInd w:val="0"/>
              <w:snapToGrid w:val="0"/>
              <w:jc w:val="left"/>
              <w:rPr>
                <w:rFonts w:hint="default" w:ascii="宋体" w:hAnsi="宋体"/>
                <w:sz w:val="18"/>
                <w:szCs w:val="18"/>
                <w:lang w:val="en-US"/>
              </w:rPr>
            </w:pPr>
            <w:r>
              <w:rPr>
                <w:rFonts w:hint="eastAsia" w:ascii="宋体" w:hAnsi="宋体"/>
                <w:sz w:val="18"/>
                <w:szCs w:val="18"/>
                <w:lang w:val="en-US" w:eastAsia="zh-CN"/>
              </w:rPr>
              <w:t>i</w:t>
            </w:r>
            <w:r>
              <w:rPr>
                <w:rFonts w:hint="eastAsia" w:ascii="宋体" w:hAnsi="宋体"/>
                <w:sz w:val="18"/>
                <w:szCs w:val="18"/>
              </w:rPr>
              <w:t>）蓄电池充电站应设置在指定的区域内，该区域内应设置禁止烟火的安全警示标志；</w:t>
            </w:r>
          </w:p>
          <w:p w14:paraId="7FA904A8">
            <w:pPr>
              <w:adjustRightInd w:val="0"/>
              <w:snapToGrid w:val="0"/>
              <w:jc w:val="left"/>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）蓄电池充电站应配备冲洗设备和可以中和溢出电解液的设备；</w:t>
            </w:r>
          </w:p>
          <w:p w14:paraId="6D3AB7D8">
            <w:pPr>
              <w:adjustRightInd w:val="0"/>
              <w:snapToGrid w:val="0"/>
              <w:jc w:val="left"/>
              <w:rPr>
                <w:rFonts w:hint="default" w:ascii="宋体" w:hAnsi="宋体"/>
                <w:sz w:val="18"/>
                <w:szCs w:val="18"/>
                <w:lang w:val="en-US"/>
              </w:rPr>
            </w:pPr>
            <w:r>
              <w:rPr>
                <w:rFonts w:hint="eastAsia" w:ascii="宋体" w:hAnsi="宋体"/>
                <w:sz w:val="18"/>
                <w:szCs w:val="18"/>
                <w:lang w:val="en-US" w:eastAsia="zh-CN"/>
              </w:rPr>
              <w:t>k</w:t>
            </w:r>
            <w:r>
              <w:rPr>
                <w:rFonts w:hint="eastAsia" w:ascii="宋体" w:hAnsi="宋体"/>
                <w:sz w:val="18"/>
                <w:szCs w:val="18"/>
              </w:rPr>
              <w:t>）蓄电池充电或加燃料前，应制动车辆；</w:t>
            </w:r>
          </w:p>
          <w:p w14:paraId="2DC308F7">
            <w:pPr>
              <w:adjustRightInd w:val="0"/>
              <w:snapToGrid w:val="0"/>
              <w:rPr>
                <w:rFonts w:hint="eastAsia" w:ascii="宋体" w:hAnsi="宋体" w:eastAsia="宋体"/>
                <w:sz w:val="18"/>
                <w:szCs w:val="18"/>
                <w:lang w:eastAsia="zh-CN"/>
              </w:rPr>
            </w:pPr>
            <w:r>
              <w:rPr>
                <w:rFonts w:hint="eastAsia" w:ascii="宋体" w:hAnsi="宋体"/>
                <w:sz w:val="18"/>
                <w:szCs w:val="18"/>
                <w:lang w:val="en-US" w:eastAsia="zh-CN"/>
              </w:rPr>
              <w:t>l</w:t>
            </w:r>
            <w:r>
              <w:rPr>
                <w:rFonts w:hint="eastAsia" w:ascii="宋体" w:hAnsi="宋体"/>
                <w:sz w:val="18"/>
                <w:szCs w:val="18"/>
              </w:rPr>
              <w:t>）蓄电池充电或更换，应由有资质的人员进行</w:t>
            </w:r>
            <w:r>
              <w:rPr>
                <w:rFonts w:hint="eastAsia" w:ascii="宋体" w:hAnsi="宋体"/>
                <w:sz w:val="18"/>
                <w:szCs w:val="18"/>
                <w:lang w:eastAsia="zh-CN"/>
              </w:rPr>
              <w:t>。</w:t>
            </w:r>
          </w:p>
        </w:tc>
        <w:tc>
          <w:tcPr>
            <w:tcW w:w="596" w:type="dxa"/>
            <w:noWrap w:val="0"/>
            <w:vAlign w:val="center"/>
          </w:tcPr>
          <w:p w14:paraId="0BF3117E">
            <w:pPr>
              <w:adjustRightInd w:val="0"/>
              <w:snapToGrid w:val="0"/>
              <w:jc w:val="center"/>
              <w:rPr>
                <w:rFonts w:ascii="宋体" w:hAnsi="宋体"/>
                <w:sz w:val="18"/>
                <w:szCs w:val="18"/>
              </w:rPr>
            </w:pPr>
          </w:p>
        </w:tc>
        <w:tc>
          <w:tcPr>
            <w:tcW w:w="654" w:type="dxa"/>
            <w:noWrap w:val="0"/>
            <w:vAlign w:val="center"/>
          </w:tcPr>
          <w:p w14:paraId="549FE87A">
            <w:pPr>
              <w:adjustRightInd w:val="0"/>
              <w:snapToGrid w:val="0"/>
              <w:jc w:val="center"/>
              <w:rPr>
                <w:rFonts w:hint="eastAsia" w:ascii="宋体" w:hAnsi="宋体" w:eastAsia="宋体"/>
                <w:sz w:val="18"/>
                <w:szCs w:val="18"/>
                <w:lang w:eastAsia="zh-CN"/>
              </w:rPr>
            </w:pPr>
          </w:p>
        </w:tc>
        <w:tc>
          <w:tcPr>
            <w:tcW w:w="593" w:type="dxa"/>
            <w:noWrap w:val="0"/>
            <w:vAlign w:val="center"/>
          </w:tcPr>
          <w:p w14:paraId="5F04C3C0">
            <w:pPr>
              <w:adjustRightInd w:val="0"/>
              <w:snapToGrid w:val="0"/>
              <w:jc w:val="center"/>
              <w:rPr>
                <w:rFonts w:ascii="宋体" w:hAnsi="宋体"/>
                <w:sz w:val="18"/>
                <w:szCs w:val="18"/>
              </w:rPr>
            </w:pPr>
          </w:p>
        </w:tc>
        <w:tc>
          <w:tcPr>
            <w:tcW w:w="2978" w:type="dxa"/>
            <w:noWrap w:val="0"/>
            <w:vAlign w:val="top"/>
          </w:tcPr>
          <w:p w14:paraId="4434BD04">
            <w:pPr>
              <w:adjustRightInd w:val="0"/>
              <w:snapToGrid w:val="0"/>
              <w:rPr>
                <w:rFonts w:ascii="宋体" w:hAnsi="宋体"/>
                <w:sz w:val="18"/>
                <w:szCs w:val="18"/>
              </w:rPr>
            </w:pPr>
          </w:p>
        </w:tc>
        <w:tc>
          <w:tcPr>
            <w:tcW w:w="611" w:type="dxa"/>
            <w:noWrap w:val="0"/>
            <w:vAlign w:val="top"/>
          </w:tcPr>
          <w:p w14:paraId="29CE9728">
            <w:pPr>
              <w:adjustRightInd w:val="0"/>
              <w:snapToGrid w:val="0"/>
              <w:rPr>
                <w:rFonts w:ascii="宋体" w:hAnsi="宋体"/>
                <w:sz w:val="18"/>
                <w:szCs w:val="18"/>
              </w:rPr>
            </w:pPr>
          </w:p>
        </w:tc>
        <w:tc>
          <w:tcPr>
            <w:tcW w:w="1557" w:type="dxa"/>
            <w:noWrap w:val="0"/>
            <w:vAlign w:val="top"/>
          </w:tcPr>
          <w:p w14:paraId="152AAED3">
            <w:pPr>
              <w:adjustRightInd w:val="0"/>
              <w:snapToGrid w:val="0"/>
              <w:rPr>
                <w:rFonts w:ascii="宋体" w:hAnsi="宋体"/>
                <w:sz w:val="18"/>
                <w:szCs w:val="18"/>
              </w:rPr>
            </w:pPr>
          </w:p>
        </w:tc>
        <w:tc>
          <w:tcPr>
            <w:tcW w:w="1452" w:type="dxa"/>
            <w:noWrap w:val="0"/>
            <w:vAlign w:val="center"/>
          </w:tcPr>
          <w:p w14:paraId="079289E2">
            <w:pPr>
              <w:adjustRightInd w:val="0"/>
              <w:snapToGrid w:val="0"/>
              <w:jc w:val="center"/>
              <w:rPr>
                <w:rFonts w:hint="eastAsia" w:ascii="宋体" w:hAnsi="宋体" w:eastAsia="宋体"/>
                <w:sz w:val="18"/>
                <w:szCs w:val="18"/>
                <w:lang w:eastAsia="zh-CN"/>
              </w:rPr>
            </w:pPr>
          </w:p>
        </w:tc>
      </w:tr>
    </w:tbl>
    <w:p w14:paraId="36F812C3">
      <w:pPr>
        <w:pStyle w:val="168"/>
        <w:widowControl/>
        <w:numPr>
          <w:ilvl w:val="0"/>
          <w:numId w:val="0"/>
        </w:numPr>
        <w:spacing w:before="156" w:after="156"/>
        <w:jc w:val="both"/>
        <w:rPr>
          <w:rFonts w:hint="eastAsia"/>
        </w:rPr>
      </w:pPr>
    </w:p>
    <w:p w14:paraId="5B5DF13E">
      <w:pPr>
        <w:pStyle w:val="36"/>
        <w:ind w:firstLine="0" w:firstLineChars="0"/>
        <w:rPr>
          <w:rFonts w:hint="eastAsia"/>
        </w:rPr>
      </w:pPr>
      <w:r>
        <w:rPr>
          <w:rFonts w:hint="eastAsia" w:ascii="黑体" w:eastAsia="黑体"/>
        </w:rPr>
        <w:t>E.2</w:t>
      </w:r>
      <w:r>
        <w:rPr>
          <w:rFonts w:hint="eastAsia"/>
        </w:rPr>
        <w:t xml:space="preserve">  表E.2规定了常用气体的气瓶颜色标志。</w:t>
      </w:r>
    </w:p>
    <w:p w14:paraId="25237AB4">
      <w:pPr>
        <w:pStyle w:val="168"/>
        <w:numPr>
          <w:numId w:val="0"/>
        </w:numPr>
        <w:spacing w:before="156" w:after="156"/>
        <w:ind w:left="6237" w:leftChars="0" w:hanging="567" w:firstLineChars="0"/>
        <w:jc w:val="both"/>
        <w:rPr>
          <w:rFonts w:hint="eastAsia" w:hAnsi="黑体"/>
        </w:rPr>
      </w:pPr>
      <w:r>
        <w:rPr>
          <w:rFonts w:hint="eastAsia" w:ascii="黑体" w:hAnsi="黑体" w:eastAsia="黑体" w:cs="Times New Roman"/>
          <w:kern w:val="2"/>
          <w:sz w:val="21"/>
          <w:szCs w:val="21"/>
          <w:lang w:val="en-US" w:eastAsia="zh-CN" w:bidi="ar-SA"/>
        </w:rPr>
        <w:t>表</w:t>
      </w:r>
      <w:r>
        <w:rPr>
          <w:rFonts w:hint="eastAsia" w:hAnsi="黑体" w:cs="Times New Roman"/>
          <w:kern w:val="2"/>
          <w:sz w:val="21"/>
          <w:szCs w:val="21"/>
          <w:lang w:val="en-US" w:eastAsia="zh-CN" w:bidi="ar-SA"/>
        </w:rPr>
        <w:t>E</w:t>
      </w:r>
      <w:r>
        <w:rPr>
          <w:rFonts w:hint="eastAsia" w:ascii="黑体" w:hAnsi="黑体" w:eastAsia="黑体" w:cs="Times New Roman"/>
          <w:kern w:val="2"/>
          <w:sz w:val="21"/>
          <w:szCs w:val="21"/>
          <w:lang w:val="en-US" w:eastAsia="zh-CN" w:bidi="ar-SA"/>
        </w:rPr>
        <w:t>.</w:t>
      </w:r>
      <w:r>
        <w:rPr>
          <w:rFonts w:hint="eastAsia" w:hAnsi="黑体" w:cs="Times New Roman"/>
          <w:kern w:val="2"/>
          <w:sz w:val="21"/>
          <w:szCs w:val="21"/>
          <w:lang w:val="en-US" w:eastAsia="zh-CN" w:bidi="ar-SA"/>
        </w:rPr>
        <w:t>2</w:t>
      </w:r>
      <w:r>
        <w:rPr>
          <w:rFonts w:hint="eastAsia" w:ascii="黑体" w:hAnsi="黑体" w:eastAsia="黑体" w:cs="Times New Roman"/>
          <w:kern w:val="2"/>
          <w:sz w:val="21"/>
          <w:szCs w:val="21"/>
          <w:lang w:val="en-US" w:eastAsia="zh-CN" w:bidi="ar-SA"/>
        </w:rPr>
        <w:t>　</w:t>
      </w:r>
      <w:r>
        <w:rPr>
          <w:rFonts w:hint="eastAsia" w:hAnsi="黑体"/>
        </w:rPr>
        <w:t>常用气体的气瓶颜色标志</w:t>
      </w:r>
    </w:p>
    <w:tbl>
      <w:tblPr>
        <w:tblStyle w:val="47"/>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18"/>
        <w:gridCol w:w="918"/>
        <w:gridCol w:w="1999"/>
        <w:gridCol w:w="2524"/>
        <w:gridCol w:w="2628"/>
        <w:gridCol w:w="2524"/>
        <w:gridCol w:w="3362"/>
      </w:tblGrid>
      <w:tr w14:paraId="639B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tcBorders>
              <w:top w:val="single" w:color="auto" w:sz="4" w:space="0"/>
              <w:left w:val="single" w:color="auto" w:sz="4" w:space="0"/>
              <w:bottom w:val="single" w:color="auto" w:sz="4" w:space="0"/>
              <w:right w:val="single" w:color="auto" w:sz="4" w:space="0"/>
            </w:tcBorders>
            <w:noWrap w:val="0"/>
            <w:vAlign w:val="center"/>
          </w:tcPr>
          <w:p w14:paraId="6141552F">
            <w:pPr>
              <w:adjustRightInd w:val="0"/>
              <w:snapToGrid w:val="0"/>
              <w:jc w:val="center"/>
              <w:rPr>
                <w:rFonts w:ascii="宋体" w:hAnsi="宋体"/>
                <w:kern w:val="0"/>
                <w:sz w:val="18"/>
                <w:szCs w:val="18"/>
              </w:rPr>
            </w:pPr>
            <w:r>
              <w:rPr>
                <w:rFonts w:hint="eastAsia" w:ascii="宋体" w:hAnsi="宋体"/>
                <w:kern w:val="0"/>
                <w:sz w:val="18"/>
                <w:szCs w:val="18"/>
              </w:rPr>
              <w:t>序号</w:t>
            </w:r>
          </w:p>
        </w:tc>
        <w:tc>
          <w:tcPr>
            <w:tcW w:w="1836" w:type="dxa"/>
            <w:gridSpan w:val="2"/>
            <w:tcBorders>
              <w:top w:val="single" w:color="auto" w:sz="4" w:space="0"/>
              <w:left w:val="single" w:color="auto" w:sz="4" w:space="0"/>
              <w:bottom w:val="single" w:color="auto" w:sz="4" w:space="0"/>
              <w:right w:val="single" w:color="auto" w:sz="4" w:space="0"/>
            </w:tcBorders>
            <w:noWrap w:val="0"/>
            <w:vAlign w:val="center"/>
          </w:tcPr>
          <w:p w14:paraId="414240AA">
            <w:pPr>
              <w:adjustRightInd w:val="0"/>
              <w:snapToGrid w:val="0"/>
              <w:jc w:val="center"/>
              <w:rPr>
                <w:rFonts w:ascii="宋体" w:hAnsi="宋体"/>
                <w:kern w:val="0"/>
                <w:sz w:val="18"/>
                <w:szCs w:val="18"/>
              </w:rPr>
            </w:pPr>
            <w:r>
              <w:rPr>
                <w:rFonts w:hint="eastAsia" w:ascii="宋体" w:hAnsi="宋体"/>
                <w:kern w:val="0"/>
                <w:sz w:val="18"/>
                <w:szCs w:val="18"/>
              </w:rPr>
              <w:t>充装气体名称</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75FAD4A2">
            <w:pPr>
              <w:adjustRightInd w:val="0"/>
              <w:snapToGrid w:val="0"/>
              <w:jc w:val="center"/>
              <w:rPr>
                <w:rFonts w:ascii="宋体" w:hAnsi="宋体"/>
                <w:kern w:val="0"/>
                <w:sz w:val="18"/>
                <w:szCs w:val="18"/>
              </w:rPr>
            </w:pPr>
            <w:r>
              <w:rPr>
                <w:rFonts w:hint="eastAsia" w:ascii="宋体" w:hAnsi="宋体"/>
                <w:kern w:val="0"/>
                <w:sz w:val="18"/>
                <w:szCs w:val="18"/>
              </w:rPr>
              <w:t>瓶色</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EC47E99">
            <w:pPr>
              <w:adjustRightInd w:val="0"/>
              <w:snapToGrid w:val="0"/>
              <w:jc w:val="center"/>
              <w:rPr>
                <w:rFonts w:hint="eastAsia" w:ascii="宋体" w:hAnsi="宋体"/>
                <w:kern w:val="0"/>
                <w:sz w:val="18"/>
                <w:szCs w:val="18"/>
              </w:rPr>
            </w:pPr>
            <w:r>
              <w:rPr>
                <w:rFonts w:hint="eastAsia" w:ascii="宋体" w:hAnsi="宋体"/>
                <w:kern w:val="0"/>
                <w:sz w:val="18"/>
                <w:szCs w:val="18"/>
              </w:rPr>
              <w:t>颜色编号</w:t>
            </w:r>
          </w:p>
        </w:tc>
        <w:tc>
          <w:tcPr>
            <w:tcW w:w="2628" w:type="dxa"/>
            <w:tcBorders>
              <w:top w:val="single" w:color="auto" w:sz="4" w:space="0"/>
              <w:left w:val="single" w:color="auto" w:sz="4" w:space="0"/>
              <w:bottom w:val="single" w:color="auto" w:sz="4" w:space="0"/>
              <w:right w:val="single" w:color="auto" w:sz="4" w:space="0"/>
            </w:tcBorders>
            <w:noWrap w:val="0"/>
            <w:vAlign w:val="center"/>
          </w:tcPr>
          <w:p w14:paraId="3916C3FE">
            <w:pPr>
              <w:adjustRightInd w:val="0"/>
              <w:snapToGrid w:val="0"/>
              <w:jc w:val="center"/>
              <w:rPr>
                <w:rFonts w:ascii="宋体" w:hAnsi="宋体"/>
                <w:kern w:val="0"/>
                <w:sz w:val="18"/>
                <w:szCs w:val="18"/>
              </w:rPr>
            </w:pPr>
            <w:r>
              <w:rPr>
                <w:rFonts w:hint="eastAsia" w:ascii="宋体" w:hAnsi="宋体"/>
                <w:kern w:val="0"/>
                <w:sz w:val="18"/>
                <w:szCs w:val="18"/>
              </w:rPr>
              <w:t>字样</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5DDCE1C">
            <w:pPr>
              <w:adjustRightInd w:val="0"/>
              <w:snapToGrid w:val="0"/>
              <w:jc w:val="center"/>
              <w:rPr>
                <w:rFonts w:ascii="宋体" w:hAnsi="宋体"/>
                <w:kern w:val="0"/>
                <w:sz w:val="18"/>
                <w:szCs w:val="18"/>
              </w:rPr>
            </w:pPr>
            <w:r>
              <w:rPr>
                <w:rFonts w:hint="eastAsia" w:ascii="宋体" w:hAnsi="宋体"/>
                <w:kern w:val="0"/>
                <w:sz w:val="18"/>
                <w:szCs w:val="18"/>
              </w:rPr>
              <w:t>字色</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435C6AD4">
            <w:pPr>
              <w:adjustRightInd w:val="0"/>
              <w:snapToGrid w:val="0"/>
              <w:jc w:val="center"/>
              <w:rPr>
                <w:rFonts w:ascii="宋体" w:hAnsi="宋体"/>
                <w:kern w:val="0"/>
                <w:sz w:val="18"/>
                <w:szCs w:val="18"/>
              </w:rPr>
            </w:pPr>
            <w:r>
              <w:rPr>
                <w:rFonts w:hint="eastAsia" w:ascii="宋体" w:hAnsi="宋体"/>
                <w:kern w:val="0"/>
                <w:sz w:val="18"/>
                <w:szCs w:val="18"/>
              </w:rPr>
              <w:t>色环</w:t>
            </w:r>
          </w:p>
        </w:tc>
      </w:tr>
      <w:tr w14:paraId="5E52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tcBorders>
              <w:top w:val="single" w:color="auto" w:sz="4" w:space="0"/>
              <w:left w:val="single" w:color="auto" w:sz="4" w:space="0"/>
              <w:bottom w:val="single" w:color="auto" w:sz="4" w:space="0"/>
              <w:right w:val="single" w:color="auto" w:sz="4" w:space="0"/>
            </w:tcBorders>
            <w:noWrap w:val="0"/>
            <w:vAlign w:val="center"/>
          </w:tcPr>
          <w:p w14:paraId="29125180">
            <w:pPr>
              <w:adjustRightInd w:val="0"/>
              <w:snapToGrid w:val="0"/>
              <w:jc w:val="center"/>
              <w:rPr>
                <w:rFonts w:ascii="宋体" w:hAnsi="宋体"/>
                <w:kern w:val="0"/>
                <w:sz w:val="18"/>
                <w:szCs w:val="18"/>
              </w:rPr>
            </w:pPr>
            <w:r>
              <w:rPr>
                <w:rFonts w:hint="eastAsia" w:ascii="宋体" w:hAnsi="宋体"/>
                <w:kern w:val="0"/>
                <w:sz w:val="18"/>
                <w:szCs w:val="18"/>
              </w:rPr>
              <w:t>1</w:t>
            </w:r>
          </w:p>
        </w:tc>
        <w:tc>
          <w:tcPr>
            <w:tcW w:w="1836" w:type="dxa"/>
            <w:gridSpan w:val="2"/>
            <w:tcBorders>
              <w:top w:val="single" w:color="auto" w:sz="4" w:space="0"/>
              <w:left w:val="single" w:color="auto" w:sz="4" w:space="0"/>
              <w:bottom w:val="single" w:color="auto" w:sz="4" w:space="0"/>
              <w:right w:val="single" w:color="auto" w:sz="4" w:space="0"/>
            </w:tcBorders>
            <w:noWrap w:val="0"/>
            <w:vAlign w:val="center"/>
          </w:tcPr>
          <w:p w14:paraId="0AAD2E9A">
            <w:pPr>
              <w:adjustRightInd w:val="0"/>
              <w:snapToGrid w:val="0"/>
              <w:jc w:val="center"/>
              <w:rPr>
                <w:rFonts w:ascii="宋体" w:hAnsi="宋体"/>
                <w:kern w:val="0"/>
                <w:sz w:val="18"/>
                <w:szCs w:val="18"/>
              </w:rPr>
            </w:pPr>
            <w:r>
              <w:rPr>
                <w:rFonts w:hint="eastAsia" w:ascii="宋体" w:hAnsi="宋体"/>
                <w:kern w:val="0"/>
                <w:sz w:val="18"/>
                <w:szCs w:val="18"/>
              </w:rPr>
              <w:t>乙炔</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0E5FAF69">
            <w:pPr>
              <w:adjustRightInd w:val="0"/>
              <w:snapToGrid w:val="0"/>
              <w:jc w:val="center"/>
              <w:rPr>
                <w:rFonts w:ascii="宋体" w:hAnsi="宋体"/>
                <w:kern w:val="0"/>
                <w:sz w:val="18"/>
                <w:szCs w:val="18"/>
              </w:rPr>
            </w:pPr>
            <w:r>
              <w:rPr>
                <w:rFonts w:hint="eastAsia" w:ascii="宋体" w:hAnsi="宋体"/>
                <w:kern w:val="0"/>
                <w:sz w:val="18"/>
                <w:szCs w:val="18"/>
              </w:rPr>
              <w:t>白</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B2C2403">
            <w:pPr>
              <w:adjustRightInd w:val="0"/>
              <w:snapToGrid w:val="0"/>
              <w:jc w:val="center"/>
              <w:rPr>
                <w:rFonts w:hint="eastAsia" w:ascii="宋体" w:hAnsi="宋体"/>
                <w:kern w:val="0"/>
                <w:sz w:val="18"/>
                <w:szCs w:val="18"/>
              </w:rPr>
            </w:pPr>
          </w:p>
        </w:tc>
        <w:tc>
          <w:tcPr>
            <w:tcW w:w="2628" w:type="dxa"/>
            <w:tcBorders>
              <w:top w:val="single" w:color="auto" w:sz="4" w:space="0"/>
              <w:left w:val="single" w:color="auto" w:sz="4" w:space="0"/>
              <w:bottom w:val="single" w:color="auto" w:sz="4" w:space="0"/>
              <w:right w:val="single" w:color="auto" w:sz="4" w:space="0"/>
            </w:tcBorders>
            <w:noWrap w:val="0"/>
            <w:vAlign w:val="center"/>
          </w:tcPr>
          <w:p w14:paraId="2FE3F082">
            <w:pPr>
              <w:adjustRightInd w:val="0"/>
              <w:snapToGrid w:val="0"/>
              <w:jc w:val="center"/>
              <w:rPr>
                <w:rFonts w:ascii="宋体" w:hAnsi="宋体"/>
                <w:kern w:val="0"/>
                <w:sz w:val="18"/>
                <w:szCs w:val="18"/>
              </w:rPr>
            </w:pPr>
            <w:r>
              <w:rPr>
                <w:rFonts w:hint="eastAsia" w:ascii="宋体" w:hAnsi="宋体"/>
                <w:kern w:val="0"/>
                <w:sz w:val="18"/>
                <w:szCs w:val="18"/>
              </w:rPr>
              <w:t>乙炔不可近火</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F386E70">
            <w:pPr>
              <w:adjustRightInd w:val="0"/>
              <w:snapToGrid w:val="0"/>
              <w:jc w:val="center"/>
              <w:rPr>
                <w:rFonts w:ascii="宋体" w:hAnsi="宋体"/>
                <w:kern w:val="0"/>
                <w:sz w:val="18"/>
                <w:szCs w:val="18"/>
              </w:rPr>
            </w:pPr>
            <w:r>
              <w:rPr>
                <w:rFonts w:hint="eastAsia" w:ascii="宋体" w:hAnsi="宋体"/>
                <w:kern w:val="0"/>
                <w:sz w:val="18"/>
                <w:szCs w:val="18"/>
              </w:rPr>
              <w:t>大红</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29DED71A">
            <w:pPr>
              <w:adjustRightInd w:val="0"/>
              <w:snapToGrid w:val="0"/>
              <w:jc w:val="center"/>
              <w:rPr>
                <w:rFonts w:ascii="宋体" w:hAnsi="宋体"/>
                <w:kern w:val="0"/>
                <w:sz w:val="18"/>
                <w:szCs w:val="18"/>
              </w:rPr>
            </w:pPr>
          </w:p>
        </w:tc>
      </w:tr>
      <w:tr w14:paraId="4C26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tcBorders>
              <w:top w:val="single" w:color="auto" w:sz="4" w:space="0"/>
              <w:left w:val="single" w:color="auto" w:sz="4" w:space="0"/>
              <w:bottom w:val="single" w:color="auto" w:sz="4" w:space="0"/>
              <w:right w:val="single" w:color="auto" w:sz="4" w:space="0"/>
            </w:tcBorders>
            <w:noWrap w:val="0"/>
            <w:vAlign w:val="center"/>
          </w:tcPr>
          <w:p w14:paraId="584261BF">
            <w:pPr>
              <w:adjustRightInd w:val="0"/>
              <w:snapToGrid w:val="0"/>
              <w:jc w:val="center"/>
              <w:rPr>
                <w:rFonts w:ascii="宋体" w:hAnsi="宋体"/>
                <w:kern w:val="0"/>
                <w:sz w:val="18"/>
                <w:szCs w:val="18"/>
              </w:rPr>
            </w:pPr>
            <w:r>
              <w:rPr>
                <w:rFonts w:hint="eastAsia" w:ascii="宋体" w:hAnsi="宋体"/>
                <w:kern w:val="0"/>
                <w:sz w:val="18"/>
                <w:szCs w:val="18"/>
              </w:rPr>
              <w:t>2</w:t>
            </w:r>
          </w:p>
        </w:tc>
        <w:tc>
          <w:tcPr>
            <w:tcW w:w="1836" w:type="dxa"/>
            <w:gridSpan w:val="2"/>
            <w:tcBorders>
              <w:top w:val="single" w:color="auto" w:sz="4" w:space="0"/>
              <w:left w:val="single" w:color="auto" w:sz="4" w:space="0"/>
              <w:bottom w:val="single" w:color="auto" w:sz="4" w:space="0"/>
              <w:right w:val="single" w:color="auto" w:sz="4" w:space="0"/>
            </w:tcBorders>
            <w:noWrap w:val="0"/>
            <w:vAlign w:val="center"/>
          </w:tcPr>
          <w:p w14:paraId="072DD420">
            <w:pPr>
              <w:adjustRightInd w:val="0"/>
              <w:snapToGrid w:val="0"/>
              <w:jc w:val="center"/>
              <w:rPr>
                <w:rFonts w:ascii="宋体" w:hAnsi="宋体"/>
                <w:kern w:val="0"/>
                <w:sz w:val="18"/>
                <w:szCs w:val="18"/>
              </w:rPr>
            </w:pPr>
            <w:r>
              <w:rPr>
                <w:rFonts w:hint="eastAsia" w:ascii="宋体" w:hAnsi="宋体"/>
                <w:kern w:val="0"/>
                <w:sz w:val="18"/>
                <w:szCs w:val="18"/>
              </w:rPr>
              <w:t>氧</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0D21D8CB">
            <w:pPr>
              <w:adjustRightInd w:val="0"/>
              <w:snapToGrid w:val="0"/>
              <w:jc w:val="center"/>
              <w:rPr>
                <w:rFonts w:ascii="宋体" w:hAnsi="宋体"/>
                <w:kern w:val="0"/>
                <w:sz w:val="18"/>
                <w:szCs w:val="18"/>
              </w:rPr>
            </w:pPr>
            <w:r>
              <w:rPr>
                <w:rFonts w:hint="eastAsia" w:ascii="宋体" w:hAnsi="宋体"/>
                <w:kern w:val="0"/>
                <w:sz w:val="18"/>
                <w:szCs w:val="18"/>
              </w:rPr>
              <w:t>淡兰</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E48E495">
            <w:pPr>
              <w:adjustRightInd w:val="0"/>
              <w:snapToGrid w:val="0"/>
              <w:jc w:val="center"/>
              <w:rPr>
                <w:rFonts w:hint="eastAsia" w:ascii="宋体" w:hAnsi="宋体"/>
                <w:kern w:val="0"/>
                <w:sz w:val="18"/>
                <w:szCs w:val="18"/>
              </w:rPr>
            </w:pPr>
            <w:r>
              <w:rPr>
                <w:rFonts w:hint="eastAsia" w:ascii="宋体" w:hAnsi="宋体"/>
                <w:kern w:val="0"/>
                <w:sz w:val="18"/>
                <w:szCs w:val="18"/>
              </w:rPr>
              <w:t>PB06</w:t>
            </w:r>
          </w:p>
        </w:tc>
        <w:tc>
          <w:tcPr>
            <w:tcW w:w="2628" w:type="dxa"/>
            <w:tcBorders>
              <w:top w:val="single" w:color="auto" w:sz="4" w:space="0"/>
              <w:left w:val="single" w:color="auto" w:sz="4" w:space="0"/>
              <w:bottom w:val="single" w:color="auto" w:sz="4" w:space="0"/>
              <w:right w:val="single" w:color="auto" w:sz="4" w:space="0"/>
            </w:tcBorders>
            <w:noWrap w:val="0"/>
            <w:vAlign w:val="center"/>
          </w:tcPr>
          <w:p w14:paraId="57622CE6">
            <w:pPr>
              <w:adjustRightInd w:val="0"/>
              <w:snapToGrid w:val="0"/>
              <w:jc w:val="center"/>
              <w:rPr>
                <w:rFonts w:ascii="宋体" w:hAnsi="宋体"/>
                <w:kern w:val="0"/>
                <w:sz w:val="18"/>
                <w:szCs w:val="18"/>
              </w:rPr>
            </w:pPr>
            <w:r>
              <w:rPr>
                <w:rFonts w:hint="eastAsia" w:ascii="宋体" w:hAnsi="宋体"/>
                <w:kern w:val="0"/>
                <w:sz w:val="18"/>
                <w:szCs w:val="18"/>
              </w:rPr>
              <w:t>氧</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6374C78">
            <w:pPr>
              <w:adjustRightInd w:val="0"/>
              <w:snapToGrid w:val="0"/>
              <w:jc w:val="center"/>
              <w:rPr>
                <w:rFonts w:ascii="宋体" w:hAnsi="宋体"/>
                <w:kern w:val="0"/>
                <w:sz w:val="18"/>
                <w:szCs w:val="18"/>
              </w:rPr>
            </w:pPr>
            <w:r>
              <w:rPr>
                <w:rFonts w:hint="eastAsia" w:ascii="宋体" w:hAnsi="宋体"/>
                <w:kern w:val="0"/>
                <w:sz w:val="18"/>
                <w:szCs w:val="18"/>
              </w:rPr>
              <w:t>黑</w:t>
            </w:r>
          </w:p>
        </w:tc>
        <w:tc>
          <w:tcPr>
            <w:tcW w:w="3362" w:type="dxa"/>
            <w:vMerge w:val="restart"/>
            <w:tcBorders>
              <w:top w:val="single" w:color="auto" w:sz="4" w:space="0"/>
              <w:left w:val="single" w:color="auto" w:sz="4" w:space="0"/>
              <w:right w:val="single" w:color="auto" w:sz="4" w:space="0"/>
            </w:tcBorders>
            <w:noWrap w:val="0"/>
            <w:vAlign w:val="center"/>
          </w:tcPr>
          <w:p w14:paraId="05446AE2">
            <w:pPr>
              <w:adjustRightInd w:val="0"/>
              <w:snapToGrid w:val="0"/>
              <w:jc w:val="center"/>
              <w:rPr>
                <w:rFonts w:hint="eastAsia" w:ascii="宋体" w:hAnsi="宋体"/>
                <w:kern w:val="0"/>
                <w:sz w:val="18"/>
                <w:szCs w:val="18"/>
              </w:rPr>
            </w:pPr>
            <w:r>
              <w:rPr>
                <w:rFonts w:hint="eastAsia" w:ascii="宋体" w:hAnsi="宋体"/>
                <w:kern w:val="0"/>
                <w:sz w:val="18"/>
                <w:szCs w:val="18"/>
              </w:rPr>
              <w:t>P=20，白色单环</w:t>
            </w:r>
          </w:p>
          <w:p w14:paraId="629CC6D7">
            <w:pPr>
              <w:adjustRightInd w:val="0"/>
              <w:snapToGrid w:val="0"/>
              <w:jc w:val="center"/>
              <w:rPr>
                <w:rFonts w:ascii="宋体" w:hAnsi="宋体"/>
                <w:kern w:val="0"/>
                <w:sz w:val="18"/>
                <w:szCs w:val="18"/>
              </w:rPr>
            </w:pPr>
            <w:r>
              <w:rPr>
                <w:rFonts w:hint="eastAsia" w:ascii="宋体" w:hAnsi="宋体"/>
                <w:kern w:val="0"/>
                <w:sz w:val="18"/>
                <w:szCs w:val="18"/>
              </w:rPr>
              <w:t>P=30，白色双环</w:t>
            </w:r>
          </w:p>
        </w:tc>
      </w:tr>
      <w:tr w14:paraId="3A8F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tcBorders>
              <w:top w:val="single" w:color="auto" w:sz="4" w:space="0"/>
              <w:left w:val="single" w:color="auto" w:sz="4" w:space="0"/>
              <w:bottom w:val="single" w:color="auto" w:sz="4" w:space="0"/>
              <w:right w:val="single" w:color="auto" w:sz="4" w:space="0"/>
            </w:tcBorders>
            <w:noWrap w:val="0"/>
            <w:vAlign w:val="center"/>
          </w:tcPr>
          <w:p w14:paraId="5FB2937E">
            <w:pPr>
              <w:adjustRightInd w:val="0"/>
              <w:snapToGrid w:val="0"/>
              <w:jc w:val="center"/>
              <w:rPr>
                <w:rFonts w:hint="eastAsia" w:ascii="宋体" w:hAnsi="宋体" w:eastAsia="宋体"/>
                <w:kern w:val="0"/>
                <w:sz w:val="18"/>
                <w:szCs w:val="18"/>
                <w:lang w:eastAsia="zh-CN"/>
              </w:rPr>
            </w:pPr>
            <w:r>
              <w:rPr>
                <w:rFonts w:hint="eastAsia" w:ascii="宋体" w:hAnsi="宋体"/>
                <w:kern w:val="0"/>
                <w:sz w:val="18"/>
                <w:szCs w:val="18"/>
                <w:lang w:val="en-US" w:eastAsia="zh-CN"/>
              </w:rPr>
              <w:t>3</w:t>
            </w:r>
          </w:p>
        </w:tc>
        <w:tc>
          <w:tcPr>
            <w:tcW w:w="1836" w:type="dxa"/>
            <w:gridSpan w:val="2"/>
            <w:tcBorders>
              <w:top w:val="single" w:color="auto" w:sz="4" w:space="0"/>
              <w:left w:val="single" w:color="auto" w:sz="4" w:space="0"/>
              <w:bottom w:val="single" w:color="auto" w:sz="4" w:space="0"/>
              <w:right w:val="single" w:color="auto" w:sz="4" w:space="0"/>
            </w:tcBorders>
            <w:noWrap w:val="0"/>
            <w:vAlign w:val="center"/>
          </w:tcPr>
          <w:p w14:paraId="65338F0E">
            <w:pPr>
              <w:adjustRightInd w:val="0"/>
              <w:snapToGrid w:val="0"/>
              <w:jc w:val="center"/>
              <w:rPr>
                <w:rFonts w:ascii="宋体" w:hAnsi="宋体"/>
                <w:kern w:val="0"/>
                <w:sz w:val="18"/>
                <w:szCs w:val="18"/>
              </w:rPr>
            </w:pPr>
            <w:r>
              <w:rPr>
                <w:rFonts w:hint="eastAsia" w:ascii="宋体" w:hAnsi="宋体"/>
                <w:kern w:val="0"/>
                <w:sz w:val="18"/>
                <w:szCs w:val="18"/>
              </w:rPr>
              <w:t>空气</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09146054">
            <w:pPr>
              <w:adjustRightInd w:val="0"/>
              <w:snapToGrid w:val="0"/>
              <w:jc w:val="center"/>
              <w:rPr>
                <w:rFonts w:ascii="宋体" w:hAnsi="宋体"/>
                <w:kern w:val="0"/>
                <w:sz w:val="18"/>
                <w:szCs w:val="18"/>
              </w:rPr>
            </w:pPr>
            <w:r>
              <w:rPr>
                <w:rFonts w:hint="eastAsia" w:ascii="宋体" w:hAnsi="宋体"/>
                <w:kern w:val="0"/>
                <w:sz w:val="18"/>
                <w:szCs w:val="18"/>
              </w:rPr>
              <w:t>黑</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2E481F7">
            <w:pPr>
              <w:adjustRightInd w:val="0"/>
              <w:snapToGrid w:val="0"/>
              <w:jc w:val="center"/>
              <w:rPr>
                <w:rFonts w:hint="eastAsia" w:ascii="宋体" w:hAnsi="宋体"/>
                <w:kern w:val="0"/>
                <w:sz w:val="18"/>
                <w:szCs w:val="18"/>
              </w:rPr>
            </w:pPr>
          </w:p>
        </w:tc>
        <w:tc>
          <w:tcPr>
            <w:tcW w:w="2628" w:type="dxa"/>
            <w:tcBorders>
              <w:top w:val="single" w:color="auto" w:sz="4" w:space="0"/>
              <w:left w:val="single" w:color="auto" w:sz="4" w:space="0"/>
              <w:bottom w:val="single" w:color="auto" w:sz="4" w:space="0"/>
              <w:right w:val="single" w:color="auto" w:sz="4" w:space="0"/>
            </w:tcBorders>
            <w:noWrap w:val="0"/>
            <w:vAlign w:val="center"/>
          </w:tcPr>
          <w:p w14:paraId="698A55FB">
            <w:pPr>
              <w:adjustRightInd w:val="0"/>
              <w:snapToGrid w:val="0"/>
              <w:jc w:val="center"/>
              <w:rPr>
                <w:rFonts w:ascii="宋体" w:hAnsi="宋体"/>
                <w:kern w:val="0"/>
                <w:sz w:val="18"/>
                <w:szCs w:val="18"/>
              </w:rPr>
            </w:pPr>
            <w:r>
              <w:rPr>
                <w:rFonts w:hint="eastAsia" w:ascii="宋体" w:hAnsi="宋体"/>
                <w:kern w:val="0"/>
                <w:sz w:val="18"/>
                <w:szCs w:val="18"/>
              </w:rPr>
              <w:t>空气</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CBA3B21">
            <w:pPr>
              <w:adjustRightInd w:val="0"/>
              <w:snapToGrid w:val="0"/>
              <w:jc w:val="center"/>
              <w:rPr>
                <w:rFonts w:ascii="宋体" w:hAnsi="宋体"/>
                <w:kern w:val="0"/>
                <w:sz w:val="18"/>
                <w:szCs w:val="18"/>
              </w:rPr>
            </w:pPr>
            <w:r>
              <w:rPr>
                <w:rFonts w:hint="eastAsia" w:ascii="宋体" w:hAnsi="宋体"/>
                <w:kern w:val="0"/>
                <w:sz w:val="18"/>
                <w:szCs w:val="18"/>
              </w:rPr>
              <w:t>白</w:t>
            </w:r>
          </w:p>
        </w:tc>
        <w:tc>
          <w:tcPr>
            <w:tcW w:w="3362" w:type="dxa"/>
            <w:vMerge w:val="continue"/>
            <w:tcBorders>
              <w:left w:val="single" w:color="auto" w:sz="4" w:space="0"/>
              <w:bottom w:val="single" w:color="auto" w:sz="4" w:space="0"/>
              <w:right w:val="single" w:color="auto" w:sz="4" w:space="0"/>
            </w:tcBorders>
            <w:noWrap w:val="0"/>
            <w:vAlign w:val="center"/>
          </w:tcPr>
          <w:p w14:paraId="0AACF464">
            <w:pPr>
              <w:adjustRightInd w:val="0"/>
              <w:snapToGrid w:val="0"/>
              <w:jc w:val="center"/>
              <w:rPr>
                <w:rFonts w:ascii="宋体" w:hAnsi="宋体"/>
                <w:kern w:val="0"/>
                <w:sz w:val="18"/>
                <w:szCs w:val="18"/>
              </w:rPr>
            </w:pPr>
          </w:p>
        </w:tc>
      </w:tr>
      <w:tr w14:paraId="05F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Merge w:val="restart"/>
            <w:tcBorders>
              <w:top w:val="single" w:color="auto" w:sz="4" w:space="0"/>
              <w:left w:val="single" w:color="auto" w:sz="4" w:space="0"/>
              <w:right w:val="single" w:color="auto" w:sz="4" w:space="0"/>
            </w:tcBorders>
            <w:noWrap w:val="0"/>
            <w:vAlign w:val="center"/>
          </w:tcPr>
          <w:p w14:paraId="5D0D3189">
            <w:pPr>
              <w:adjustRightInd w:val="0"/>
              <w:snapToGrid w:val="0"/>
              <w:jc w:val="center"/>
              <w:rPr>
                <w:rFonts w:hint="eastAsia" w:ascii="宋体" w:hAnsi="宋体" w:eastAsia="宋体"/>
                <w:kern w:val="0"/>
                <w:sz w:val="18"/>
                <w:szCs w:val="18"/>
                <w:lang w:eastAsia="zh-CN"/>
              </w:rPr>
            </w:pPr>
            <w:r>
              <w:rPr>
                <w:rFonts w:hint="eastAsia" w:ascii="宋体" w:hAnsi="宋体"/>
                <w:kern w:val="0"/>
                <w:sz w:val="18"/>
                <w:szCs w:val="18"/>
                <w:lang w:val="en-US" w:eastAsia="zh-CN"/>
              </w:rPr>
              <w:t>4</w:t>
            </w:r>
          </w:p>
        </w:tc>
        <w:tc>
          <w:tcPr>
            <w:tcW w:w="918" w:type="dxa"/>
            <w:vMerge w:val="restart"/>
            <w:tcBorders>
              <w:top w:val="single" w:color="auto" w:sz="4" w:space="0"/>
              <w:left w:val="single" w:color="auto" w:sz="4" w:space="0"/>
              <w:right w:val="single" w:color="auto" w:sz="4" w:space="0"/>
            </w:tcBorders>
            <w:noWrap w:val="0"/>
            <w:vAlign w:val="center"/>
          </w:tcPr>
          <w:p w14:paraId="646F7598">
            <w:pPr>
              <w:adjustRightInd w:val="0"/>
              <w:snapToGrid w:val="0"/>
              <w:jc w:val="center"/>
              <w:rPr>
                <w:rFonts w:hint="eastAsia" w:ascii="宋体" w:hAnsi="宋体"/>
                <w:kern w:val="0"/>
                <w:sz w:val="18"/>
                <w:szCs w:val="18"/>
              </w:rPr>
            </w:pPr>
            <w:r>
              <w:rPr>
                <w:rFonts w:hint="eastAsia" w:ascii="宋体" w:hAnsi="宋体"/>
                <w:kern w:val="0"/>
                <w:sz w:val="18"/>
                <w:szCs w:val="18"/>
              </w:rPr>
              <w:t>液化石油气</w:t>
            </w:r>
          </w:p>
        </w:tc>
        <w:tc>
          <w:tcPr>
            <w:tcW w:w="918" w:type="dxa"/>
            <w:tcBorders>
              <w:top w:val="single" w:color="auto" w:sz="4" w:space="0"/>
              <w:left w:val="single" w:color="auto" w:sz="4" w:space="0"/>
              <w:bottom w:val="single" w:color="auto" w:sz="4" w:space="0"/>
              <w:right w:val="single" w:color="auto" w:sz="4" w:space="0"/>
            </w:tcBorders>
            <w:noWrap w:val="0"/>
            <w:vAlign w:val="center"/>
          </w:tcPr>
          <w:p w14:paraId="272F8C6B">
            <w:pPr>
              <w:adjustRightInd w:val="0"/>
              <w:snapToGrid w:val="0"/>
              <w:jc w:val="center"/>
              <w:rPr>
                <w:rFonts w:hint="eastAsia" w:ascii="宋体" w:hAnsi="宋体"/>
                <w:kern w:val="0"/>
                <w:sz w:val="18"/>
                <w:szCs w:val="18"/>
              </w:rPr>
            </w:pPr>
            <w:r>
              <w:rPr>
                <w:rFonts w:hint="eastAsia" w:ascii="宋体" w:hAnsi="宋体"/>
                <w:kern w:val="0"/>
                <w:sz w:val="18"/>
                <w:szCs w:val="18"/>
              </w:rPr>
              <w:t>工业用</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0B0D2D20">
            <w:pPr>
              <w:adjustRightInd w:val="0"/>
              <w:snapToGrid w:val="0"/>
              <w:jc w:val="center"/>
              <w:rPr>
                <w:rFonts w:hint="eastAsia" w:ascii="宋体" w:hAnsi="宋体"/>
                <w:kern w:val="0"/>
                <w:sz w:val="18"/>
                <w:szCs w:val="18"/>
              </w:rPr>
            </w:pPr>
            <w:r>
              <w:rPr>
                <w:rFonts w:hint="eastAsia" w:ascii="宋体" w:hAnsi="宋体"/>
                <w:kern w:val="0"/>
                <w:sz w:val="18"/>
                <w:szCs w:val="18"/>
              </w:rPr>
              <w:t>棕</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4632EA1">
            <w:pPr>
              <w:adjustRightInd w:val="0"/>
              <w:snapToGrid w:val="0"/>
              <w:jc w:val="center"/>
              <w:rPr>
                <w:rFonts w:ascii="宋体" w:hAnsi="宋体"/>
                <w:kern w:val="0"/>
                <w:sz w:val="18"/>
                <w:szCs w:val="18"/>
              </w:rPr>
            </w:pPr>
            <w:r>
              <w:rPr>
                <w:rFonts w:ascii="宋体" w:hAnsi="宋体"/>
                <w:kern w:val="0"/>
                <w:sz w:val="18"/>
                <w:szCs w:val="18"/>
              </w:rPr>
              <w:t>YR05</w:t>
            </w:r>
          </w:p>
        </w:tc>
        <w:tc>
          <w:tcPr>
            <w:tcW w:w="2628" w:type="dxa"/>
            <w:tcBorders>
              <w:top w:val="single" w:color="auto" w:sz="4" w:space="0"/>
              <w:left w:val="single" w:color="auto" w:sz="4" w:space="0"/>
              <w:bottom w:val="single" w:color="auto" w:sz="4" w:space="0"/>
              <w:right w:val="single" w:color="auto" w:sz="4" w:space="0"/>
            </w:tcBorders>
            <w:noWrap w:val="0"/>
            <w:vAlign w:val="center"/>
          </w:tcPr>
          <w:p w14:paraId="2F97A73E">
            <w:pPr>
              <w:adjustRightInd w:val="0"/>
              <w:snapToGrid w:val="0"/>
              <w:jc w:val="center"/>
              <w:rPr>
                <w:rFonts w:hint="eastAsia" w:ascii="宋体" w:hAnsi="宋体"/>
                <w:kern w:val="0"/>
                <w:sz w:val="18"/>
                <w:szCs w:val="18"/>
              </w:rPr>
            </w:pPr>
            <w:r>
              <w:rPr>
                <w:rFonts w:hint="eastAsia" w:ascii="宋体" w:hAnsi="宋体"/>
                <w:kern w:val="0"/>
                <w:sz w:val="18"/>
                <w:szCs w:val="18"/>
              </w:rPr>
              <w:t>液化石油气</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CCBBC91">
            <w:pPr>
              <w:adjustRightInd w:val="0"/>
              <w:snapToGrid w:val="0"/>
              <w:jc w:val="center"/>
              <w:rPr>
                <w:rFonts w:hint="eastAsia" w:ascii="宋体" w:hAnsi="宋体"/>
                <w:kern w:val="0"/>
                <w:sz w:val="18"/>
                <w:szCs w:val="18"/>
              </w:rPr>
            </w:pPr>
            <w:r>
              <w:rPr>
                <w:rFonts w:hint="eastAsia" w:ascii="宋体" w:hAnsi="宋体"/>
                <w:kern w:val="0"/>
                <w:sz w:val="18"/>
                <w:szCs w:val="18"/>
              </w:rPr>
              <w:t>白</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52A44662">
            <w:pPr>
              <w:adjustRightInd w:val="0"/>
              <w:snapToGrid w:val="0"/>
              <w:jc w:val="center"/>
              <w:rPr>
                <w:rFonts w:ascii="宋体" w:hAnsi="宋体"/>
                <w:kern w:val="0"/>
                <w:sz w:val="18"/>
                <w:szCs w:val="18"/>
              </w:rPr>
            </w:pPr>
          </w:p>
        </w:tc>
      </w:tr>
      <w:tr w14:paraId="7BC0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0" w:type="dxa"/>
            <w:vMerge w:val="continue"/>
            <w:tcBorders>
              <w:left w:val="single" w:color="auto" w:sz="4" w:space="0"/>
              <w:bottom w:val="single" w:color="auto" w:sz="4" w:space="0"/>
              <w:right w:val="single" w:color="auto" w:sz="4" w:space="0"/>
            </w:tcBorders>
            <w:noWrap w:val="0"/>
            <w:vAlign w:val="center"/>
          </w:tcPr>
          <w:p w14:paraId="130224FC">
            <w:pPr>
              <w:adjustRightInd w:val="0"/>
              <w:snapToGrid w:val="0"/>
              <w:jc w:val="center"/>
              <w:rPr>
                <w:rFonts w:hint="eastAsia" w:ascii="宋体" w:hAnsi="宋体"/>
                <w:kern w:val="0"/>
                <w:sz w:val="18"/>
                <w:szCs w:val="18"/>
              </w:rPr>
            </w:pPr>
          </w:p>
        </w:tc>
        <w:tc>
          <w:tcPr>
            <w:tcW w:w="918" w:type="dxa"/>
            <w:vMerge w:val="continue"/>
            <w:tcBorders>
              <w:left w:val="single" w:color="auto" w:sz="4" w:space="0"/>
              <w:bottom w:val="single" w:color="auto" w:sz="4" w:space="0"/>
              <w:right w:val="single" w:color="auto" w:sz="4" w:space="0"/>
            </w:tcBorders>
            <w:noWrap w:val="0"/>
            <w:vAlign w:val="center"/>
          </w:tcPr>
          <w:p w14:paraId="5CAC1943">
            <w:pPr>
              <w:rPr>
                <w:rFonts w:hint="eastAsia" w:ascii="宋体" w:hAnsi="宋体"/>
                <w:kern w:val="0"/>
                <w:sz w:val="18"/>
                <w:szCs w:val="18"/>
              </w:rPr>
            </w:pPr>
          </w:p>
        </w:tc>
        <w:tc>
          <w:tcPr>
            <w:tcW w:w="918" w:type="dxa"/>
            <w:tcBorders>
              <w:top w:val="single" w:color="auto" w:sz="4" w:space="0"/>
              <w:left w:val="single" w:color="auto" w:sz="4" w:space="0"/>
              <w:bottom w:val="single" w:color="auto" w:sz="4" w:space="0"/>
              <w:right w:val="single" w:color="auto" w:sz="4" w:space="0"/>
            </w:tcBorders>
            <w:noWrap w:val="0"/>
            <w:vAlign w:val="center"/>
          </w:tcPr>
          <w:p w14:paraId="43E5EB11">
            <w:pPr>
              <w:adjustRightInd w:val="0"/>
              <w:snapToGrid w:val="0"/>
              <w:jc w:val="center"/>
              <w:rPr>
                <w:rFonts w:hint="eastAsia" w:ascii="宋体" w:hAnsi="宋体"/>
                <w:kern w:val="0"/>
                <w:sz w:val="18"/>
                <w:szCs w:val="18"/>
              </w:rPr>
            </w:pPr>
            <w:r>
              <w:rPr>
                <w:rFonts w:hint="eastAsia" w:ascii="宋体" w:hAnsi="宋体"/>
                <w:kern w:val="0"/>
                <w:sz w:val="18"/>
                <w:szCs w:val="18"/>
              </w:rPr>
              <w:t>民用</w:t>
            </w:r>
          </w:p>
        </w:tc>
        <w:tc>
          <w:tcPr>
            <w:tcW w:w="1999" w:type="dxa"/>
            <w:tcBorders>
              <w:top w:val="single" w:color="auto" w:sz="4" w:space="0"/>
              <w:left w:val="single" w:color="auto" w:sz="4" w:space="0"/>
              <w:bottom w:val="single" w:color="auto" w:sz="4" w:space="0"/>
              <w:right w:val="single" w:color="auto" w:sz="4" w:space="0"/>
            </w:tcBorders>
            <w:noWrap w:val="0"/>
            <w:vAlign w:val="center"/>
          </w:tcPr>
          <w:p w14:paraId="50D37EAE">
            <w:pPr>
              <w:adjustRightInd w:val="0"/>
              <w:snapToGrid w:val="0"/>
              <w:jc w:val="center"/>
              <w:rPr>
                <w:rFonts w:hint="eastAsia" w:ascii="宋体" w:hAnsi="宋体"/>
                <w:kern w:val="0"/>
                <w:sz w:val="18"/>
                <w:szCs w:val="18"/>
              </w:rPr>
            </w:pPr>
            <w:r>
              <w:rPr>
                <w:rFonts w:hint="eastAsia" w:ascii="宋体" w:hAnsi="宋体"/>
                <w:kern w:val="0"/>
                <w:sz w:val="18"/>
                <w:szCs w:val="18"/>
              </w:rPr>
              <w:t>银灰</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1C96D51B">
            <w:pPr>
              <w:adjustRightInd w:val="0"/>
              <w:snapToGrid w:val="0"/>
              <w:jc w:val="center"/>
              <w:rPr>
                <w:rFonts w:ascii="宋体" w:hAnsi="宋体"/>
                <w:kern w:val="0"/>
                <w:sz w:val="18"/>
                <w:szCs w:val="18"/>
              </w:rPr>
            </w:pPr>
            <w:r>
              <w:rPr>
                <w:rFonts w:hint="eastAsia" w:ascii="宋体" w:hAnsi="宋体"/>
                <w:kern w:val="0"/>
                <w:sz w:val="18"/>
                <w:szCs w:val="18"/>
              </w:rPr>
              <w:t>B04</w:t>
            </w:r>
          </w:p>
        </w:tc>
        <w:tc>
          <w:tcPr>
            <w:tcW w:w="2628" w:type="dxa"/>
            <w:tcBorders>
              <w:top w:val="single" w:color="auto" w:sz="4" w:space="0"/>
              <w:left w:val="single" w:color="auto" w:sz="4" w:space="0"/>
              <w:bottom w:val="single" w:color="auto" w:sz="4" w:space="0"/>
              <w:right w:val="single" w:color="auto" w:sz="4" w:space="0"/>
            </w:tcBorders>
            <w:noWrap w:val="0"/>
            <w:vAlign w:val="center"/>
          </w:tcPr>
          <w:p w14:paraId="6A0AF61B">
            <w:pPr>
              <w:adjustRightInd w:val="0"/>
              <w:snapToGrid w:val="0"/>
              <w:jc w:val="center"/>
              <w:rPr>
                <w:rFonts w:hint="eastAsia" w:ascii="宋体" w:hAnsi="宋体"/>
                <w:kern w:val="0"/>
                <w:sz w:val="18"/>
                <w:szCs w:val="18"/>
              </w:rPr>
            </w:pPr>
            <w:r>
              <w:rPr>
                <w:rFonts w:hint="eastAsia" w:ascii="宋体" w:hAnsi="宋体"/>
                <w:kern w:val="0"/>
                <w:sz w:val="18"/>
                <w:szCs w:val="18"/>
              </w:rPr>
              <w:t>液化石油气</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10F194AF">
            <w:pPr>
              <w:adjustRightInd w:val="0"/>
              <w:snapToGrid w:val="0"/>
              <w:jc w:val="center"/>
              <w:rPr>
                <w:rFonts w:hint="eastAsia" w:ascii="宋体" w:hAnsi="宋体"/>
                <w:kern w:val="0"/>
                <w:sz w:val="18"/>
                <w:szCs w:val="18"/>
              </w:rPr>
            </w:pPr>
            <w:r>
              <w:rPr>
                <w:rFonts w:hint="eastAsia" w:ascii="宋体" w:hAnsi="宋体"/>
                <w:kern w:val="0"/>
                <w:sz w:val="18"/>
                <w:szCs w:val="18"/>
              </w:rPr>
              <w:t>大红</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0CDE2597">
            <w:pPr>
              <w:adjustRightInd w:val="0"/>
              <w:snapToGrid w:val="0"/>
              <w:jc w:val="center"/>
              <w:rPr>
                <w:rFonts w:ascii="宋体" w:hAnsi="宋体"/>
                <w:kern w:val="0"/>
                <w:sz w:val="18"/>
                <w:szCs w:val="18"/>
              </w:rPr>
            </w:pPr>
          </w:p>
        </w:tc>
      </w:tr>
      <w:tr w14:paraId="46A1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5353" w:type="dxa"/>
            <w:gridSpan w:val="8"/>
            <w:tcBorders>
              <w:top w:val="single" w:color="auto" w:sz="4" w:space="0"/>
              <w:left w:val="single" w:color="auto" w:sz="4" w:space="0"/>
              <w:right w:val="single" w:color="auto" w:sz="4" w:space="0"/>
            </w:tcBorders>
            <w:noWrap w:val="0"/>
            <w:vAlign w:val="center"/>
          </w:tcPr>
          <w:p w14:paraId="1BF73F30">
            <w:pPr>
              <w:pStyle w:val="129"/>
              <w:rPr>
                <w:rFonts w:hint="eastAsia"/>
              </w:rPr>
            </w:pPr>
            <w:r>
              <w:rPr>
                <w:rFonts w:hint="eastAsia"/>
              </w:rPr>
              <w:t>色环栏内的P是气瓶的公称工作压力，MPa。</w:t>
            </w:r>
          </w:p>
          <w:p w14:paraId="2CC71B9D">
            <w:pPr>
              <w:pStyle w:val="129"/>
              <w:rPr>
                <w:rFonts w:hint="eastAsia" w:hAnsi="宋体"/>
              </w:rPr>
            </w:pPr>
            <w:r>
              <w:rPr>
                <w:rFonts w:hint="eastAsia" w:hAnsi="宋体"/>
              </w:rPr>
              <w:t>序号6，民用液化石油气瓶上的字样应排列成二行。</w:t>
            </w:r>
          </w:p>
        </w:tc>
      </w:tr>
    </w:tbl>
    <w:p w14:paraId="0F880115">
      <w:pPr>
        <w:pStyle w:val="168"/>
        <w:numPr>
          <w:ilvl w:val="0"/>
          <w:numId w:val="0"/>
        </w:numPr>
        <w:spacing w:before="156" w:after="156"/>
        <w:jc w:val="both"/>
        <w:rPr>
          <w:rFonts w:hint="eastAsia"/>
        </w:rPr>
      </w:pPr>
    </w:p>
    <w:p w14:paraId="1E2CB81F">
      <w:pPr>
        <w:pStyle w:val="174"/>
        <w:rPr>
          <w:rFonts w:hint="eastAsia"/>
        </w:rPr>
      </w:pPr>
      <w:bookmarkStart w:id="522" w:name="_Toc6148"/>
      <w:bookmarkEnd w:id="522"/>
      <w:bookmarkStart w:id="523" w:name="_Toc11399"/>
      <w:bookmarkEnd w:id="523"/>
    </w:p>
    <w:p w14:paraId="3CF716F6">
      <w:pPr>
        <w:pStyle w:val="167"/>
        <w:numPr>
          <w:numId w:val="0"/>
        </w:numPr>
        <w:tabs>
          <w:tab w:val="clear" w:pos="0"/>
        </w:tabs>
        <w:ind w:left="0" w:leftChars="0" w:hanging="425" w:firstLineChars="0"/>
        <w:rPr>
          <w:rFonts w:hint="eastAsia"/>
        </w:rPr>
      </w:pPr>
      <w:bookmarkStart w:id="524" w:name="_Toc18015"/>
      <w:bookmarkStart w:id="525" w:name="_Toc15001"/>
      <w:r>
        <w:rPr>
          <w:rFonts w:hint="eastAsia" w:ascii="Times New Roman" w:hAnsi="Times New Roman" w:eastAsia="宋体" w:cs="Times New Roman"/>
          <w:color w:val="FFFFFF"/>
          <w:kern w:val="2"/>
          <w:sz w:val="21"/>
          <w:szCs w:val="24"/>
          <w:lang w:val="en-US" w:eastAsia="zh-CN" w:bidi="ar-SA"/>
        </w:rPr>
        <w:t>E</w:t>
      </w:r>
      <w:bookmarkEnd w:id="524"/>
      <w:bookmarkEnd w:id="525"/>
    </w:p>
    <w:p w14:paraId="3E05ED55">
      <w:pPr>
        <w:pStyle w:val="160"/>
        <w:rPr>
          <w:rFonts w:hint="eastAsia"/>
        </w:rPr>
      </w:pPr>
      <w:bookmarkStart w:id="526" w:name="_Toc24553"/>
      <w:bookmarkStart w:id="527" w:name="_Toc21495"/>
      <w:r>
        <w:br w:type="textWrapping"/>
      </w:r>
      <w:bookmarkStart w:id="528" w:name="_Toc484965775"/>
      <w:bookmarkStart w:id="529" w:name="_Toc482174637"/>
      <w:bookmarkStart w:id="530" w:name="_Toc498325686"/>
      <w:bookmarkStart w:id="531" w:name="_Toc482189186"/>
      <w:bookmarkStart w:id="532" w:name="_Toc482174153"/>
      <w:bookmarkStart w:id="533" w:name="_Toc504931852"/>
      <w:bookmarkStart w:id="534" w:name="_Toc498348146"/>
      <w:bookmarkStart w:id="535" w:name="_Toc484958281"/>
      <w:bookmarkStart w:id="536" w:name="_Toc482172341"/>
      <w:bookmarkStart w:id="537" w:name="_Toc482198498"/>
      <w:bookmarkStart w:id="538" w:name="_Toc504594727"/>
      <w:bookmarkStart w:id="539" w:name="_Toc482175059"/>
      <w:bookmarkStart w:id="540" w:name="_Toc484984814"/>
      <w:bookmarkStart w:id="541" w:name="_Toc498286357"/>
      <w:bookmarkStart w:id="542" w:name="_Toc482169119"/>
      <w:bookmarkStart w:id="543" w:name="_Toc482172282"/>
      <w:bookmarkStart w:id="544" w:name="_Toc498337281"/>
      <w:bookmarkStart w:id="545" w:name="_Toc486261042"/>
      <w:bookmarkStart w:id="546" w:name="_Toc484965505"/>
      <w:bookmarkStart w:id="547" w:name="_Toc482114507"/>
      <w:r>
        <w:rPr>
          <w:rFonts w:hint="eastAsia"/>
        </w:rPr>
        <w:t>（规范性附录）</w:t>
      </w:r>
      <w:r>
        <w:br w:type="textWrapping"/>
      </w:r>
      <w:r>
        <w:rPr>
          <w:rFonts w:hint="eastAsia"/>
        </w:rPr>
        <w:t>公用辅助用房及设备设施要素的安全生产等级评定细则</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7E43BEE2">
      <w:pPr>
        <w:pStyle w:val="36"/>
        <w:ind w:firstLine="0" w:firstLineChars="0"/>
        <w:rPr>
          <w:rFonts w:hint="eastAsia"/>
        </w:rPr>
      </w:pPr>
      <w:bookmarkStart w:id="548" w:name="_Toc482169120"/>
      <w:r>
        <w:rPr>
          <w:rFonts w:hint="eastAsia" w:ascii="黑体" w:hAnsi="黑体" w:eastAsia="黑体"/>
        </w:rPr>
        <w:t>F.1</w:t>
      </w:r>
      <w:r>
        <w:rPr>
          <w:rFonts w:hint="eastAsia"/>
        </w:rPr>
        <w:t xml:space="preserve">  表F.1给出了公共辅助用房及设备设施要素的安全生产等级评定细则，总分</w:t>
      </w:r>
      <w:r>
        <w:rPr>
          <w:rFonts w:hint="eastAsia"/>
          <w:lang w:val="en-US" w:eastAsia="zh-CN"/>
        </w:rPr>
        <w:t>75</w:t>
      </w:r>
      <w:r>
        <w:rPr>
          <w:rFonts w:hint="eastAsia"/>
        </w:rPr>
        <w:t>分。</w:t>
      </w:r>
      <w:bookmarkEnd w:id="548"/>
    </w:p>
    <w:p w14:paraId="66D9749B">
      <w:pPr>
        <w:pStyle w:val="168"/>
        <w:numPr>
          <w:numId w:val="0"/>
        </w:numPr>
        <w:spacing w:before="156" w:after="156"/>
        <w:jc w:val="center"/>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F</w:t>
      </w:r>
      <w:r>
        <w:rPr>
          <w:rFonts w:hint="eastAsia" w:ascii="黑体" w:hAnsi="Times New Roman" w:eastAsia="黑体" w:cs="Times New Roman"/>
          <w:kern w:val="2"/>
          <w:sz w:val="21"/>
          <w:szCs w:val="21"/>
          <w:lang w:val="en-US" w:eastAsia="zh-CN" w:bidi="ar-SA"/>
        </w:rPr>
        <w:t>.1　</w:t>
      </w:r>
      <w:r>
        <w:rPr>
          <w:rFonts w:hint="eastAsia"/>
        </w:rPr>
        <w:t>公用辅助用房及设备设施要素的安全生产等级评定细则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79"/>
        <w:gridCol w:w="6586"/>
        <w:gridCol w:w="599"/>
        <w:gridCol w:w="608"/>
        <w:gridCol w:w="660"/>
        <w:gridCol w:w="2760"/>
        <w:gridCol w:w="719"/>
        <w:gridCol w:w="1299"/>
        <w:gridCol w:w="1443"/>
      </w:tblGrid>
      <w:tr w14:paraId="5050E6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9" w:type="dxa"/>
            <w:tcBorders>
              <w:top w:val="single" w:color="auto" w:sz="8" w:space="0"/>
              <w:bottom w:val="single" w:color="auto" w:sz="8" w:space="0"/>
            </w:tcBorders>
            <w:noWrap w:val="0"/>
            <w:vAlign w:val="center"/>
          </w:tcPr>
          <w:p w14:paraId="6D08B7A0">
            <w:pPr>
              <w:adjustRightInd w:val="0"/>
              <w:snapToGrid w:val="0"/>
              <w:jc w:val="center"/>
              <w:rPr>
                <w:rFonts w:ascii="宋体" w:hAnsi="宋体"/>
                <w:sz w:val="18"/>
                <w:szCs w:val="18"/>
              </w:rPr>
            </w:pPr>
            <w:r>
              <w:rPr>
                <w:rFonts w:ascii="宋体" w:hAnsi="宋体"/>
                <w:bCs/>
                <w:sz w:val="18"/>
                <w:szCs w:val="18"/>
              </w:rPr>
              <w:t>序号</w:t>
            </w:r>
          </w:p>
        </w:tc>
        <w:tc>
          <w:tcPr>
            <w:tcW w:w="6586" w:type="dxa"/>
            <w:tcBorders>
              <w:top w:val="single" w:color="auto" w:sz="8" w:space="0"/>
              <w:bottom w:val="single" w:color="auto" w:sz="8" w:space="0"/>
            </w:tcBorders>
            <w:noWrap w:val="0"/>
            <w:vAlign w:val="center"/>
          </w:tcPr>
          <w:p w14:paraId="68E92E50">
            <w:pPr>
              <w:adjustRightInd w:val="0"/>
              <w:snapToGrid w:val="0"/>
              <w:jc w:val="center"/>
              <w:rPr>
                <w:rFonts w:ascii="宋体" w:hAnsi="宋体"/>
                <w:sz w:val="18"/>
                <w:szCs w:val="18"/>
              </w:rPr>
            </w:pPr>
            <w:r>
              <w:rPr>
                <w:rFonts w:ascii="宋体" w:hAnsi="宋体"/>
                <w:bCs/>
                <w:sz w:val="18"/>
                <w:szCs w:val="18"/>
              </w:rPr>
              <w:t>评定内容</w:t>
            </w:r>
          </w:p>
        </w:tc>
        <w:tc>
          <w:tcPr>
            <w:tcW w:w="599" w:type="dxa"/>
            <w:tcBorders>
              <w:top w:val="single" w:color="auto" w:sz="8" w:space="0"/>
              <w:bottom w:val="single" w:color="auto" w:sz="8" w:space="0"/>
            </w:tcBorders>
            <w:noWrap w:val="0"/>
            <w:vAlign w:val="center"/>
          </w:tcPr>
          <w:p w14:paraId="47593E89">
            <w:pPr>
              <w:adjustRightInd w:val="0"/>
              <w:snapToGrid w:val="0"/>
              <w:jc w:val="center"/>
              <w:rPr>
                <w:rFonts w:ascii="宋体" w:hAnsi="宋体"/>
                <w:sz w:val="18"/>
                <w:szCs w:val="18"/>
              </w:rPr>
            </w:pPr>
            <w:r>
              <w:rPr>
                <w:rFonts w:ascii="宋体" w:hAnsi="宋体"/>
                <w:bCs/>
                <w:sz w:val="18"/>
                <w:szCs w:val="18"/>
              </w:rPr>
              <w:t>评定要素分值</w:t>
            </w:r>
          </w:p>
        </w:tc>
        <w:tc>
          <w:tcPr>
            <w:tcW w:w="608" w:type="dxa"/>
            <w:tcBorders>
              <w:top w:val="single" w:color="auto" w:sz="8" w:space="0"/>
              <w:bottom w:val="single" w:color="auto" w:sz="8" w:space="0"/>
            </w:tcBorders>
            <w:noWrap w:val="0"/>
            <w:vAlign w:val="center"/>
          </w:tcPr>
          <w:p w14:paraId="20AF1EF3">
            <w:pPr>
              <w:adjustRightInd w:val="0"/>
              <w:snapToGrid w:val="0"/>
              <w:jc w:val="center"/>
              <w:rPr>
                <w:rFonts w:ascii="宋体" w:hAnsi="宋体"/>
                <w:sz w:val="18"/>
                <w:szCs w:val="18"/>
              </w:rPr>
            </w:pPr>
            <w:r>
              <w:rPr>
                <w:rFonts w:ascii="宋体" w:hAnsi="宋体"/>
                <w:bCs/>
                <w:sz w:val="18"/>
                <w:szCs w:val="18"/>
              </w:rPr>
              <w:t>评定细项分值</w:t>
            </w:r>
          </w:p>
        </w:tc>
        <w:tc>
          <w:tcPr>
            <w:tcW w:w="660" w:type="dxa"/>
            <w:tcBorders>
              <w:top w:val="single" w:color="auto" w:sz="8" w:space="0"/>
              <w:bottom w:val="single" w:color="auto" w:sz="8" w:space="0"/>
            </w:tcBorders>
            <w:noWrap w:val="0"/>
            <w:vAlign w:val="center"/>
          </w:tcPr>
          <w:p w14:paraId="6FAAC1A9">
            <w:pPr>
              <w:adjustRightInd w:val="0"/>
              <w:snapToGrid w:val="0"/>
              <w:jc w:val="center"/>
              <w:rPr>
                <w:rFonts w:ascii="宋体" w:hAnsi="宋体"/>
                <w:sz w:val="18"/>
                <w:szCs w:val="18"/>
              </w:rPr>
            </w:pPr>
            <w:r>
              <w:rPr>
                <w:rFonts w:ascii="宋体" w:hAnsi="宋体"/>
                <w:bCs/>
                <w:sz w:val="18"/>
                <w:szCs w:val="18"/>
              </w:rPr>
              <w:t>评定条款分值</w:t>
            </w:r>
          </w:p>
        </w:tc>
        <w:tc>
          <w:tcPr>
            <w:tcW w:w="2760" w:type="dxa"/>
            <w:tcBorders>
              <w:top w:val="single" w:color="auto" w:sz="8" w:space="0"/>
              <w:bottom w:val="single" w:color="auto" w:sz="8" w:space="0"/>
            </w:tcBorders>
            <w:noWrap w:val="0"/>
            <w:vAlign w:val="center"/>
          </w:tcPr>
          <w:p w14:paraId="0CFD9069">
            <w:pPr>
              <w:adjustRightInd w:val="0"/>
              <w:snapToGrid w:val="0"/>
              <w:jc w:val="center"/>
              <w:rPr>
                <w:rFonts w:ascii="宋体" w:hAnsi="宋体"/>
                <w:sz w:val="18"/>
                <w:szCs w:val="18"/>
              </w:rPr>
            </w:pPr>
            <w:r>
              <w:rPr>
                <w:rFonts w:ascii="宋体" w:hAnsi="宋体"/>
                <w:bCs/>
                <w:sz w:val="18"/>
                <w:szCs w:val="18"/>
              </w:rPr>
              <w:t>评分标准</w:t>
            </w:r>
          </w:p>
        </w:tc>
        <w:tc>
          <w:tcPr>
            <w:tcW w:w="719" w:type="dxa"/>
            <w:tcBorders>
              <w:top w:val="single" w:color="auto" w:sz="8" w:space="0"/>
              <w:bottom w:val="single" w:color="auto" w:sz="8" w:space="0"/>
            </w:tcBorders>
            <w:noWrap w:val="0"/>
            <w:vAlign w:val="center"/>
          </w:tcPr>
          <w:p w14:paraId="358E3EB9">
            <w:pPr>
              <w:adjustRightInd w:val="0"/>
              <w:snapToGrid w:val="0"/>
              <w:jc w:val="center"/>
              <w:rPr>
                <w:rFonts w:ascii="宋体" w:hAnsi="宋体"/>
                <w:sz w:val="18"/>
                <w:szCs w:val="18"/>
              </w:rPr>
            </w:pPr>
            <w:r>
              <w:rPr>
                <w:rFonts w:ascii="宋体" w:hAnsi="宋体"/>
                <w:bCs/>
                <w:sz w:val="18"/>
                <w:szCs w:val="18"/>
              </w:rPr>
              <w:t>评定得分</w:t>
            </w:r>
          </w:p>
        </w:tc>
        <w:tc>
          <w:tcPr>
            <w:tcW w:w="1299" w:type="dxa"/>
            <w:tcBorders>
              <w:top w:val="single" w:color="auto" w:sz="8" w:space="0"/>
              <w:bottom w:val="single" w:color="auto" w:sz="8" w:space="0"/>
            </w:tcBorders>
            <w:noWrap w:val="0"/>
            <w:vAlign w:val="center"/>
          </w:tcPr>
          <w:p w14:paraId="7EEBFCA1">
            <w:pPr>
              <w:adjustRightInd w:val="0"/>
              <w:snapToGrid w:val="0"/>
              <w:jc w:val="center"/>
              <w:rPr>
                <w:rFonts w:ascii="宋体" w:hAnsi="宋体"/>
                <w:sz w:val="18"/>
                <w:szCs w:val="18"/>
              </w:rPr>
            </w:pPr>
            <w:r>
              <w:rPr>
                <w:rFonts w:ascii="宋体" w:hAnsi="宋体"/>
                <w:bCs/>
                <w:sz w:val="18"/>
                <w:szCs w:val="18"/>
              </w:rPr>
              <w:t>扣分说明</w:t>
            </w:r>
          </w:p>
        </w:tc>
        <w:tc>
          <w:tcPr>
            <w:tcW w:w="1443" w:type="dxa"/>
            <w:tcBorders>
              <w:top w:val="single" w:color="auto" w:sz="8" w:space="0"/>
              <w:bottom w:val="single" w:color="auto" w:sz="8" w:space="0"/>
            </w:tcBorders>
            <w:noWrap w:val="0"/>
            <w:vAlign w:val="center"/>
          </w:tcPr>
          <w:p w14:paraId="08DE67EA">
            <w:pPr>
              <w:adjustRightInd w:val="0"/>
              <w:snapToGrid w:val="0"/>
              <w:jc w:val="center"/>
              <w:rPr>
                <w:rFonts w:ascii="宋体" w:hAnsi="宋体"/>
                <w:sz w:val="18"/>
                <w:szCs w:val="18"/>
              </w:rPr>
            </w:pPr>
            <w:r>
              <w:rPr>
                <w:rFonts w:ascii="宋体" w:hAnsi="宋体"/>
                <w:bCs/>
                <w:sz w:val="18"/>
                <w:szCs w:val="18"/>
              </w:rPr>
              <w:t>对应条款编号</w:t>
            </w:r>
          </w:p>
        </w:tc>
      </w:tr>
      <w:tr w14:paraId="0C56D6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9" w:type="dxa"/>
            <w:tcBorders>
              <w:top w:val="single" w:color="auto" w:sz="8" w:space="0"/>
              <w:bottom w:val="single" w:color="auto" w:sz="8" w:space="0"/>
            </w:tcBorders>
            <w:noWrap w:val="0"/>
            <w:vAlign w:val="center"/>
          </w:tcPr>
          <w:p w14:paraId="7011C157">
            <w:pPr>
              <w:adjustRightInd w:val="0"/>
              <w:snapToGrid w:val="0"/>
              <w:jc w:val="center"/>
              <w:rPr>
                <w:rFonts w:ascii="宋体" w:hAnsi="宋体"/>
                <w:bCs/>
                <w:sz w:val="18"/>
                <w:szCs w:val="18"/>
              </w:rPr>
            </w:pPr>
            <w:r>
              <w:rPr>
                <w:rFonts w:hint="eastAsia" w:ascii="宋体" w:hAnsi="宋体"/>
                <w:bCs/>
                <w:sz w:val="18"/>
                <w:szCs w:val="18"/>
              </w:rPr>
              <w:t>5</w:t>
            </w:r>
          </w:p>
        </w:tc>
        <w:tc>
          <w:tcPr>
            <w:tcW w:w="6586" w:type="dxa"/>
            <w:tcBorders>
              <w:top w:val="single" w:color="auto" w:sz="8" w:space="0"/>
              <w:bottom w:val="single" w:color="auto" w:sz="8" w:space="0"/>
            </w:tcBorders>
            <w:noWrap w:val="0"/>
            <w:vAlign w:val="center"/>
          </w:tcPr>
          <w:p w14:paraId="3C84A21D">
            <w:pPr>
              <w:adjustRightInd w:val="0"/>
              <w:snapToGrid w:val="0"/>
              <w:jc w:val="left"/>
              <w:rPr>
                <w:rFonts w:ascii="宋体" w:hAnsi="宋体"/>
                <w:bCs/>
                <w:sz w:val="18"/>
                <w:szCs w:val="18"/>
              </w:rPr>
            </w:pPr>
            <w:r>
              <w:rPr>
                <w:rFonts w:hint="eastAsia" w:ascii="宋体" w:hAnsi="宋体"/>
                <w:bCs/>
                <w:sz w:val="18"/>
                <w:szCs w:val="18"/>
              </w:rPr>
              <w:t>公用辅助用房及设备设施</w:t>
            </w:r>
          </w:p>
        </w:tc>
        <w:tc>
          <w:tcPr>
            <w:tcW w:w="599" w:type="dxa"/>
            <w:tcBorders>
              <w:top w:val="single" w:color="auto" w:sz="8" w:space="0"/>
              <w:bottom w:val="single" w:color="auto" w:sz="8" w:space="0"/>
            </w:tcBorders>
            <w:noWrap w:val="0"/>
            <w:vAlign w:val="center"/>
          </w:tcPr>
          <w:p w14:paraId="2787EB20">
            <w:pPr>
              <w:adjustRightInd w:val="0"/>
              <w:snapToGrid w:val="0"/>
              <w:jc w:val="center"/>
              <w:rPr>
                <w:rFonts w:hint="default" w:ascii="宋体" w:hAnsi="宋体" w:eastAsia="宋体"/>
                <w:bCs/>
                <w:sz w:val="18"/>
                <w:szCs w:val="18"/>
                <w:lang w:val="en-US" w:eastAsia="zh-CN"/>
              </w:rPr>
            </w:pPr>
            <w:r>
              <w:rPr>
                <w:rFonts w:hint="eastAsia" w:ascii="宋体" w:hAnsi="宋体"/>
                <w:bCs/>
                <w:sz w:val="18"/>
                <w:szCs w:val="18"/>
                <w:lang w:val="en-US" w:eastAsia="zh-CN"/>
              </w:rPr>
              <w:t>75</w:t>
            </w:r>
          </w:p>
        </w:tc>
        <w:tc>
          <w:tcPr>
            <w:tcW w:w="608" w:type="dxa"/>
            <w:tcBorders>
              <w:top w:val="single" w:color="auto" w:sz="8" w:space="0"/>
              <w:bottom w:val="single" w:color="auto" w:sz="8" w:space="0"/>
            </w:tcBorders>
            <w:noWrap w:val="0"/>
            <w:vAlign w:val="center"/>
          </w:tcPr>
          <w:p w14:paraId="1D37EA80">
            <w:pPr>
              <w:adjustRightInd w:val="0"/>
              <w:snapToGrid w:val="0"/>
              <w:jc w:val="center"/>
              <w:rPr>
                <w:rFonts w:ascii="宋体" w:hAnsi="宋体"/>
                <w:bCs/>
                <w:sz w:val="18"/>
                <w:szCs w:val="18"/>
              </w:rPr>
            </w:pPr>
          </w:p>
        </w:tc>
        <w:tc>
          <w:tcPr>
            <w:tcW w:w="660" w:type="dxa"/>
            <w:tcBorders>
              <w:top w:val="single" w:color="auto" w:sz="8" w:space="0"/>
              <w:bottom w:val="single" w:color="auto" w:sz="8" w:space="0"/>
            </w:tcBorders>
            <w:noWrap w:val="0"/>
            <w:vAlign w:val="center"/>
          </w:tcPr>
          <w:p w14:paraId="1F0FBEA4">
            <w:pPr>
              <w:adjustRightInd w:val="0"/>
              <w:snapToGrid w:val="0"/>
              <w:jc w:val="center"/>
              <w:rPr>
                <w:rFonts w:ascii="宋体" w:hAnsi="宋体"/>
                <w:bCs/>
                <w:sz w:val="18"/>
                <w:szCs w:val="18"/>
              </w:rPr>
            </w:pPr>
          </w:p>
        </w:tc>
        <w:tc>
          <w:tcPr>
            <w:tcW w:w="2760" w:type="dxa"/>
            <w:tcBorders>
              <w:top w:val="single" w:color="auto" w:sz="8" w:space="0"/>
              <w:bottom w:val="single" w:color="auto" w:sz="8" w:space="0"/>
            </w:tcBorders>
            <w:noWrap w:val="0"/>
            <w:vAlign w:val="center"/>
          </w:tcPr>
          <w:p w14:paraId="78BF2D8D">
            <w:pPr>
              <w:adjustRightInd w:val="0"/>
              <w:snapToGrid w:val="0"/>
              <w:rPr>
                <w:rFonts w:ascii="宋体" w:hAnsi="宋体"/>
                <w:bCs/>
                <w:sz w:val="18"/>
                <w:szCs w:val="18"/>
              </w:rPr>
            </w:pPr>
          </w:p>
        </w:tc>
        <w:tc>
          <w:tcPr>
            <w:tcW w:w="719" w:type="dxa"/>
            <w:tcBorders>
              <w:top w:val="single" w:color="auto" w:sz="8" w:space="0"/>
              <w:bottom w:val="single" w:color="auto" w:sz="8" w:space="0"/>
            </w:tcBorders>
            <w:noWrap w:val="0"/>
            <w:vAlign w:val="center"/>
          </w:tcPr>
          <w:p w14:paraId="26C64686">
            <w:pPr>
              <w:adjustRightInd w:val="0"/>
              <w:snapToGrid w:val="0"/>
              <w:jc w:val="center"/>
              <w:rPr>
                <w:rFonts w:ascii="宋体" w:hAnsi="宋体"/>
                <w:bCs/>
                <w:sz w:val="18"/>
                <w:szCs w:val="18"/>
              </w:rPr>
            </w:pPr>
          </w:p>
        </w:tc>
        <w:tc>
          <w:tcPr>
            <w:tcW w:w="1299" w:type="dxa"/>
            <w:tcBorders>
              <w:top w:val="single" w:color="auto" w:sz="8" w:space="0"/>
              <w:bottom w:val="single" w:color="auto" w:sz="8" w:space="0"/>
            </w:tcBorders>
            <w:noWrap w:val="0"/>
            <w:vAlign w:val="center"/>
          </w:tcPr>
          <w:p w14:paraId="44E6C7B0">
            <w:pPr>
              <w:adjustRightInd w:val="0"/>
              <w:snapToGrid w:val="0"/>
              <w:jc w:val="center"/>
              <w:rPr>
                <w:rFonts w:ascii="宋体" w:hAnsi="宋体"/>
                <w:bCs/>
                <w:sz w:val="18"/>
                <w:szCs w:val="18"/>
              </w:rPr>
            </w:pPr>
          </w:p>
        </w:tc>
        <w:tc>
          <w:tcPr>
            <w:tcW w:w="1443" w:type="dxa"/>
            <w:tcBorders>
              <w:top w:val="single" w:color="auto" w:sz="8" w:space="0"/>
              <w:bottom w:val="single" w:color="auto" w:sz="8" w:space="0"/>
            </w:tcBorders>
            <w:noWrap w:val="0"/>
            <w:vAlign w:val="center"/>
          </w:tcPr>
          <w:p w14:paraId="712D99EE">
            <w:pPr>
              <w:adjustRightInd w:val="0"/>
              <w:snapToGrid w:val="0"/>
              <w:jc w:val="center"/>
              <w:rPr>
                <w:rFonts w:hint="eastAsia" w:ascii="宋体" w:hAnsi="宋体" w:eastAsia="宋体"/>
                <w:bCs/>
                <w:sz w:val="18"/>
                <w:szCs w:val="18"/>
                <w:lang w:eastAsia="zh-CN"/>
              </w:rPr>
            </w:pPr>
            <w:r>
              <w:rPr>
                <w:rFonts w:hint="eastAsia" w:ascii="宋体" w:hAnsi="宋体"/>
                <w:sz w:val="18"/>
                <w:szCs w:val="18"/>
                <w:lang w:eastAsia="zh-CN"/>
              </w:rPr>
              <w:t>4.5</w:t>
            </w:r>
          </w:p>
        </w:tc>
      </w:tr>
      <w:tr w14:paraId="5CF204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9" w:type="dxa"/>
            <w:tcBorders>
              <w:top w:val="single" w:color="auto" w:sz="8" w:space="0"/>
              <w:bottom w:val="single" w:color="auto" w:sz="8" w:space="0"/>
            </w:tcBorders>
            <w:noWrap w:val="0"/>
            <w:vAlign w:val="center"/>
          </w:tcPr>
          <w:p w14:paraId="39BB050E">
            <w:pPr>
              <w:adjustRightInd w:val="0"/>
              <w:snapToGrid w:val="0"/>
              <w:jc w:val="center"/>
              <w:rPr>
                <w:rFonts w:ascii="宋体" w:hAnsi="宋体"/>
                <w:bCs/>
                <w:sz w:val="18"/>
                <w:szCs w:val="18"/>
              </w:rPr>
            </w:pPr>
            <w:r>
              <w:rPr>
                <w:rFonts w:hint="eastAsia" w:ascii="宋体" w:hAnsi="宋体"/>
                <w:sz w:val="18"/>
                <w:szCs w:val="18"/>
              </w:rPr>
              <w:t>5.1</w:t>
            </w:r>
          </w:p>
        </w:tc>
        <w:tc>
          <w:tcPr>
            <w:tcW w:w="6586" w:type="dxa"/>
            <w:tcBorders>
              <w:top w:val="single" w:color="auto" w:sz="8" w:space="0"/>
              <w:bottom w:val="single" w:color="auto" w:sz="8" w:space="0"/>
            </w:tcBorders>
            <w:noWrap w:val="0"/>
            <w:vAlign w:val="center"/>
          </w:tcPr>
          <w:p w14:paraId="4CEEEB92">
            <w:pPr>
              <w:adjustRightInd w:val="0"/>
              <w:snapToGrid w:val="0"/>
              <w:jc w:val="left"/>
              <w:rPr>
                <w:rFonts w:ascii="宋体" w:hAnsi="宋体"/>
                <w:bCs/>
                <w:sz w:val="18"/>
                <w:szCs w:val="18"/>
              </w:rPr>
            </w:pPr>
            <w:r>
              <w:rPr>
                <w:rFonts w:hint="eastAsia" w:ascii="宋体" w:hAnsi="宋体"/>
                <w:sz w:val="18"/>
                <w:szCs w:val="18"/>
              </w:rPr>
              <w:t>锅炉房</w:t>
            </w:r>
          </w:p>
        </w:tc>
        <w:tc>
          <w:tcPr>
            <w:tcW w:w="599" w:type="dxa"/>
            <w:tcBorders>
              <w:top w:val="single" w:color="auto" w:sz="8" w:space="0"/>
              <w:bottom w:val="single" w:color="auto" w:sz="8" w:space="0"/>
            </w:tcBorders>
            <w:noWrap w:val="0"/>
            <w:vAlign w:val="center"/>
          </w:tcPr>
          <w:p w14:paraId="6135074B">
            <w:pPr>
              <w:adjustRightInd w:val="0"/>
              <w:snapToGrid w:val="0"/>
              <w:jc w:val="center"/>
              <w:rPr>
                <w:rFonts w:ascii="宋体" w:hAnsi="宋体"/>
                <w:bCs/>
                <w:sz w:val="18"/>
                <w:szCs w:val="18"/>
              </w:rPr>
            </w:pPr>
          </w:p>
        </w:tc>
        <w:tc>
          <w:tcPr>
            <w:tcW w:w="608" w:type="dxa"/>
            <w:tcBorders>
              <w:top w:val="single" w:color="auto" w:sz="8" w:space="0"/>
              <w:bottom w:val="single" w:color="auto" w:sz="8" w:space="0"/>
            </w:tcBorders>
            <w:noWrap w:val="0"/>
            <w:vAlign w:val="center"/>
          </w:tcPr>
          <w:p w14:paraId="0DD0E565">
            <w:pPr>
              <w:adjustRightInd w:val="0"/>
              <w:snapToGrid w:val="0"/>
              <w:jc w:val="center"/>
              <w:rPr>
                <w:rFonts w:ascii="宋体" w:hAnsi="宋体"/>
                <w:bCs/>
                <w:sz w:val="18"/>
                <w:szCs w:val="18"/>
              </w:rPr>
            </w:pPr>
            <w:r>
              <w:rPr>
                <w:rFonts w:hint="eastAsia" w:ascii="宋体" w:hAnsi="宋体"/>
                <w:bCs/>
                <w:sz w:val="18"/>
                <w:szCs w:val="18"/>
              </w:rPr>
              <w:t>10</w:t>
            </w:r>
          </w:p>
        </w:tc>
        <w:tc>
          <w:tcPr>
            <w:tcW w:w="660" w:type="dxa"/>
            <w:tcBorders>
              <w:top w:val="single" w:color="auto" w:sz="8" w:space="0"/>
              <w:bottom w:val="single" w:color="auto" w:sz="8" w:space="0"/>
            </w:tcBorders>
            <w:noWrap w:val="0"/>
            <w:vAlign w:val="center"/>
          </w:tcPr>
          <w:p w14:paraId="4A8680A5">
            <w:pPr>
              <w:adjustRightInd w:val="0"/>
              <w:snapToGrid w:val="0"/>
              <w:jc w:val="center"/>
              <w:rPr>
                <w:rFonts w:ascii="宋体" w:hAnsi="宋体"/>
                <w:bCs/>
                <w:sz w:val="18"/>
                <w:szCs w:val="18"/>
              </w:rPr>
            </w:pPr>
          </w:p>
        </w:tc>
        <w:tc>
          <w:tcPr>
            <w:tcW w:w="2760" w:type="dxa"/>
            <w:tcBorders>
              <w:top w:val="single" w:color="auto" w:sz="8" w:space="0"/>
              <w:bottom w:val="single" w:color="auto" w:sz="8" w:space="0"/>
            </w:tcBorders>
            <w:noWrap w:val="0"/>
            <w:vAlign w:val="center"/>
          </w:tcPr>
          <w:p w14:paraId="7D9E33D1">
            <w:pPr>
              <w:adjustRightInd w:val="0"/>
              <w:snapToGrid w:val="0"/>
              <w:rPr>
                <w:rFonts w:ascii="宋体" w:hAnsi="宋体"/>
                <w:bCs/>
                <w:sz w:val="18"/>
                <w:szCs w:val="18"/>
              </w:rPr>
            </w:pPr>
          </w:p>
        </w:tc>
        <w:tc>
          <w:tcPr>
            <w:tcW w:w="719" w:type="dxa"/>
            <w:tcBorders>
              <w:top w:val="single" w:color="auto" w:sz="8" w:space="0"/>
              <w:bottom w:val="single" w:color="auto" w:sz="8" w:space="0"/>
            </w:tcBorders>
            <w:noWrap w:val="0"/>
            <w:vAlign w:val="center"/>
          </w:tcPr>
          <w:p w14:paraId="3C8EDA07">
            <w:pPr>
              <w:adjustRightInd w:val="0"/>
              <w:snapToGrid w:val="0"/>
              <w:jc w:val="center"/>
              <w:rPr>
                <w:rFonts w:ascii="宋体" w:hAnsi="宋体"/>
                <w:bCs/>
                <w:sz w:val="18"/>
                <w:szCs w:val="18"/>
              </w:rPr>
            </w:pPr>
          </w:p>
        </w:tc>
        <w:tc>
          <w:tcPr>
            <w:tcW w:w="1299" w:type="dxa"/>
            <w:tcBorders>
              <w:top w:val="single" w:color="auto" w:sz="8" w:space="0"/>
              <w:bottom w:val="single" w:color="auto" w:sz="8" w:space="0"/>
            </w:tcBorders>
            <w:noWrap w:val="0"/>
            <w:vAlign w:val="center"/>
          </w:tcPr>
          <w:p w14:paraId="2554D174">
            <w:pPr>
              <w:adjustRightInd w:val="0"/>
              <w:snapToGrid w:val="0"/>
              <w:jc w:val="center"/>
              <w:rPr>
                <w:rFonts w:ascii="宋体" w:hAnsi="宋体"/>
                <w:bCs/>
                <w:sz w:val="18"/>
                <w:szCs w:val="18"/>
              </w:rPr>
            </w:pPr>
          </w:p>
        </w:tc>
        <w:tc>
          <w:tcPr>
            <w:tcW w:w="1443" w:type="dxa"/>
            <w:tcBorders>
              <w:top w:val="single" w:color="auto" w:sz="8" w:space="0"/>
              <w:bottom w:val="single" w:color="auto" w:sz="8" w:space="0"/>
            </w:tcBorders>
            <w:noWrap w:val="0"/>
            <w:vAlign w:val="center"/>
          </w:tcPr>
          <w:p w14:paraId="50C228E1">
            <w:pPr>
              <w:adjustRightInd w:val="0"/>
              <w:snapToGrid w:val="0"/>
              <w:jc w:val="center"/>
              <w:rPr>
                <w:rFonts w:ascii="宋体" w:hAnsi="宋体"/>
                <w:bCs/>
                <w:sz w:val="18"/>
                <w:szCs w:val="18"/>
              </w:rPr>
            </w:pPr>
            <w:r>
              <w:rPr>
                <w:rFonts w:hint="eastAsia" w:ascii="宋体" w:hAnsi="宋体"/>
                <w:sz w:val="18"/>
                <w:szCs w:val="18"/>
                <w:lang w:eastAsia="zh-CN"/>
              </w:rPr>
              <w:t>4.5</w:t>
            </w:r>
            <w:r>
              <w:rPr>
                <w:rFonts w:hint="eastAsia" w:ascii="宋体" w:hAnsi="宋体"/>
                <w:sz w:val="18"/>
                <w:szCs w:val="18"/>
              </w:rPr>
              <w:t>.1</w:t>
            </w:r>
          </w:p>
        </w:tc>
      </w:tr>
      <w:tr w14:paraId="53B497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79" w:type="dxa"/>
            <w:tcBorders>
              <w:top w:val="single" w:color="auto" w:sz="8" w:space="0"/>
              <w:bottom w:val="single" w:color="auto" w:sz="8" w:space="0"/>
            </w:tcBorders>
            <w:noWrap w:val="0"/>
            <w:vAlign w:val="center"/>
          </w:tcPr>
          <w:p w14:paraId="7FA9AA08">
            <w:pPr>
              <w:adjustRightInd w:val="0"/>
              <w:snapToGrid w:val="0"/>
              <w:jc w:val="center"/>
              <w:rPr>
                <w:rFonts w:ascii="宋体" w:hAnsi="宋体"/>
                <w:bCs/>
                <w:sz w:val="18"/>
                <w:szCs w:val="18"/>
              </w:rPr>
            </w:pPr>
            <w:r>
              <w:rPr>
                <w:rFonts w:hint="eastAsia" w:ascii="宋体" w:hAnsi="宋体"/>
                <w:sz w:val="18"/>
                <w:szCs w:val="18"/>
              </w:rPr>
              <w:t>5.1.1</w:t>
            </w:r>
          </w:p>
        </w:tc>
        <w:tc>
          <w:tcPr>
            <w:tcW w:w="6586" w:type="dxa"/>
            <w:tcBorders>
              <w:top w:val="single" w:color="auto" w:sz="8" w:space="0"/>
            </w:tcBorders>
            <w:noWrap w:val="0"/>
            <w:vAlign w:val="center"/>
          </w:tcPr>
          <w:p w14:paraId="0C402E22">
            <w:pPr>
              <w:adjustRightInd w:val="0"/>
              <w:snapToGrid w:val="0"/>
              <w:jc w:val="left"/>
              <w:rPr>
                <w:rFonts w:ascii="宋体" w:hAnsi="宋体"/>
                <w:sz w:val="18"/>
                <w:szCs w:val="18"/>
              </w:rPr>
            </w:pPr>
            <w:r>
              <w:rPr>
                <w:rFonts w:hint="eastAsia" w:ascii="宋体" w:hAnsi="宋体"/>
                <w:sz w:val="18"/>
                <w:szCs w:val="18"/>
              </w:rPr>
              <w:t>锅炉房的安全要求应符合下列要求：</w:t>
            </w:r>
          </w:p>
          <w:p w14:paraId="6E97565C">
            <w:pPr>
              <w:adjustRightInd w:val="0"/>
              <w:snapToGrid w:val="0"/>
              <w:jc w:val="left"/>
              <w:rPr>
                <w:rFonts w:hint="eastAsia" w:ascii="宋体" w:hAnsi="宋体"/>
                <w:sz w:val="18"/>
                <w:szCs w:val="18"/>
              </w:rPr>
            </w:pPr>
            <w:r>
              <w:rPr>
                <w:rFonts w:hint="eastAsia" w:ascii="宋体" w:hAnsi="宋体"/>
                <w:sz w:val="18"/>
                <w:szCs w:val="18"/>
              </w:rPr>
              <w:t>a）锅炉房宜为独立的建筑物。当锅炉房和其他建筑物相连或设置在其内部时，不应设置在人员密集场所和重要部门的上一层、下一层、贴邻位置以及主要通道、疏散口的两旁，并应设置在首层或地下室一层靠建筑物外墙部位；</w:t>
            </w:r>
          </w:p>
          <w:p w14:paraId="5326A904">
            <w:pPr>
              <w:adjustRightInd w:val="0"/>
              <w:snapToGrid w:val="0"/>
              <w:jc w:val="left"/>
              <w:rPr>
                <w:rFonts w:hint="eastAsia" w:ascii="宋体" w:hAnsi="宋体"/>
                <w:sz w:val="18"/>
                <w:szCs w:val="18"/>
              </w:rPr>
            </w:pPr>
            <w:r>
              <w:rPr>
                <w:rFonts w:hint="eastAsia" w:ascii="宋体" w:hAnsi="宋体"/>
                <w:sz w:val="18"/>
                <w:szCs w:val="18"/>
              </w:rPr>
              <w:t>b）出入口不应少于2个，但对独立锅炉房的锅炉间，当炉前走道总长度小于12m，且总建筑面积小于200m</w:t>
            </w:r>
            <w:r>
              <w:rPr>
                <w:rFonts w:hint="eastAsia" w:ascii="宋体" w:hAnsi="宋体"/>
                <w:sz w:val="18"/>
                <w:szCs w:val="18"/>
                <w:vertAlign w:val="superscript"/>
              </w:rPr>
              <w:t>2</w:t>
            </w:r>
            <w:r>
              <w:rPr>
                <w:rFonts w:hint="eastAsia" w:ascii="宋体" w:hAnsi="宋体"/>
                <w:sz w:val="18"/>
                <w:szCs w:val="18"/>
              </w:rPr>
              <w:t>时，其出入口可设1个</w:t>
            </w:r>
            <w:r>
              <w:rPr>
                <w:rFonts w:hint="eastAsia" w:ascii="宋体" w:hAnsi="宋体"/>
                <w:sz w:val="18"/>
                <w:szCs w:val="18"/>
                <w:lang w:eastAsia="zh-CN"/>
              </w:rPr>
              <w:t>，</w:t>
            </w:r>
            <w:r>
              <w:rPr>
                <w:rFonts w:hint="eastAsia" w:ascii="宋体" w:hAnsi="宋体"/>
                <w:sz w:val="18"/>
                <w:szCs w:val="18"/>
              </w:rPr>
              <w:t>锅炉间人员出入口应有1个直通室外；</w:t>
            </w:r>
          </w:p>
          <w:p w14:paraId="2A3E8B98">
            <w:pPr>
              <w:adjustRightInd w:val="0"/>
              <w:snapToGrid w:val="0"/>
              <w:jc w:val="left"/>
              <w:rPr>
                <w:rFonts w:hint="eastAsia" w:ascii="宋体" w:hAnsi="宋体"/>
                <w:sz w:val="18"/>
                <w:szCs w:val="18"/>
              </w:rPr>
            </w:pPr>
            <w:r>
              <w:rPr>
                <w:rFonts w:hint="eastAsia" w:ascii="宋体" w:hAnsi="宋体"/>
                <w:sz w:val="18"/>
                <w:szCs w:val="18"/>
              </w:rPr>
              <w:t>c）锅炉间通向室外的门应向室外开启，锅炉房内的辅助间或生活间直通锅炉间的门应向锅炉间内开启；</w:t>
            </w:r>
          </w:p>
          <w:p w14:paraId="1BD04DCE">
            <w:pPr>
              <w:adjustRightInd w:val="0"/>
              <w:snapToGrid w:val="0"/>
              <w:jc w:val="left"/>
              <w:rPr>
                <w:rFonts w:hint="eastAsia" w:ascii="宋体" w:hAnsi="宋体"/>
                <w:sz w:val="18"/>
                <w:szCs w:val="18"/>
              </w:rPr>
            </w:pPr>
            <w:r>
              <w:rPr>
                <w:rFonts w:hint="eastAsia" w:ascii="宋体" w:hAnsi="宋体"/>
                <w:sz w:val="18"/>
                <w:szCs w:val="18"/>
              </w:rPr>
              <w:t>d）燃气调压间、燃气锅炉间的可燃气体浓度报警装置，应与房间事故通风机联动，并应与燃气供气母管的总切断阀联动，设有防灾中心时，应将信号传至防灾中心；</w:t>
            </w:r>
          </w:p>
          <w:p w14:paraId="0BE0B6AA">
            <w:pPr>
              <w:adjustRightInd w:val="0"/>
              <w:snapToGrid w:val="0"/>
              <w:jc w:val="left"/>
              <w:rPr>
                <w:rFonts w:hint="eastAsia" w:ascii="宋体" w:hAnsi="宋体"/>
                <w:sz w:val="18"/>
                <w:szCs w:val="18"/>
              </w:rPr>
            </w:pPr>
            <w:r>
              <w:rPr>
                <w:rFonts w:hint="eastAsia" w:ascii="宋体" w:hAnsi="宋体"/>
                <w:sz w:val="18"/>
                <w:szCs w:val="18"/>
              </w:rPr>
              <w:t>e）在引入锅炉房的室外燃气母管上，在安全和便于操作的地点应装设与锅炉房燃气浓度报警装置联动的紧急切断阀，阀后应装设气体压力表；</w:t>
            </w:r>
          </w:p>
          <w:p w14:paraId="2E5334A5">
            <w:pPr>
              <w:adjustRightInd w:val="0"/>
              <w:snapToGrid w:val="0"/>
              <w:jc w:val="left"/>
              <w:rPr>
                <w:rFonts w:hint="eastAsia" w:ascii="宋体" w:hAnsi="宋体"/>
                <w:sz w:val="18"/>
                <w:szCs w:val="18"/>
              </w:rPr>
            </w:pPr>
            <w:r>
              <w:rPr>
                <w:rFonts w:hint="eastAsia" w:ascii="宋体" w:hAnsi="宋体"/>
                <w:sz w:val="18"/>
                <w:szCs w:val="18"/>
              </w:rPr>
              <w:t>f）燃气管道上应装设放散管，放散管可汇合成总管引至室外，其排出口应高出锅炉房 屋脊2m以上，并应使放出的气体不致窜入邻近的建筑物和被通风装置吸入；</w:t>
            </w:r>
          </w:p>
          <w:p w14:paraId="12556858">
            <w:pPr>
              <w:adjustRightInd w:val="0"/>
              <w:snapToGrid w:val="0"/>
              <w:jc w:val="left"/>
              <w:rPr>
                <w:rFonts w:ascii="宋体" w:hAnsi="宋体"/>
                <w:bCs/>
                <w:sz w:val="18"/>
                <w:szCs w:val="18"/>
              </w:rPr>
            </w:pPr>
            <w:r>
              <w:rPr>
                <w:rFonts w:hint="eastAsia" w:ascii="宋体" w:hAnsi="宋体"/>
                <w:sz w:val="18"/>
                <w:szCs w:val="18"/>
              </w:rPr>
              <w:t>g）锅炉房和其他建筑物贴邻时，应采用防火墙与贴邻的建筑分隔；</w:t>
            </w:r>
          </w:p>
        </w:tc>
        <w:tc>
          <w:tcPr>
            <w:tcW w:w="599" w:type="dxa"/>
            <w:tcBorders>
              <w:top w:val="single" w:color="auto" w:sz="8" w:space="0"/>
              <w:bottom w:val="single" w:color="auto" w:sz="8" w:space="0"/>
            </w:tcBorders>
            <w:noWrap w:val="0"/>
            <w:vAlign w:val="center"/>
          </w:tcPr>
          <w:p w14:paraId="5CB6F1A7">
            <w:pPr>
              <w:adjustRightInd w:val="0"/>
              <w:snapToGrid w:val="0"/>
              <w:jc w:val="center"/>
              <w:rPr>
                <w:rFonts w:ascii="宋体" w:hAnsi="宋体"/>
                <w:bCs/>
                <w:sz w:val="18"/>
                <w:szCs w:val="18"/>
              </w:rPr>
            </w:pPr>
          </w:p>
        </w:tc>
        <w:tc>
          <w:tcPr>
            <w:tcW w:w="608" w:type="dxa"/>
            <w:tcBorders>
              <w:top w:val="single" w:color="auto" w:sz="8" w:space="0"/>
              <w:bottom w:val="single" w:color="auto" w:sz="8" w:space="0"/>
            </w:tcBorders>
            <w:noWrap w:val="0"/>
            <w:vAlign w:val="center"/>
          </w:tcPr>
          <w:p w14:paraId="65CB4FD2">
            <w:pPr>
              <w:adjustRightInd w:val="0"/>
              <w:snapToGrid w:val="0"/>
              <w:jc w:val="center"/>
              <w:rPr>
                <w:rFonts w:ascii="宋体" w:hAnsi="宋体"/>
                <w:bCs/>
                <w:sz w:val="18"/>
                <w:szCs w:val="18"/>
              </w:rPr>
            </w:pPr>
          </w:p>
        </w:tc>
        <w:tc>
          <w:tcPr>
            <w:tcW w:w="660" w:type="dxa"/>
            <w:tcBorders>
              <w:top w:val="single" w:color="auto" w:sz="8" w:space="0"/>
              <w:bottom w:val="single" w:color="auto" w:sz="8" w:space="0"/>
            </w:tcBorders>
            <w:noWrap w:val="0"/>
            <w:vAlign w:val="center"/>
          </w:tcPr>
          <w:p w14:paraId="65FC7AC7">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6</w:t>
            </w:r>
          </w:p>
        </w:tc>
        <w:tc>
          <w:tcPr>
            <w:tcW w:w="2760" w:type="dxa"/>
            <w:tcBorders>
              <w:top w:val="single" w:color="auto" w:sz="8" w:space="0"/>
              <w:bottom w:val="single" w:color="auto" w:sz="8" w:space="0"/>
            </w:tcBorders>
            <w:noWrap w:val="0"/>
            <w:vAlign w:val="center"/>
          </w:tcPr>
          <w:p w14:paraId="6E32B175">
            <w:pPr>
              <w:adjustRightInd w:val="0"/>
              <w:snapToGrid w:val="0"/>
              <w:rPr>
                <w:rFonts w:ascii="宋体" w:hAnsi="宋体"/>
                <w:bCs/>
                <w:sz w:val="18"/>
                <w:szCs w:val="18"/>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719" w:type="dxa"/>
            <w:tcBorders>
              <w:top w:val="single" w:color="auto" w:sz="8" w:space="0"/>
              <w:bottom w:val="single" w:color="auto" w:sz="8" w:space="0"/>
            </w:tcBorders>
            <w:noWrap w:val="0"/>
            <w:vAlign w:val="center"/>
          </w:tcPr>
          <w:p w14:paraId="3F1D2544">
            <w:pPr>
              <w:adjustRightInd w:val="0"/>
              <w:snapToGrid w:val="0"/>
              <w:jc w:val="center"/>
              <w:rPr>
                <w:rFonts w:ascii="宋体" w:hAnsi="宋体"/>
                <w:bCs/>
                <w:sz w:val="18"/>
                <w:szCs w:val="18"/>
              </w:rPr>
            </w:pPr>
          </w:p>
        </w:tc>
        <w:tc>
          <w:tcPr>
            <w:tcW w:w="1299" w:type="dxa"/>
            <w:tcBorders>
              <w:top w:val="single" w:color="auto" w:sz="8" w:space="0"/>
              <w:bottom w:val="single" w:color="auto" w:sz="8" w:space="0"/>
            </w:tcBorders>
            <w:noWrap w:val="0"/>
            <w:vAlign w:val="center"/>
          </w:tcPr>
          <w:p w14:paraId="59F4BC98">
            <w:pPr>
              <w:adjustRightInd w:val="0"/>
              <w:snapToGrid w:val="0"/>
              <w:jc w:val="center"/>
              <w:rPr>
                <w:rFonts w:ascii="宋体" w:hAnsi="宋体"/>
                <w:bCs/>
                <w:sz w:val="18"/>
                <w:szCs w:val="18"/>
              </w:rPr>
            </w:pPr>
          </w:p>
        </w:tc>
        <w:tc>
          <w:tcPr>
            <w:tcW w:w="1443" w:type="dxa"/>
            <w:tcBorders>
              <w:top w:val="single" w:color="auto" w:sz="8" w:space="0"/>
              <w:bottom w:val="single" w:color="auto" w:sz="8" w:space="0"/>
            </w:tcBorders>
            <w:noWrap w:val="0"/>
            <w:vAlign w:val="center"/>
          </w:tcPr>
          <w:p w14:paraId="09710FED">
            <w:pPr>
              <w:adjustRightInd w:val="0"/>
              <w:snapToGrid w:val="0"/>
              <w:jc w:val="center"/>
              <w:rPr>
                <w:rFonts w:ascii="宋体" w:hAnsi="宋体"/>
                <w:bCs/>
                <w:sz w:val="18"/>
                <w:szCs w:val="18"/>
              </w:rPr>
            </w:pPr>
            <w:r>
              <w:rPr>
                <w:rFonts w:hint="eastAsia" w:ascii="宋体" w:hAnsi="宋体"/>
                <w:sz w:val="18"/>
                <w:szCs w:val="18"/>
                <w:lang w:eastAsia="zh-CN"/>
              </w:rPr>
              <w:t>4.5</w:t>
            </w:r>
            <w:r>
              <w:rPr>
                <w:rFonts w:hint="eastAsia" w:ascii="宋体" w:hAnsi="宋体"/>
                <w:sz w:val="18"/>
                <w:szCs w:val="18"/>
              </w:rPr>
              <w:t>.1.1</w:t>
            </w:r>
          </w:p>
        </w:tc>
      </w:tr>
    </w:tbl>
    <w:p w14:paraId="0BEC1715">
      <w:pPr>
        <w:pStyle w:val="168"/>
        <w:widowControl/>
        <w:numPr>
          <w:ilvl w:val="0"/>
          <w:numId w:val="0"/>
        </w:numPr>
        <w:spacing w:before="156" w:after="156"/>
        <w:ind w:left="567" w:hanging="567"/>
        <w:jc w:val="center"/>
      </w:pPr>
      <w:r>
        <w:br w:type="page"/>
      </w: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4"/>
        <w:gridCol w:w="6838"/>
        <w:gridCol w:w="633"/>
        <w:gridCol w:w="633"/>
        <w:gridCol w:w="602"/>
        <w:gridCol w:w="2106"/>
        <w:gridCol w:w="633"/>
        <w:gridCol w:w="1299"/>
        <w:gridCol w:w="1655"/>
      </w:tblGrid>
      <w:tr w14:paraId="235E7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214987DE">
            <w:pPr>
              <w:adjustRightInd w:val="0"/>
              <w:snapToGrid w:val="0"/>
              <w:jc w:val="center"/>
              <w:rPr>
                <w:rFonts w:ascii="宋体" w:hAnsi="宋体"/>
                <w:bCs/>
                <w:sz w:val="18"/>
                <w:szCs w:val="18"/>
              </w:rPr>
            </w:pPr>
            <w:r>
              <w:rPr>
                <w:rFonts w:ascii="宋体" w:hAnsi="宋体"/>
                <w:bCs/>
                <w:sz w:val="18"/>
                <w:szCs w:val="18"/>
              </w:rPr>
              <w:t>序号</w:t>
            </w:r>
          </w:p>
        </w:tc>
        <w:tc>
          <w:tcPr>
            <w:tcW w:w="6838" w:type="dxa"/>
            <w:noWrap w:val="0"/>
            <w:vAlign w:val="center"/>
          </w:tcPr>
          <w:p w14:paraId="415E63D8">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0A270369">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75AAC8BC">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1B26F7C7">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06" w:type="dxa"/>
            <w:noWrap w:val="0"/>
            <w:vAlign w:val="center"/>
          </w:tcPr>
          <w:p w14:paraId="36C19F9D">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0E72D223">
            <w:pPr>
              <w:adjustRightInd w:val="0"/>
              <w:snapToGrid w:val="0"/>
              <w:jc w:val="center"/>
              <w:rPr>
                <w:rFonts w:ascii="宋体" w:hAnsi="宋体"/>
                <w:bCs/>
                <w:sz w:val="18"/>
                <w:szCs w:val="18"/>
              </w:rPr>
            </w:pPr>
            <w:r>
              <w:rPr>
                <w:rFonts w:hint="eastAsia" w:ascii="宋体" w:hAnsi="宋体"/>
                <w:bCs/>
                <w:sz w:val="18"/>
                <w:szCs w:val="18"/>
              </w:rPr>
              <w:t>评定得分</w:t>
            </w:r>
          </w:p>
        </w:tc>
        <w:tc>
          <w:tcPr>
            <w:tcW w:w="1299" w:type="dxa"/>
            <w:noWrap w:val="0"/>
            <w:vAlign w:val="center"/>
          </w:tcPr>
          <w:p w14:paraId="7B85FE67">
            <w:pPr>
              <w:adjustRightInd w:val="0"/>
              <w:snapToGrid w:val="0"/>
              <w:jc w:val="center"/>
              <w:rPr>
                <w:rFonts w:ascii="宋体" w:hAnsi="宋体"/>
                <w:bCs/>
                <w:sz w:val="18"/>
                <w:szCs w:val="18"/>
              </w:rPr>
            </w:pPr>
            <w:r>
              <w:rPr>
                <w:rFonts w:hint="eastAsia" w:ascii="宋体" w:hAnsi="宋体"/>
                <w:bCs/>
                <w:sz w:val="18"/>
                <w:szCs w:val="18"/>
              </w:rPr>
              <w:t>扣分说明</w:t>
            </w:r>
          </w:p>
        </w:tc>
        <w:tc>
          <w:tcPr>
            <w:tcW w:w="1655" w:type="dxa"/>
            <w:noWrap w:val="0"/>
            <w:vAlign w:val="center"/>
          </w:tcPr>
          <w:p w14:paraId="2058FAEC">
            <w:pPr>
              <w:adjustRightInd w:val="0"/>
              <w:snapToGrid w:val="0"/>
              <w:jc w:val="center"/>
              <w:rPr>
                <w:rFonts w:ascii="宋体" w:hAnsi="宋体"/>
                <w:bCs/>
                <w:sz w:val="18"/>
                <w:szCs w:val="18"/>
              </w:rPr>
            </w:pPr>
            <w:r>
              <w:rPr>
                <w:rFonts w:ascii="宋体" w:hAnsi="宋体"/>
                <w:bCs/>
                <w:sz w:val="18"/>
                <w:szCs w:val="18"/>
              </w:rPr>
              <w:t>对应条款编号</w:t>
            </w:r>
          </w:p>
        </w:tc>
      </w:tr>
      <w:tr w14:paraId="5E096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448540F3">
            <w:pPr>
              <w:pStyle w:val="207"/>
              <w:adjustRightInd w:val="0"/>
              <w:spacing w:line="240" w:lineRule="exact"/>
              <w:ind w:right="0" w:rightChars="0"/>
              <w:jc w:val="center"/>
              <w:outlineLvl w:val="9"/>
              <w:rPr>
                <w:rFonts w:ascii="宋体" w:hAnsi="宋体" w:eastAsia="宋体"/>
                <w:spacing w:val="0"/>
                <w:kern w:val="2"/>
                <w:sz w:val="18"/>
                <w:szCs w:val="18"/>
              </w:rPr>
            </w:pPr>
          </w:p>
        </w:tc>
        <w:tc>
          <w:tcPr>
            <w:tcW w:w="6838" w:type="dxa"/>
            <w:noWrap w:val="0"/>
            <w:vAlign w:val="center"/>
          </w:tcPr>
          <w:p w14:paraId="771CB85E">
            <w:pPr>
              <w:adjustRightInd w:val="0"/>
              <w:snapToGrid w:val="0"/>
              <w:ind w:firstLine="0" w:firstLineChars="0"/>
              <w:rPr>
                <w:rFonts w:hint="eastAsia" w:ascii="宋体" w:hAnsi="宋体"/>
                <w:sz w:val="18"/>
                <w:szCs w:val="18"/>
              </w:rPr>
            </w:pPr>
            <w:r>
              <w:rPr>
                <w:rFonts w:hint="eastAsia" w:ascii="宋体" w:hAnsi="宋体"/>
                <w:sz w:val="18"/>
                <w:szCs w:val="18"/>
              </w:rPr>
              <w:t>h）设在其他建筑物内的燃气锅炉房的锅炉间，应设置独立的送排风系统，其通风装置应防爆；</w:t>
            </w:r>
          </w:p>
          <w:p w14:paraId="542A9960">
            <w:pPr>
              <w:adjustRightInd w:val="0"/>
              <w:snapToGrid w:val="0"/>
              <w:ind w:firstLine="0" w:firstLineChars="0"/>
              <w:rPr>
                <w:rFonts w:hint="eastAsia" w:ascii="宋体" w:hAnsi="宋体"/>
                <w:sz w:val="18"/>
                <w:szCs w:val="18"/>
              </w:rPr>
            </w:pPr>
            <w:r>
              <w:rPr>
                <w:rFonts w:hint="eastAsia" w:ascii="宋体" w:hAnsi="宋体"/>
                <w:sz w:val="18"/>
                <w:szCs w:val="18"/>
              </w:rPr>
              <w:t>i）燃气热水锅炉应每周至少排污一次；</w:t>
            </w:r>
          </w:p>
          <w:p w14:paraId="2F222A2D">
            <w:pPr>
              <w:adjustRightInd w:val="0"/>
              <w:snapToGrid w:val="0"/>
              <w:ind w:firstLine="0" w:firstLineChars="0"/>
              <w:rPr>
                <w:rFonts w:hint="eastAsia" w:ascii="宋体" w:hAnsi="宋体"/>
                <w:sz w:val="18"/>
                <w:szCs w:val="18"/>
              </w:rPr>
            </w:pPr>
            <w:r>
              <w:rPr>
                <w:rFonts w:hint="eastAsia" w:ascii="宋体" w:hAnsi="宋体"/>
                <w:sz w:val="18"/>
                <w:szCs w:val="18"/>
              </w:rPr>
              <w:t>j）架空敷设或外露的燃气管道，应有与输送介质相一致的识别色、识别符号（介质名称和流向）和安全标识；</w:t>
            </w:r>
          </w:p>
          <w:p w14:paraId="0E9BC3FE">
            <w:pPr>
              <w:adjustRightInd w:val="0"/>
              <w:snapToGrid w:val="0"/>
              <w:ind w:firstLine="0" w:firstLineChars="0"/>
              <w:rPr>
                <w:rFonts w:hint="eastAsia" w:ascii="宋体" w:hAnsi="宋体"/>
                <w:sz w:val="18"/>
                <w:szCs w:val="18"/>
              </w:rPr>
            </w:pPr>
            <w:r>
              <w:rPr>
                <w:rFonts w:hint="eastAsia" w:ascii="宋体" w:hAnsi="宋体"/>
                <w:sz w:val="18"/>
                <w:szCs w:val="18"/>
              </w:rPr>
              <w:t>k）燃气管道接地良好，螺</w:t>
            </w:r>
            <w:r>
              <w:rPr>
                <w:rFonts w:hint="eastAsia" w:ascii="宋体" w:hAnsi="宋体"/>
                <w:sz w:val="18"/>
                <w:szCs w:val="18"/>
                <w:lang w:val="en-US" w:eastAsia="zh-CN"/>
              </w:rPr>
              <w:t>栓</w:t>
            </w:r>
            <w:r>
              <w:rPr>
                <w:rFonts w:hint="eastAsia" w:ascii="宋体" w:hAnsi="宋体"/>
                <w:sz w:val="18"/>
                <w:szCs w:val="18"/>
              </w:rPr>
              <w:t>少于5个的法兰连接处跨接线应完好有效；接地电阻应每年检测1次，并保存记录；</w:t>
            </w:r>
          </w:p>
          <w:p w14:paraId="5C45AEEB">
            <w:pPr>
              <w:adjustRightInd w:val="0"/>
              <w:snapToGrid w:val="0"/>
              <w:ind w:firstLine="0" w:firstLineChars="0"/>
              <w:rPr>
                <w:rFonts w:hint="eastAsia" w:ascii="宋体" w:hAnsi="宋体"/>
                <w:sz w:val="18"/>
                <w:szCs w:val="18"/>
              </w:rPr>
            </w:pPr>
            <w:r>
              <w:rPr>
                <w:rFonts w:hint="eastAsia" w:ascii="宋体" w:hAnsi="宋体"/>
                <w:sz w:val="18"/>
                <w:szCs w:val="18"/>
              </w:rPr>
              <w:t>l）燃气锅炉和燃气直燃型吸收式冷（温）水机组的设置应符合下列要求：</w:t>
            </w:r>
          </w:p>
          <w:p w14:paraId="6F8051BA">
            <w:pPr>
              <w:adjustRightInd w:val="0"/>
              <w:snapToGrid w:val="0"/>
              <w:ind w:firstLine="360" w:firstLineChars="200"/>
              <w:rPr>
                <w:rFonts w:hint="eastAsia" w:ascii="宋体" w:hAnsi="宋体"/>
                <w:sz w:val="18"/>
                <w:szCs w:val="18"/>
              </w:rPr>
            </w:pPr>
            <w:r>
              <w:rPr>
                <w:rFonts w:hint="eastAsia" w:ascii="宋体" w:hAnsi="宋体"/>
                <w:sz w:val="18"/>
                <w:szCs w:val="18"/>
              </w:rPr>
              <w:t>1）宜设置在独立的专用房间内；</w:t>
            </w:r>
          </w:p>
          <w:p w14:paraId="078A8AC3">
            <w:pPr>
              <w:adjustRightInd w:val="0"/>
              <w:snapToGrid w:val="0"/>
              <w:ind w:firstLine="360" w:firstLineChars="200"/>
              <w:rPr>
                <w:rFonts w:hint="eastAsia" w:ascii="宋体" w:hAnsi="宋体"/>
                <w:sz w:val="18"/>
                <w:szCs w:val="18"/>
              </w:rPr>
            </w:pPr>
            <w:r>
              <w:rPr>
                <w:rFonts w:hint="eastAsia" w:ascii="宋体" w:hAnsi="宋体"/>
                <w:sz w:val="18"/>
                <w:szCs w:val="18"/>
              </w:rPr>
              <w:t>2）设置在建筑物内时，燃气锅炉房宜布置在建筑物的首层，不应布置在地下二层及二层以下，燃气常压锅炉和燃气直燃机可设置在地下二层；</w:t>
            </w:r>
          </w:p>
          <w:p w14:paraId="3BD46D01">
            <w:pPr>
              <w:adjustRightInd w:val="0"/>
              <w:snapToGrid w:val="0"/>
              <w:ind w:firstLine="360" w:firstLineChars="200"/>
              <w:rPr>
                <w:rFonts w:hint="eastAsia" w:ascii="宋体" w:hAnsi="宋体"/>
                <w:sz w:val="18"/>
                <w:szCs w:val="18"/>
              </w:rPr>
            </w:pPr>
            <w:r>
              <w:rPr>
                <w:rFonts w:hint="eastAsia" w:ascii="宋体" w:hAnsi="宋体"/>
                <w:sz w:val="18"/>
                <w:szCs w:val="18"/>
              </w:rPr>
              <w:t>3）燃气锅炉房和燃气直燃机不应设置在人员密集场所的上一层、下一层或贴邻的房间内及主要疏散口的两旁；</w:t>
            </w:r>
          </w:p>
          <w:p w14:paraId="68C0FD36">
            <w:pPr>
              <w:adjustRightInd w:val="0"/>
              <w:snapToGrid w:val="0"/>
              <w:ind w:firstLine="360" w:firstLineChars="200"/>
              <w:rPr>
                <w:rFonts w:hint="eastAsia" w:ascii="宋体" w:hAnsi="宋体"/>
                <w:sz w:val="18"/>
                <w:szCs w:val="18"/>
              </w:rPr>
            </w:pPr>
            <w:r>
              <w:rPr>
                <w:rFonts w:hint="eastAsia" w:ascii="宋体" w:hAnsi="宋体"/>
                <w:sz w:val="18"/>
                <w:szCs w:val="18"/>
              </w:rPr>
              <w:t>4）燃气相对密度（空气等于1）大于或等于0.75的燃气锅炉和燃气直燃机，不</w:t>
            </w:r>
            <w:r>
              <w:rPr>
                <w:rFonts w:hint="eastAsia" w:ascii="宋体" w:hAnsi="宋体"/>
                <w:sz w:val="18"/>
                <w:szCs w:val="18"/>
                <w:lang w:val="en-US" w:eastAsia="zh-CN"/>
              </w:rPr>
              <w:t>应</w:t>
            </w:r>
            <w:r>
              <w:rPr>
                <w:rFonts w:hint="eastAsia" w:ascii="宋体" w:hAnsi="宋体"/>
                <w:sz w:val="18"/>
                <w:szCs w:val="18"/>
              </w:rPr>
              <w:t>设置在建筑物地下室和半地下室；</w:t>
            </w:r>
          </w:p>
          <w:p w14:paraId="6B161C9D">
            <w:pPr>
              <w:adjustRightInd w:val="0"/>
              <w:snapToGrid w:val="0"/>
              <w:ind w:firstLine="360" w:firstLineChars="200"/>
              <w:rPr>
                <w:rFonts w:hint="eastAsia" w:ascii="宋体" w:hAnsi="宋体"/>
                <w:sz w:val="18"/>
                <w:szCs w:val="18"/>
              </w:rPr>
            </w:pPr>
            <w:r>
              <w:rPr>
                <w:rFonts w:hint="eastAsia" w:ascii="宋体" w:hAnsi="宋体"/>
                <w:sz w:val="18"/>
                <w:szCs w:val="18"/>
              </w:rPr>
              <w:t>5）应有可靠的排烟设施和通风设施。</w:t>
            </w:r>
          </w:p>
          <w:p w14:paraId="3F4F931C">
            <w:pPr>
              <w:adjustRightInd w:val="0"/>
              <w:snapToGrid w:val="0"/>
              <w:ind w:firstLine="0" w:firstLineChars="0"/>
              <w:rPr>
                <w:rFonts w:ascii="宋体" w:hAnsi="宋体"/>
                <w:sz w:val="18"/>
                <w:szCs w:val="18"/>
              </w:rPr>
            </w:pPr>
            <w:r>
              <w:rPr>
                <w:rFonts w:hint="eastAsia" w:ascii="宋体" w:hAnsi="宋体"/>
                <w:sz w:val="18"/>
                <w:szCs w:val="18"/>
              </w:rPr>
              <w:t>m）应定期进行锅炉水质化验，水质化验合格，记录完整。</w:t>
            </w:r>
          </w:p>
        </w:tc>
        <w:tc>
          <w:tcPr>
            <w:tcW w:w="633" w:type="dxa"/>
            <w:noWrap w:val="0"/>
            <w:vAlign w:val="center"/>
          </w:tcPr>
          <w:p w14:paraId="143D95D8">
            <w:pPr>
              <w:adjustRightInd w:val="0"/>
              <w:snapToGrid w:val="0"/>
              <w:rPr>
                <w:rFonts w:ascii="宋体" w:hAnsi="宋体"/>
                <w:sz w:val="18"/>
                <w:szCs w:val="18"/>
              </w:rPr>
            </w:pPr>
          </w:p>
        </w:tc>
        <w:tc>
          <w:tcPr>
            <w:tcW w:w="633" w:type="dxa"/>
            <w:noWrap w:val="0"/>
            <w:vAlign w:val="center"/>
          </w:tcPr>
          <w:p w14:paraId="05223954">
            <w:pPr>
              <w:adjustRightInd w:val="0"/>
              <w:snapToGrid w:val="0"/>
              <w:rPr>
                <w:rFonts w:ascii="宋体" w:hAnsi="宋体"/>
                <w:sz w:val="18"/>
                <w:szCs w:val="18"/>
              </w:rPr>
            </w:pPr>
          </w:p>
        </w:tc>
        <w:tc>
          <w:tcPr>
            <w:tcW w:w="602" w:type="dxa"/>
            <w:noWrap w:val="0"/>
            <w:vAlign w:val="center"/>
          </w:tcPr>
          <w:p w14:paraId="3AE7F6BA">
            <w:pPr>
              <w:adjustRightInd w:val="0"/>
              <w:snapToGrid w:val="0"/>
              <w:rPr>
                <w:rFonts w:ascii="宋体" w:hAnsi="宋体"/>
                <w:sz w:val="18"/>
                <w:szCs w:val="18"/>
              </w:rPr>
            </w:pPr>
          </w:p>
        </w:tc>
        <w:tc>
          <w:tcPr>
            <w:tcW w:w="2106" w:type="dxa"/>
            <w:noWrap w:val="0"/>
            <w:vAlign w:val="center"/>
          </w:tcPr>
          <w:p w14:paraId="627F1A65">
            <w:pPr>
              <w:pStyle w:val="207"/>
              <w:numPr>
                <w:ilvl w:val="3"/>
                <w:numId w:val="0"/>
              </w:numPr>
              <w:adjustRightInd w:val="0"/>
              <w:snapToGrid w:val="0"/>
              <w:ind w:right="-105"/>
              <w:outlineLvl w:val="9"/>
              <w:rPr>
                <w:rFonts w:ascii="宋体" w:hAnsi="宋体" w:eastAsia="宋体"/>
                <w:bCs/>
                <w:sz w:val="18"/>
                <w:szCs w:val="18"/>
              </w:rPr>
            </w:pPr>
          </w:p>
        </w:tc>
        <w:tc>
          <w:tcPr>
            <w:tcW w:w="633" w:type="dxa"/>
            <w:noWrap w:val="0"/>
            <w:vAlign w:val="center"/>
          </w:tcPr>
          <w:p w14:paraId="224C634F">
            <w:pPr>
              <w:adjustRightInd w:val="0"/>
              <w:snapToGrid w:val="0"/>
              <w:rPr>
                <w:rFonts w:ascii="宋体" w:hAnsi="宋体"/>
                <w:sz w:val="18"/>
                <w:szCs w:val="18"/>
              </w:rPr>
            </w:pPr>
          </w:p>
        </w:tc>
        <w:tc>
          <w:tcPr>
            <w:tcW w:w="1299" w:type="dxa"/>
            <w:noWrap w:val="0"/>
            <w:vAlign w:val="center"/>
          </w:tcPr>
          <w:p w14:paraId="53F739B5">
            <w:pPr>
              <w:adjustRightInd w:val="0"/>
              <w:snapToGrid w:val="0"/>
              <w:rPr>
                <w:rFonts w:ascii="宋体" w:hAnsi="宋体" w:cs="宋体"/>
                <w:kern w:val="0"/>
                <w:sz w:val="18"/>
                <w:szCs w:val="18"/>
              </w:rPr>
            </w:pPr>
          </w:p>
        </w:tc>
        <w:tc>
          <w:tcPr>
            <w:tcW w:w="1655" w:type="dxa"/>
            <w:noWrap w:val="0"/>
            <w:vAlign w:val="center"/>
          </w:tcPr>
          <w:p w14:paraId="420323B0">
            <w:pPr>
              <w:pStyle w:val="207"/>
              <w:numPr>
                <w:ilvl w:val="3"/>
                <w:numId w:val="0"/>
              </w:numPr>
              <w:adjustRightInd w:val="0"/>
              <w:snapToGrid w:val="0"/>
              <w:ind w:right="-105"/>
              <w:jc w:val="center"/>
              <w:outlineLvl w:val="9"/>
              <w:rPr>
                <w:rFonts w:hint="eastAsia" w:ascii="宋体" w:hAnsi="宋体" w:eastAsia="宋体" w:cs="宋体"/>
                <w:sz w:val="18"/>
                <w:szCs w:val="18"/>
              </w:rPr>
            </w:pPr>
          </w:p>
        </w:tc>
      </w:tr>
      <w:tr w14:paraId="57982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71BC1AE3">
            <w:pPr>
              <w:pStyle w:val="207"/>
              <w:adjustRightInd w:val="0"/>
              <w:spacing w:line="240" w:lineRule="exact"/>
              <w:ind w:right="0" w:rightChars="0"/>
              <w:jc w:val="center"/>
              <w:rPr>
                <w:rFonts w:hint="eastAsia" w:ascii="宋体" w:hAnsi="宋体" w:eastAsia="宋体" w:cs="Times New Roman"/>
                <w:bCs/>
                <w:spacing w:val="2"/>
                <w:kern w:val="0"/>
                <w:sz w:val="18"/>
                <w:szCs w:val="18"/>
                <w:lang w:val="en-US" w:eastAsia="zh-CN" w:bidi="ar-SA"/>
              </w:rPr>
            </w:pPr>
            <w:r>
              <w:rPr>
                <w:rFonts w:hint="eastAsia" w:ascii="宋体" w:hAnsi="宋体" w:eastAsia="宋体"/>
                <w:sz w:val="18"/>
                <w:szCs w:val="18"/>
              </w:rPr>
              <w:t>5.1.</w:t>
            </w:r>
            <w:r>
              <w:rPr>
                <w:rFonts w:hint="eastAsia" w:ascii="宋体" w:hAnsi="宋体" w:eastAsia="宋体"/>
                <w:sz w:val="18"/>
                <w:szCs w:val="18"/>
                <w:lang w:val="en-US" w:eastAsia="zh-CN"/>
              </w:rPr>
              <w:t>2</w:t>
            </w:r>
          </w:p>
        </w:tc>
        <w:tc>
          <w:tcPr>
            <w:tcW w:w="6838" w:type="dxa"/>
            <w:noWrap w:val="0"/>
            <w:vAlign w:val="center"/>
          </w:tcPr>
          <w:p w14:paraId="51D634D1">
            <w:pPr>
              <w:adjustRightInd w:val="0"/>
              <w:snapToGrid w:val="0"/>
              <w:jc w:val="left"/>
              <w:rPr>
                <w:rFonts w:hint="eastAsia" w:ascii="宋体" w:hAnsi="宋体"/>
                <w:sz w:val="18"/>
                <w:szCs w:val="18"/>
              </w:rPr>
            </w:pPr>
            <w:r>
              <w:rPr>
                <w:rFonts w:hint="eastAsia" w:ascii="宋体" w:hAnsi="宋体"/>
                <w:sz w:val="18"/>
                <w:szCs w:val="18"/>
              </w:rPr>
              <w:t>锅炉作业应符合下列要求：</w:t>
            </w:r>
          </w:p>
          <w:p w14:paraId="27A4AD33">
            <w:pPr>
              <w:adjustRightInd w:val="0"/>
              <w:snapToGrid w:val="0"/>
              <w:jc w:val="left"/>
              <w:rPr>
                <w:rFonts w:ascii="宋体" w:hAnsi="宋体"/>
                <w:sz w:val="18"/>
                <w:szCs w:val="18"/>
              </w:rPr>
            </w:pPr>
            <w:r>
              <w:rPr>
                <w:rFonts w:hint="eastAsia" w:ascii="宋体" w:hAnsi="宋体"/>
                <w:sz w:val="18"/>
                <w:szCs w:val="18"/>
              </w:rPr>
              <w:t>a）锅炉房应有锅炉及附属设备的运行记录、交接班记录、水处理设备运行及水质化验记录、设备检修保养记录、设备管理人员每月1次的锅炉检查记录、事件事故记录；</w:t>
            </w:r>
          </w:p>
          <w:p w14:paraId="0A785889">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b</w:t>
            </w:r>
            <w:r>
              <w:rPr>
                <w:rFonts w:hint="eastAsia" w:ascii="宋体" w:hAnsi="宋体"/>
                <w:sz w:val="18"/>
                <w:szCs w:val="18"/>
              </w:rPr>
              <w:t>）锅炉房</w:t>
            </w:r>
            <w:r>
              <w:rPr>
                <w:rFonts w:hint="eastAsia" w:ascii="宋体" w:hAnsi="宋体"/>
                <w:sz w:val="18"/>
                <w:szCs w:val="18"/>
                <w:lang w:val="en-US" w:eastAsia="zh-CN"/>
              </w:rPr>
              <w:t>应建立</w:t>
            </w:r>
            <w:r>
              <w:rPr>
                <w:rFonts w:hint="eastAsia" w:ascii="宋体" w:hAnsi="宋体"/>
                <w:sz w:val="18"/>
                <w:szCs w:val="18"/>
              </w:rPr>
              <w:t>出入登记制度。</w:t>
            </w:r>
          </w:p>
        </w:tc>
        <w:tc>
          <w:tcPr>
            <w:tcW w:w="633" w:type="dxa"/>
            <w:noWrap w:val="0"/>
            <w:vAlign w:val="center"/>
          </w:tcPr>
          <w:p w14:paraId="7A1B233C">
            <w:pPr>
              <w:adjustRightInd w:val="0"/>
              <w:snapToGrid w:val="0"/>
              <w:jc w:val="center"/>
              <w:rPr>
                <w:rFonts w:ascii="宋体" w:hAnsi="宋体" w:eastAsia="宋体" w:cs="Times New Roman"/>
                <w:kern w:val="2"/>
                <w:sz w:val="18"/>
                <w:szCs w:val="18"/>
                <w:lang w:val="en-US" w:eastAsia="zh-CN" w:bidi="ar-SA"/>
              </w:rPr>
            </w:pPr>
          </w:p>
        </w:tc>
        <w:tc>
          <w:tcPr>
            <w:tcW w:w="633" w:type="dxa"/>
            <w:noWrap w:val="0"/>
            <w:vAlign w:val="center"/>
          </w:tcPr>
          <w:p w14:paraId="096FBF64">
            <w:pPr>
              <w:adjustRightInd w:val="0"/>
              <w:snapToGrid w:val="0"/>
              <w:jc w:val="center"/>
              <w:rPr>
                <w:rFonts w:ascii="宋体" w:hAnsi="宋体" w:eastAsia="宋体" w:cs="Times New Roman"/>
                <w:kern w:val="2"/>
                <w:sz w:val="18"/>
                <w:szCs w:val="18"/>
                <w:lang w:val="en-US" w:eastAsia="zh-CN" w:bidi="ar-SA"/>
              </w:rPr>
            </w:pPr>
          </w:p>
        </w:tc>
        <w:tc>
          <w:tcPr>
            <w:tcW w:w="602" w:type="dxa"/>
            <w:noWrap w:val="0"/>
            <w:vAlign w:val="center"/>
          </w:tcPr>
          <w:p w14:paraId="113AD64C">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p>
        </w:tc>
        <w:tc>
          <w:tcPr>
            <w:tcW w:w="2106" w:type="dxa"/>
            <w:noWrap w:val="0"/>
            <w:vAlign w:val="center"/>
          </w:tcPr>
          <w:p w14:paraId="5A13236E">
            <w:pPr>
              <w:pStyle w:val="207"/>
              <w:numPr>
                <w:ilvl w:val="3"/>
                <w:numId w:val="0"/>
              </w:numPr>
              <w:adjustRightInd w:val="0"/>
              <w:snapToGrid w:val="0"/>
              <w:ind w:left="0" w:leftChars="0" w:right="-105" w:rightChars="0" w:firstLine="0" w:firstLineChars="0"/>
              <w:rPr>
                <w:rFonts w:ascii="宋体" w:hAnsi="宋体" w:eastAsia="宋体" w:cs="Times New Roman"/>
                <w:bCs/>
                <w:spacing w:val="2"/>
                <w:kern w:val="0"/>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不符合扣</w:t>
            </w:r>
            <w:r>
              <w:rPr>
                <w:rFonts w:hint="eastAsia" w:ascii="宋体" w:hAnsi="宋体" w:eastAsia="宋体"/>
                <w:bCs/>
                <w:sz w:val="18"/>
                <w:szCs w:val="18"/>
              </w:rPr>
              <w:t>2分。</w:t>
            </w:r>
          </w:p>
        </w:tc>
        <w:tc>
          <w:tcPr>
            <w:tcW w:w="633" w:type="dxa"/>
            <w:noWrap w:val="0"/>
            <w:vAlign w:val="center"/>
          </w:tcPr>
          <w:p w14:paraId="3AFA278E">
            <w:pPr>
              <w:adjustRightInd w:val="0"/>
              <w:snapToGrid w:val="0"/>
              <w:rPr>
                <w:rFonts w:ascii="宋体" w:hAnsi="宋体" w:eastAsia="宋体" w:cs="Times New Roman"/>
                <w:kern w:val="2"/>
                <w:sz w:val="18"/>
                <w:szCs w:val="18"/>
                <w:lang w:val="en-US" w:eastAsia="zh-CN" w:bidi="ar-SA"/>
              </w:rPr>
            </w:pPr>
          </w:p>
        </w:tc>
        <w:tc>
          <w:tcPr>
            <w:tcW w:w="1299" w:type="dxa"/>
            <w:noWrap w:val="0"/>
            <w:vAlign w:val="center"/>
          </w:tcPr>
          <w:p w14:paraId="02534E44">
            <w:pPr>
              <w:adjustRightInd w:val="0"/>
              <w:snapToGrid w:val="0"/>
              <w:rPr>
                <w:rFonts w:ascii="宋体" w:hAnsi="宋体" w:eastAsia="宋体" w:cs="宋体"/>
                <w:kern w:val="0"/>
                <w:sz w:val="18"/>
                <w:szCs w:val="18"/>
                <w:lang w:val="en-US" w:eastAsia="zh-CN" w:bidi="ar-SA"/>
              </w:rPr>
            </w:pPr>
          </w:p>
        </w:tc>
        <w:tc>
          <w:tcPr>
            <w:tcW w:w="1655" w:type="dxa"/>
            <w:noWrap w:val="0"/>
            <w:vAlign w:val="center"/>
          </w:tcPr>
          <w:p w14:paraId="1552C8CA">
            <w:pPr>
              <w:pStyle w:val="207"/>
              <w:numPr>
                <w:ilvl w:val="3"/>
                <w:numId w:val="0"/>
              </w:numPr>
              <w:adjustRightInd/>
              <w:snapToGrid w:val="0"/>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eastAsia="zh-CN"/>
              </w:rPr>
              <w:t>4.5</w:t>
            </w:r>
            <w:r>
              <w:rPr>
                <w:rFonts w:hint="eastAsia" w:ascii="宋体" w:hAnsi="宋体" w:eastAsia="宋体"/>
                <w:sz w:val="18"/>
                <w:szCs w:val="18"/>
              </w:rPr>
              <w:t>.1.3</w:t>
            </w:r>
          </w:p>
          <w:p w14:paraId="40C8B5F0">
            <w:pPr>
              <w:snapToGrid w:val="0"/>
              <w:jc w:val="center"/>
              <w:rPr>
                <w:rFonts w:hint="default" w:eastAsia="宋体"/>
                <w:lang w:val="en-US" w:eastAsia="zh-CN"/>
              </w:rPr>
            </w:pPr>
            <w:r>
              <w:rPr>
                <w:rFonts w:hint="eastAsia" w:ascii="宋体" w:hAnsi="宋体"/>
                <w:sz w:val="18"/>
                <w:szCs w:val="18"/>
                <w:lang w:val="en-US" w:eastAsia="zh-CN"/>
              </w:rPr>
              <w:t>4.5.1.4</w:t>
            </w:r>
          </w:p>
        </w:tc>
      </w:tr>
      <w:tr w14:paraId="3D4B4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4F4B095F">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5.</w:t>
            </w:r>
            <w:r>
              <w:rPr>
                <w:rFonts w:hint="eastAsia" w:ascii="宋体" w:hAnsi="宋体"/>
                <w:sz w:val="18"/>
                <w:szCs w:val="18"/>
                <w:lang w:val="en-US" w:eastAsia="zh-CN"/>
              </w:rPr>
              <w:t>2</w:t>
            </w:r>
          </w:p>
        </w:tc>
        <w:tc>
          <w:tcPr>
            <w:tcW w:w="6838" w:type="dxa"/>
            <w:noWrap w:val="0"/>
            <w:vAlign w:val="center"/>
          </w:tcPr>
          <w:p w14:paraId="6C806F6D">
            <w:pPr>
              <w:adjustRightInd w:val="0"/>
              <w:snapToGrid w:val="0"/>
              <w:rPr>
                <w:rFonts w:hint="default" w:ascii="宋体" w:hAnsi="宋体" w:eastAsia="宋体"/>
                <w:sz w:val="18"/>
                <w:szCs w:val="18"/>
                <w:lang w:val="en-US" w:eastAsia="zh-CN"/>
              </w:rPr>
            </w:pPr>
            <w:r>
              <w:rPr>
                <w:rFonts w:hint="eastAsia" w:ascii="宋体" w:hAnsi="宋体"/>
                <w:sz w:val="18"/>
                <w:szCs w:val="18"/>
              </w:rPr>
              <w:t>地源热泵系统</w:t>
            </w:r>
            <w:r>
              <w:rPr>
                <w:rFonts w:hint="eastAsia" w:ascii="宋体" w:hAnsi="宋体"/>
                <w:sz w:val="18"/>
                <w:szCs w:val="18"/>
                <w:lang w:val="en-US" w:eastAsia="zh-CN"/>
              </w:rPr>
              <w:t>应符合下列要求：</w:t>
            </w:r>
          </w:p>
          <w:p w14:paraId="076EDD05">
            <w:pPr>
              <w:adjustRightInd w:val="0"/>
              <w:snapToGrid w:val="0"/>
              <w:rPr>
                <w:rFonts w:hint="eastAsia" w:ascii="宋体" w:hAnsi="宋体"/>
                <w:sz w:val="18"/>
                <w:szCs w:val="18"/>
              </w:rPr>
            </w:pPr>
            <w:r>
              <w:rPr>
                <w:rFonts w:hint="eastAsia" w:ascii="宋体" w:hAnsi="宋体"/>
                <w:kern w:val="0"/>
                <w:sz w:val="18"/>
                <w:szCs w:val="18"/>
              </w:rPr>
              <w:t>a）</w:t>
            </w:r>
            <w:r>
              <w:rPr>
                <w:rFonts w:hint="eastAsia" w:ascii="宋体" w:hAnsi="宋体"/>
                <w:sz w:val="18"/>
                <w:szCs w:val="18"/>
              </w:rPr>
              <w:t>设备机房内严禁烟火，不</w:t>
            </w:r>
            <w:r>
              <w:rPr>
                <w:rFonts w:hint="eastAsia" w:ascii="宋体" w:hAnsi="宋体"/>
                <w:sz w:val="18"/>
                <w:szCs w:val="18"/>
                <w:lang w:val="en-US" w:eastAsia="zh-CN"/>
              </w:rPr>
              <w:t>应</w:t>
            </w:r>
            <w:r>
              <w:rPr>
                <w:rFonts w:hint="eastAsia" w:ascii="宋体" w:hAnsi="宋体"/>
                <w:sz w:val="18"/>
                <w:szCs w:val="18"/>
              </w:rPr>
              <w:t>堆放易燃易爆危险品，且应设置灭火器等消防设施</w:t>
            </w:r>
            <w:r>
              <w:rPr>
                <w:rFonts w:hint="eastAsia" w:ascii="宋体" w:hAnsi="宋体"/>
                <w:sz w:val="18"/>
                <w:szCs w:val="18"/>
                <w:lang w:eastAsia="zh-CN"/>
              </w:rPr>
              <w:t>；</w:t>
            </w:r>
          </w:p>
          <w:p w14:paraId="2430CC3E">
            <w:pPr>
              <w:adjustRightInd w:val="0"/>
              <w:snapToGrid w:val="0"/>
              <w:rPr>
                <w:rFonts w:hint="eastAsia" w:ascii="宋体" w:hAnsi="宋体" w:eastAsia="宋体" w:cs="Times New Roman"/>
                <w:kern w:val="2"/>
                <w:sz w:val="18"/>
                <w:szCs w:val="18"/>
                <w:lang w:val="en-US" w:eastAsia="zh-CN" w:bidi="ar-SA"/>
              </w:rPr>
            </w:pPr>
            <w:r>
              <w:rPr>
                <w:rFonts w:hint="eastAsia" w:ascii="宋体" w:hAnsi="宋体"/>
                <w:kern w:val="0"/>
                <w:sz w:val="18"/>
                <w:szCs w:val="18"/>
                <w:lang w:val="en-US" w:eastAsia="zh-CN"/>
              </w:rPr>
              <w:t>b</w:t>
            </w:r>
            <w:r>
              <w:rPr>
                <w:rFonts w:hint="eastAsia" w:ascii="宋体" w:hAnsi="宋体"/>
                <w:kern w:val="0"/>
                <w:sz w:val="18"/>
                <w:szCs w:val="18"/>
              </w:rPr>
              <w:t>）</w:t>
            </w:r>
            <w:r>
              <w:rPr>
                <w:rFonts w:hint="eastAsia" w:ascii="宋体" w:hAnsi="宋体"/>
                <w:sz w:val="18"/>
                <w:szCs w:val="18"/>
              </w:rPr>
              <w:t>地源热泵系统内的各种阀门应设置功能状态标识。</w:t>
            </w:r>
          </w:p>
        </w:tc>
        <w:tc>
          <w:tcPr>
            <w:tcW w:w="633" w:type="dxa"/>
            <w:noWrap w:val="0"/>
            <w:vAlign w:val="center"/>
          </w:tcPr>
          <w:p w14:paraId="1B357F20">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33" w:type="dxa"/>
            <w:noWrap w:val="0"/>
            <w:vAlign w:val="center"/>
          </w:tcPr>
          <w:p w14:paraId="14BB8599">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2</w:t>
            </w:r>
          </w:p>
        </w:tc>
        <w:tc>
          <w:tcPr>
            <w:tcW w:w="602" w:type="dxa"/>
            <w:noWrap w:val="0"/>
            <w:vAlign w:val="center"/>
          </w:tcPr>
          <w:p w14:paraId="3575D64D">
            <w:pPr>
              <w:pStyle w:val="207"/>
              <w:numPr>
                <w:ilvl w:val="3"/>
                <w:numId w:val="0"/>
              </w:numPr>
              <w:adjustRightInd w:val="0"/>
              <w:snapToGrid w:val="0"/>
              <w:ind w:left="0" w:leftChars="0" w:right="-105" w:rightChars="0" w:firstLine="176" w:firstLineChars="98"/>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2</w:t>
            </w:r>
          </w:p>
        </w:tc>
        <w:tc>
          <w:tcPr>
            <w:tcW w:w="2106" w:type="dxa"/>
            <w:noWrap w:val="0"/>
            <w:vAlign w:val="center"/>
          </w:tcPr>
          <w:p w14:paraId="29533223">
            <w:pPr>
              <w:pStyle w:val="207"/>
              <w:numPr>
                <w:ilvl w:val="3"/>
                <w:numId w:val="0"/>
              </w:numPr>
              <w:adjustRightInd w:val="0"/>
              <w:snapToGrid w:val="0"/>
              <w:ind w:left="0" w:leftChars="0" w:right="-105" w:rightChars="0" w:firstLine="0" w:firstLineChars="0"/>
              <w:rPr>
                <w:rFonts w:ascii="宋体" w:hAnsi="宋体" w:eastAsia="宋体" w:cs="Times New Roman"/>
                <w:spacing w:val="0"/>
                <w:kern w:val="2"/>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33" w:type="dxa"/>
            <w:noWrap w:val="0"/>
            <w:vAlign w:val="center"/>
          </w:tcPr>
          <w:p w14:paraId="68058301">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99" w:type="dxa"/>
            <w:noWrap w:val="0"/>
            <w:vAlign w:val="center"/>
          </w:tcPr>
          <w:p w14:paraId="63958B1C">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655" w:type="dxa"/>
            <w:noWrap w:val="0"/>
            <w:vAlign w:val="center"/>
          </w:tcPr>
          <w:p w14:paraId="7A22A31E">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sz w:val="18"/>
                <w:szCs w:val="18"/>
                <w:lang w:eastAsia="zh-CN"/>
              </w:rPr>
              <w:t>4.5</w:t>
            </w:r>
            <w:r>
              <w:rPr>
                <w:rFonts w:hint="eastAsia" w:ascii="宋体" w:hAnsi="宋体" w:eastAsia="宋体"/>
                <w:sz w:val="18"/>
                <w:szCs w:val="18"/>
              </w:rPr>
              <w:t>.</w:t>
            </w:r>
            <w:r>
              <w:rPr>
                <w:rFonts w:hint="eastAsia" w:ascii="宋体" w:hAnsi="宋体" w:eastAsia="宋体"/>
                <w:sz w:val="18"/>
                <w:szCs w:val="18"/>
                <w:lang w:val="en-US" w:eastAsia="zh-CN"/>
              </w:rPr>
              <w:t>2</w:t>
            </w:r>
          </w:p>
        </w:tc>
      </w:tr>
      <w:tr w14:paraId="2D5C2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16DB0956">
            <w:pPr>
              <w:pStyle w:val="207"/>
              <w:adjustRightInd w:val="0"/>
              <w:spacing w:line="240" w:lineRule="exact"/>
              <w:ind w:right="0" w:rightChars="0"/>
              <w:jc w:val="center"/>
              <w:rPr>
                <w:rFonts w:hint="eastAsia" w:ascii="宋体" w:hAnsi="宋体" w:eastAsia="宋体" w:cs="Times New Roman"/>
                <w:bCs/>
                <w:spacing w:val="2"/>
                <w:kern w:val="0"/>
                <w:sz w:val="18"/>
                <w:szCs w:val="18"/>
                <w:lang w:val="en-US" w:eastAsia="zh-CN" w:bidi="ar-SA"/>
              </w:rPr>
            </w:pPr>
            <w:r>
              <w:rPr>
                <w:rFonts w:hint="eastAsia" w:ascii="宋体" w:hAnsi="宋体" w:eastAsia="宋体"/>
                <w:sz w:val="18"/>
                <w:szCs w:val="18"/>
                <w:lang w:val="en-US" w:eastAsia="zh-CN"/>
              </w:rPr>
              <w:t>5.3</w:t>
            </w:r>
          </w:p>
        </w:tc>
        <w:tc>
          <w:tcPr>
            <w:tcW w:w="6838" w:type="dxa"/>
            <w:noWrap w:val="0"/>
            <w:vAlign w:val="center"/>
          </w:tcPr>
          <w:p w14:paraId="4FE84D20">
            <w:pPr>
              <w:adjustRightInd w:val="0"/>
              <w:snapToGrid w:val="0"/>
              <w:jc w:val="left"/>
              <w:rPr>
                <w:rFonts w:hint="default" w:ascii="宋体" w:hAnsi="宋体" w:eastAsia="宋体"/>
                <w:sz w:val="18"/>
                <w:szCs w:val="18"/>
                <w:lang w:val="en-US" w:eastAsia="zh-CN"/>
              </w:rPr>
            </w:pPr>
            <w:r>
              <w:rPr>
                <w:rFonts w:hint="eastAsia" w:ascii="宋体" w:hAnsi="宋体"/>
                <w:sz w:val="18"/>
                <w:szCs w:val="18"/>
              </w:rPr>
              <w:t>空气源热泵</w:t>
            </w:r>
            <w:r>
              <w:rPr>
                <w:rFonts w:hint="eastAsia" w:ascii="宋体" w:hAnsi="宋体"/>
                <w:sz w:val="18"/>
                <w:szCs w:val="18"/>
                <w:lang w:val="en-US" w:eastAsia="zh-CN"/>
              </w:rPr>
              <w:t>应符合下列要求：</w:t>
            </w:r>
          </w:p>
          <w:p w14:paraId="31859F80">
            <w:pPr>
              <w:adjustRightInd w:val="0"/>
              <w:snapToGrid w:val="0"/>
              <w:jc w:val="left"/>
              <w:rPr>
                <w:rFonts w:hint="eastAsia" w:ascii="宋体" w:hAnsi="宋体"/>
                <w:sz w:val="18"/>
                <w:szCs w:val="18"/>
              </w:rPr>
            </w:pPr>
            <w:r>
              <w:rPr>
                <w:rFonts w:hint="eastAsia" w:ascii="宋体" w:hAnsi="宋体"/>
                <w:kern w:val="0"/>
                <w:sz w:val="18"/>
                <w:szCs w:val="18"/>
              </w:rPr>
              <w:t>a）</w:t>
            </w:r>
            <w:r>
              <w:rPr>
                <w:rFonts w:hint="eastAsia" w:ascii="宋体" w:hAnsi="宋体"/>
                <w:sz w:val="18"/>
                <w:szCs w:val="18"/>
              </w:rPr>
              <w:t>冬季有冻结风险的地区，空气源热泵热水供暖系统应采取防冻措施</w:t>
            </w:r>
            <w:r>
              <w:rPr>
                <w:rFonts w:hint="eastAsia" w:ascii="宋体" w:hAnsi="宋体"/>
                <w:sz w:val="18"/>
                <w:szCs w:val="18"/>
                <w:lang w:eastAsia="zh-CN"/>
              </w:rPr>
              <w:t>；</w:t>
            </w:r>
          </w:p>
          <w:p w14:paraId="0EF7DB00">
            <w:pPr>
              <w:adjustRightInd w:val="0"/>
              <w:snapToGrid w:val="0"/>
              <w:jc w:val="left"/>
              <w:rPr>
                <w:rFonts w:hint="eastAsia" w:ascii="宋体" w:hAnsi="宋体"/>
                <w:sz w:val="18"/>
                <w:szCs w:val="18"/>
              </w:rPr>
            </w:pPr>
            <w:r>
              <w:rPr>
                <w:rFonts w:hint="eastAsia" w:ascii="宋体" w:hAnsi="宋体"/>
                <w:kern w:val="0"/>
                <w:sz w:val="18"/>
                <w:szCs w:val="18"/>
                <w:lang w:val="en-US" w:eastAsia="zh-CN"/>
              </w:rPr>
              <w:t>b</w:t>
            </w:r>
            <w:r>
              <w:rPr>
                <w:rFonts w:hint="eastAsia" w:ascii="宋体" w:hAnsi="宋体"/>
                <w:kern w:val="0"/>
                <w:sz w:val="18"/>
                <w:szCs w:val="18"/>
              </w:rPr>
              <w:t>）</w:t>
            </w:r>
            <w:r>
              <w:rPr>
                <w:rFonts w:hint="eastAsia" w:ascii="宋体" w:hAnsi="宋体"/>
                <w:sz w:val="18"/>
                <w:szCs w:val="18"/>
              </w:rPr>
              <w:t>空气源热泵室外机安装场地应有排水设施，机组化霜水应有组织排放；室外机基础高度应大于 0.5 米</w:t>
            </w:r>
            <w:r>
              <w:rPr>
                <w:rFonts w:hint="eastAsia" w:ascii="宋体" w:hAnsi="宋体"/>
                <w:sz w:val="18"/>
                <w:szCs w:val="18"/>
                <w:lang w:eastAsia="zh-CN"/>
              </w:rPr>
              <w:t>；</w:t>
            </w:r>
          </w:p>
          <w:p w14:paraId="67D4CE22">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kern w:val="0"/>
                <w:sz w:val="18"/>
                <w:szCs w:val="18"/>
                <w:lang w:val="en-US" w:eastAsia="zh-CN"/>
              </w:rPr>
              <w:t>c</w:t>
            </w:r>
            <w:r>
              <w:rPr>
                <w:rFonts w:hint="eastAsia" w:ascii="宋体" w:hAnsi="宋体"/>
                <w:kern w:val="0"/>
                <w:sz w:val="18"/>
                <w:szCs w:val="18"/>
              </w:rPr>
              <w:t>）</w:t>
            </w:r>
            <w:r>
              <w:rPr>
                <w:rFonts w:hint="eastAsia" w:ascii="宋体" w:hAnsi="宋体"/>
                <w:sz w:val="18"/>
                <w:szCs w:val="18"/>
              </w:rPr>
              <w:t>配电箱设在室外时应选择防护等级IP54以上的室外型箱体</w:t>
            </w:r>
            <w:r>
              <w:rPr>
                <w:rFonts w:hint="eastAsia" w:ascii="宋体" w:hAnsi="宋体"/>
                <w:sz w:val="18"/>
                <w:szCs w:val="18"/>
                <w:lang w:eastAsia="zh-CN"/>
              </w:rPr>
              <w:t>。</w:t>
            </w:r>
          </w:p>
        </w:tc>
        <w:tc>
          <w:tcPr>
            <w:tcW w:w="633" w:type="dxa"/>
            <w:noWrap w:val="0"/>
            <w:vAlign w:val="center"/>
          </w:tcPr>
          <w:p w14:paraId="2C344A4D">
            <w:pPr>
              <w:adjustRightInd w:val="0"/>
              <w:snapToGrid w:val="0"/>
              <w:jc w:val="center"/>
              <w:rPr>
                <w:rFonts w:ascii="宋体" w:hAnsi="宋体" w:eastAsia="宋体" w:cs="Times New Roman"/>
                <w:kern w:val="2"/>
                <w:sz w:val="18"/>
                <w:szCs w:val="18"/>
                <w:lang w:val="en-US" w:eastAsia="zh-CN" w:bidi="ar-SA"/>
              </w:rPr>
            </w:pPr>
          </w:p>
        </w:tc>
        <w:tc>
          <w:tcPr>
            <w:tcW w:w="633" w:type="dxa"/>
            <w:noWrap w:val="0"/>
            <w:vAlign w:val="center"/>
          </w:tcPr>
          <w:p w14:paraId="75B7800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w:t>
            </w:r>
          </w:p>
        </w:tc>
        <w:tc>
          <w:tcPr>
            <w:tcW w:w="602" w:type="dxa"/>
            <w:noWrap w:val="0"/>
            <w:vAlign w:val="center"/>
          </w:tcPr>
          <w:p w14:paraId="59DC37AC">
            <w:pPr>
              <w:pStyle w:val="207"/>
              <w:numPr>
                <w:ilvl w:val="3"/>
                <w:numId w:val="0"/>
              </w:numPr>
              <w:adjustRightInd w:val="0"/>
              <w:snapToGrid w:val="0"/>
              <w:ind w:left="0" w:leftChars="0" w:right="-105" w:rightChars="0" w:firstLine="176" w:firstLineChars="98"/>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3</w:t>
            </w:r>
          </w:p>
        </w:tc>
        <w:tc>
          <w:tcPr>
            <w:tcW w:w="2106" w:type="dxa"/>
            <w:noWrap w:val="0"/>
            <w:vAlign w:val="center"/>
          </w:tcPr>
          <w:p w14:paraId="78231CB3">
            <w:pPr>
              <w:pStyle w:val="207"/>
              <w:numPr>
                <w:ilvl w:val="3"/>
                <w:numId w:val="0"/>
              </w:numPr>
              <w:adjustRightInd w:val="0"/>
              <w:snapToGrid w:val="0"/>
              <w:ind w:left="0" w:leftChars="0" w:right="-105" w:rightChars="0" w:firstLine="0" w:firstLineChars="0"/>
              <w:rPr>
                <w:rFonts w:ascii="宋体" w:hAnsi="宋体" w:eastAsia="宋体" w:cs="Times New Roman"/>
                <w:spacing w:val="0"/>
                <w:kern w:val="2"/>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w:t>
            </w:r>
            <w:r>
              <w:rPr>
                <w:rFonts w:hint="eastAsia" w:ascii="宋体" w:hAnsi="宋体" w:eastAsia="宋体"/>
                <w:bCs/>
                <w:sz w:val="18"/>
                <w:szCs w:val="18"/>
                <w:lang w:val="en-US" w:eastAsia="zh-CN"/>
              </w:rPr>
              <w:t>不得分</w:t>
            </w:r>
            <w:r>
              <w:rPr>
                <w:rFonts w:hint="eastAsia" w:ascii="宋体" w:hAnsi="宋体" w:eastAsia="宋体"/>
                <w:bCs/>
                <w:sz w:val="18"/>
                <w:szCs w:val="18"/>
              </w:rPr>
              <w:t>。</w:t>
            </w:r>
          </w:p>
        </w:tc>
        <w:tc>
          <w:tcPr>
            <w:tcW w:w="633" w:type="dxa"/>
            <w:noWrap w:val="0"/>
            <w:vAlign w:val="center"/>
          </w:tcPr>
          <w:p w14:paraId="61815D00">
            <w:pPr>
              <w:adjustRightInd w:val="0"/>
              <w:snapToGrid w:val="0"/>
              <w:rPr>
                <w:rFonts w:ascii="宋体" w:hAnsi="宋体" w:eastAsia="宋体" w:cs="Times New Roman"/>
                <w:kern w:val="2"/>
                <w:sz w:val="18"/>
                <w:szCs w:val="18"/>
                <w:lang w:val="en-US" w:eastAsia="zh-CN" w:bidi="ar-SA"/>
              </w:rPr>
            </w:pPr>
          </w:p>
        </w:tc>
        <w:tc>
          <w:tcPr>
            <w:tcW w:w="1299" w:type="dxa"/>
            <w:noWrap w:val="0"/>
            <w:vAlign w:val="center"/>
          </w:tcPr>
          <w:p w14:paraId="6E4F0EF9">
            <w:pPr>
              <w:adjustRightInd w:val="0"/>
              <w:snapToGrid w:val="0"/>
              <w:rPr>
                <w:rFonts w:ascii="宋体" w:hAnsi="宋体" w:eastAsia="宋体" w:cs="宋体"/>
                <w:kern w:val="0"/>
                <w:sz w:val="18"/>
                <w:szCs w:val="18"/>
                <w:lang w:val="en-US" w:eastAsia="zh-CN" w:bidi="ar-SA"/>
              </w:rPr>
            </w:pPr>
          </w:p>
        </w:tc>
        <w:tc>
          <w:tcPr>
            <w:tcW w:w="1655" w:type="dxa"/>
            <w:noWrap w:val="0"/>
            <w:vAlign w:val="center"/>
          </w:tcPr>
          <w:p w14:paraId="64C5EB82">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2"/>
                <w:kern w:val="0"/>
                <w:sz w:val="18"/>
                <w:szCs w:val="18"/>
                <w:lang w:val="en-US" w:eastAsia="zh-CN" w:bidi="ar-SA"/>
              </w:rPr>
            </w:pPr>
            <w:r>
              <w:rPr>
                <w:rFonts w:hint="eastAsia" w:ascii="宋体" w:hAnsi="宋体" w:eastAsia="宋体"/>
                <w:sz w:val="18"/>
                <w:szCs w:val="18"/>
                <w:lang w:val="en-US" w:eastAsia="zh-CN"/>
              </w:rPr>
              <w:t>4.5.3</w:t>
            </w:r>
          </w:p>
        </w:tc>
      </w:tr>
    </w:tbl>
    <w:p w14:paraId="799DEF35">
      <w:pPr>
        <w:pStyle w:val="168"/>
        <w:widowControl/>
        <w:numPr>
          <w:ilvl w:val="0"/>
          <w:numId w:val="0"/>
        </w:numPr>
        <w:spacing w:before="156" w:after="156"/>
        <w:ind w:left="567" w:hanging="567"/>
      </w:pPr>
      <w:r>
        <w:br w:type="page"/>
      </w: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4"/>
        <w:gridCol w:w="6838"/>
        <w:gridCol w:w="633"/>
        <w:gridCol w:w="633"/>
        <w:gridCol w:w="602"/>
        <w:gridCol w:w="2106"/>
        <w:gridCol w:w="633"/>
        <w:gridCol w:w="1299"/>
        <w:gridCol w:w="1655"/>
      </w:tblGrid>
      <w:tr w14:paraId="4C0C7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449916A3">
            <w:pPr>
              <w:adjustRightInd w:val="0"/>
              <w:snapToGrid w:val="0"/>
              <w:jc w:val="center"/>
              <w:rPr>
                <w:rFonts w:ascii="宋体" w:hAnsi="宋体"/>
                <w:bCs/>
                <w:sz w:val="18"/>
                <w:szCs w:val="18"/>
              </w:rPr>
            </w:pPr>
            <w:r>
              <w:rPr>
                <w:rFonts w:ascii="宋体" w:hAnsi="宋体"/>
                <w:bCs/>
                <w:sz w:val="18"/>
                <w:szCs w:val="18"/>
              </w:rPr>
              <w:t>序号</w:t>
            </w:r>
          </w:p>
        </w:tc>
        <w:tc>
          <w:tcPr>
            <w:tcW w:w="6838" w:type="dxa"/>
            <w:noWrap w:val="0"/>
            <w:vAlign w:val="center"/>
          </w:tcPr>
          <w:p w14:paraId="1B134363">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56E70080">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636ECCDB">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415F47C3">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06" w:type="dxa"/>
            <w:noWrap w:val="0"/>
            <w:vAlign w:val="center"/>
          </w:tcPr>
          <w:p w14:paraId="401483B9">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6E961BA6">
            <w:pPr>
              <w:adjustRightInd w:val="0"/>
              <w:snapToGrid w:val="0"/>
              <w:jc w:val="center"/>
              <w:rPr>
                <w:rFonts w:ascii="宋体" w:hAnsi="宋体"/>
                <w:bCs/>
                <w:sz w:val="18"/>
                <w:szCs w:val="18"/>
              </w:rPr>
            </w:pPr>
            <w:r>
              <w:rPr>
                <w:rFonts w:hint="eastAsia" w:ascii="宋体" w:hAnsi="宋体"/>
                <w:bCs/>
                <w:sz w:val="18"/>
                <w:szCs w:val="18"/>
              </w:rPr>
              <w:t>评定得分</w:t>
            </w:r>
          </w:p>
        </w:tc>
        <w:tc>
          <w:tcPr>
            <w:tcW w:w="1299" w:type="dxa"/>
            <w:noWrap w:val="0"/>
            <w:vAlign w:val="center"/>
          </w:tcPr>
          <w:p w14:paraId="3C1B33D8">
            <w:pPr>
              <w:adjustRightInd w:val="0"/>
              <w:snapToGrid w:val="0"/>
              <w:jc w:val="center"/>
              <w:rPr>
                <w:rFonts w:ascii="宋体" w:hAnsi="宋体"/>
                <w:bCs/>
                <w:sz w:val="18"/>
                <w:szCs w:val="18"/>
              </w:rPr>
            </w:pPr>
            <w:r>
              <w:rPr>
                <w:rFonts w:hint="eastAsia" w:ascii="宋体" w:hAnsi="宋体"/>
                <w:bCs/>
                <w:sz w:val="18"/>
                <w:szCs w:val="18"/>
              </w:rPr>
              <w:t>扣分说明</w:t>
            </w:r>
          </w:p>
        </w:tc>
        <w:tc>
          <w:tcPr>
            <w:tcW w:w="1655" w:type="dxa"/>
            <w:noWrap w:val="0"/>
            <w:vAlign w:val="center"/>
          </w:tcPr>
          <w:p w14:paraId="4DCBA527">
            <w:pPr>
              <w:adjustRightInd w:val="0"/>
              <w:snapToGrid w:val="0"/>
              <w:jc w:val="center"/>
              <w:rPr>
                <w:rFonts w:ascii="宋体" w:hAnsi="宋体"/>
                <w:bCs/>
                <w:sz w:val="18"/>
                <w:szCs w:val="18"/>
              </w:rPr>
            </w:pPr>
            <w:r>
              <w:rPr>
                <w:rFonts w:ascii="宋体" w:hAnsi="宋体"/>
                <w:bCs/>
                <w:sz w:val="18"/>
                <w:szCs w:val="18"/>
              </w:rPr>
              <w:t>对应条款编号</w:t>
            </w:r>
          </w:p>
        </w:tc>
      </w:tr>
      <w:tr w14:paraId="13461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50FDDE81">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5.4</w:t>
            </w:r>
          </w:p>
        </w:tc>
        <w:tc>
          <w:tcPr>
            <w:tcW w:w="6838" w:type="dxa"/>
            <w:noWrap w:val="0"/>
            <w:vAlign w:val="center"/>
          </w:tcPr>
          <w:p w14:paraId="590F93A9">
            <w:pPr>
              <w:widowControl/>
              <w:tabs>
                <w:tab w:val="center" w:pos="4201"/>
                <w:tab w:val="right" w:leader="dot" w:pos="9298"/>
              </w:tabs>
              <w:autoSpaceDE w:val="0"/>
              <w:autoSpaceDN w:val="0"/>
              <w:adjustRightInd w:val="0"/>
              <w:snapToGrid w:val="0"/>
              <w:ind w:right="34" w:rightChars="0"/>
              <w:rPr>
                <w:rFonts w:ascii="宋体" w:hAnsi="宋体" w:eastAsia="宋体" w:cs="Times New Roman"/>
                <w:kern w:val="0"/>
                <w:sz w:val="18"/>
                <w:szCs w:val="18"/>
                <w:lang w:val="en-US" w:eastAsia="zh-CN" w:bidi="ar-SA"/>
              </w:rPr>
            </w:pPr>
            <w:r>
              <w:rPr>
                <w:rFonts w:hint="eastAsia" w:ascii="宋体" w:hAnsi="宋体"/>
                <w:sz w:val="18"/>
                <w:szCs w:val="18"/>
              </w:rPr>
              <w:t>空调系统</w:t>
            </w:r>
          </w:p>
        </w:tc>
        <w:tc>
          <w:tcPr>
            <w:tcW w:w="633" w:type="dxa"/>
            <w:noWrap w:val="0"/>
            <w:vAlign w:val="center"/>
          </w:tcPr>
          <w:p w14:paraId="62346AD0">
            <w:pPr>
              <w:adjustRightInd w:val="0"/>
              <w:snapToGrid w:val="0"/>
              <w:jc w:val="center"/>
              <w:rPr>
                <w:rFonts w:ascii="宋体" w:hAnsi="宋体" w:eastAsia="宋体" w:cs="Times New Roman"/>
                <w:bCs/>
                <w:kern w:val="2"/>
                <w:sz w:val="18"/>
                <w:szCs w:val="18"/>
                <w:lang w:val="en-US" w:eastAsia="zh-CN" w:bidi="ar-SA"/>
              </w:rPr>
            </w:pPr>
          </w:p>
        </w:tc>
        <w:tc>
          <w:tcPr>
            <w:tcW w:w="633" w:type="dxa"/>
            <w:noWrap w:val="0"/>
            <w:vAlign w:val="center"/>
          </w:tcPr>
          <w:p w14:paraId="3F96AA0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602" w:type="dxa"/>
            <w:noWrap w:val="0"/>
            <w:vAlign w:val="center"/>
          </w:tcPr>
          <w:p w14:paraId="476E3409">
            <w:pPr>
              <w:adjustRightInd w:val="0"/>
              <w:snapToGrid w:val="0"/>
              <w:jc w:val="center"/>
              <w:rPr>
                <w:rFonts w:hint="eastAsia" w:ascii="宋体" w:hAnsi="宋体" w:eastAsia="宋体" w:cs="Times New Roman"/>
                <w:bCs/>
                <w:kern w:val="2"/>
                <w:sz w:val="18"/>
                <w:szCs w:val="18"/>
                <w:lang w:val="en-US" w:eastAsia="zh-CN" w:bidi="ar-SA"/>
              </w:rPr>
            </w:pPr>
          </w:p>
        </w:tc>
        <w:tc>
          <w:tcPr>
            <w:tcW w:w="2106" w:type="dxa"/>
            <w:noWrap w:val="0"/>
            <w:vAlign w:val="center"/>
          </w:tcPr>
          <w:p w14:paraId="46CFDD3D">
            <w:pPr>
              <w:adjustRightInd w:val="0"/>
              <w:snapToGrid w:val="0"/>
              <w:rPr>
                <w:rFonts w:ascii="宋体" w:hAnsi="宋体" w:eastAsia="宋体" w:cs="Times New Roman"/>
                <w:bCs/>
                <w:kern w:val="2"/>
                <w:sz w:val="18"/>
                <w:szCs w:val="18"/>
                <w:lang w:val="en-US" w:eastAsia="zh-CN" w:bidi="ar-SA"/>
              </w:rPr>
            </w:pPr>
          </w:p>
        </w:tc>
        <w:tc>
          <w:tcPr>
            <w:tcW w:w="633" w:type="dxa"/>
            <w:noWrap w:val="0"/>
            <w:vAlign w:val="center"/>
          </w:tcPr>
          <w:p w14:paraId="26DCA440">
            <w:pPr>
              <w:adjustRightInd w:val="0"/>
              <w:snapToGrid w:val="0"/>
              <w:jc w:val="center"/>
              <w:rPr>
                <w:rFonts w:ascii="宋体" w:hAnsi="宋体" w:eastAsia="宋体" w:cs="Times New Roman"/>
                <w:bCs/>
                <w:kern w:val="2"/>
                <w:sz w:val="18"/>
                <w:szCs w:val="18"/>
                <w:lang w:val="en-US" w:eastAsia="zh-CN" w:bidi="ar-SA"/>
              </w:rPr>
            </w:pPr>
          </w:p>
        </w:tc>
        <w:tc>
          <w:tcPr>
            <w:tcW w:w="1299" w:type="dxa"/>
            <w:noWrap w:val="0"/>
            <w:vAlign w:val="center"/>
          </w:tcPr>
          <w:p w14:paraId="64D61B6F">
            <w:pPr>
              <w:adjustRightInd w:val="0"/>
              <w:snapToGrid w:val="0"/>
              <w:jc w:val="center"/>
              <w:rPr>
                <w:rFonts w:ascii="宋体" w:hAnsi="宋体" w:eastAsia="宋体" w:cs="Times New Roman"/>
                <w:bCs/>
                <w:kern w:val="2"/>
                <w:sz w:val="18"/>
                <w:szCs w:val="18"/>
                <w:lang w:val="en-US" w:eastAsia="zh-CN" w:bidi="ar-SA"/>
              </w:rPr>
            </w:pPr>
          </w:p>
        </w:tc>
        <w:tc>
          <w:tcPr>
            <w:tcW w:w="1655" w:type="dxa"/>
            <w:noWrap w:val="0"/>
            <w:vAlign w:val="center"/>
          </w:tcPr>
          <w:p w14:paraId="0D1B9B1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4.5</w:t>
            </w:r>
            <w:r>
              <w:rPr>
                <w:rFonts w:ascii="宋体" w:hAnsi="宋体"/>
                <w:bCs/>
                <w:sz w:val="18"/>
                <w:szCs w:val="18"/>
              </w:rPr>
              <w:t>.</w:t>
            </w:r>
            <w:r>
              <w:rPr>
                <w:rFonts w:hint="eastAsia" w:ascii="宋体" w:hAnsi="宋体"/>
                <w:bCs/>
                <w:sz w:val="18"/>
                <w:szCs w:val="18"/>
                <w:lang w:val="en-US" w:eastAsia="zh-CN"/>
              </w:rPr>
              <w:t>4</w:t>
            </w:r>
          </w:p>
        </w:tc>
      </w:tr>
      <w:tr w14:paraId="149D0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954" w:type="dxa"/>
            <w:noWrap w:val="0"/>
            <w:vAlign w:val="center"/>
          </w:tcPr>
          <w:p w14:paraId="6021536E">
            <w:pPr>
              <w:adjustRightInd w:val="0"/>
              <w:snapToGrid w:val="0"/>
              <w:jc w:val="center"/>
              <w:rPr>
                <w:rFonts w:hint="eastAsia" w:ascii="宋体" w:hAnsi="宋体"/>
                <w:sz w:val="18"/>
                <w:szCs w:val="18"/>
              </w:rPr>
            </w:pPr>
          </w:p>
        </w:tc>
        <w:tc>
          <w:tcPr>
            <w:tcW w:w="6838" w:type="dxa"/>
            <w:noWrap w:val="0"/>
            <w:vAlign w:val="center"/>
          </w:tcPr>
          <w:p w14:paraId="624129DD">
            <w:pPr>
              <w:widowControl/>
              <w:tabs>
                <w:tab w:val="center" w:pos="4201"/>
                <w:tab w:val="right" w:leader="dot" w:pos="9298"/>
              </w:tabs>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lang w:val="en-US" w:eastAsia="zh-CN"/>
              </w:rPr>
              <w:t>空调</w:t>
            </w:r>
            <w:r>
              <w:rPr>
                <w:rFonts w:hint="eastAsia" w:ascii="宋体" w:hAnsi="宋体"/>
                <w:kern w:val="0"/>
                <w:sz w:val="18"/>
                <w:szCs w:val="18"/>
              </w:rPr>
              <w:t>系统应符合下列要求：</w:t>
            </w:r>
          </w:p>
          <w:p w14:paraId="2A42C1E6">
            <w:pPr>
              <w:widowControl/>
              <w:tabs>
                <w:tab w:val="center" w:pos="4201"/>
                <w:tab w:val="right" w:leader="dot" w:pos="9298"/>
              </w:tabs>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rPr>
              <w:t>a）系统日常运行中，设备、阀门和管道的表面应保持整洁，无明显锈蚀，绝热层无脱落和破损，无跑、冒、滴、漏和堵塞现象。设备、管道及附件的绝热外表面不应结露、腐蚀或虫蛀；</w:t>
            </w:r>
          </w:p>
          <w:p w14:paraId="166F7487">
            <w:pPr>
              <w:widowControl/>
              <w:tabs>
                <w:tab w:val="center" w:pos="4201"/>
                <w:tab w:val="right" w:leader="dot" w:pos="9298"/>
              </w:tabs>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rPr>
              <w:t>b）制冷机组、水泵和风机等设备的基础应稳固，隔振装置应可靠，传动装置应运转正常，不得有过热、异常声音或振动等现象；</w:t>
            </w:r>
          </w:p>
          <w:p w14:paraId="03E60992">
            <w:pPr>
              <w:widowControl/>
              <w:tabs>
                <w:tab w:val="center" w:pos="4201"/>
                <w:tab w:val="right" w:leader="dot" w:pos="9298"/>
              </w:tabs>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rPr>
              <w:t>c）风管内外表面应光滑平整，非金属风管不应出现龟裂和粉化现象；</w:t>
            </w:r>
          </w:p>
          <w:p w14:paraId="1C55D68E">
            <w:pPr>
              <w:widowControl/>
              <w:adjustRightInd w:val="0"/>
              <w:snapToGrid w:val="0"/>
              <w:ind w:firstLine="0" w:firstLineChars="0"/>
              <w:jc w:val="left"/>
              <w:rPr>
                <w:rFonts w:hint="eastAsia" w:ascii="宋体" w:hAnsi="宋体" w:eastAsia="宋体"/>
                <w:kern w:val="0"/>
                <w:sz w:val="18"/>
                <w:szCs w:val="18"/>
                <w:lang w:eastAsia="zh-CN"/>
              </w:rPr>
            </w:pPr>
            <w:r>
              <w:rPr>
                <w:rFonts w:hint="eastAsia" w:ascii="宋体" w:hAnsi="宋体"/>
                <w:kern w:val="0"/>
                <w:sz w:val="18"/>
                <w:szCs w:val="18"/>
                <w:lang w:val="en-US" w:eastAsia="zh-CN"/>
              </w:rPr>
              <w:t>d</w:t>
            </w:r>
            <w:r>
              <w:rPr>
                <w:rFonts w:hint="eastAsia" w:ascii="宋体" w:hAnsi="宋体"/>
                <w:kern w:val="0"/>
                <w:sz w:val="18"/>
                <w:szCs w:val="18"/>
              </w:rPr>
              <w:t>）当制冷机组采用的制冷剂对人体有害时，应定期检查、检测和维护制冷剂泄露报警装置及应急通风系统，泄漏报警装置及应急通风系统的各项功能应正常有效；</w:t>
            </w:r>
          </w:p>
          <w:p w14:paraId="571BF089">
            <w:pPr>
              <w:widowControl/>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lang w:val="en-US" w:eastAsia="zh-CN"/>
              </w:rPr>
              <w:t>e</w:t>
            </w:r>
            <w:r>
              <w:rPr>
                <w:rFonts w:hint="eastAsia" w:ascii="宋体" w:hAnsi="宋体"/>
                <w:kern w:val="0"/>
                <w:sz w:val="18"/>
                <w:szCs w:val="18"/>
              </w:rPr>
              <w:t>）空调通风系统冷热源的燃气管道系统的防静电接地装置应定期检查、维护、试验</w:t>
            </w:r>
            <w:r>
              <w:rPr>
                <w:rFonts w:hint="eastAsia" w:ascii="宋体" w:hAnsi="宋体"/>
                <w:kern w:val="0"/>
                <w:sz w:val="18"/>
                <w:szCs w:val="18"/>
                <w:lang w:eastAsia="zh-CN"/>
              </w:rPr>
              <w:t>；</w:t>
            </w:r>
            <w:r>
              <w:rPr>
                <w:rFonts w:hint="eastAsia" w:ascii="宋体" w:hAnsi="宋体"/>
                <w:kern w:val="0"/>
                <w:sz w:val="18"/>
                <w:szCs w:val="18"/>
              </w:rPr>
              <w:t>防静电接地装置应完好、有效；</w:t>
            </w:r>
          </w:p>
          <w:p w14:paraId="0CD07BE5">
            <w:pPr>
              <w:widowControl/>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lang w:val="en-US" w:eastAsia="zh-CN"/>
              </w:rPr>
              <w:t>f</w:t>
            </w:r>
            <w:r>
              <w:rPr>
                <w:rFonts w:hint="eastAsia" w:ascii="宋体" w:hAnsi="宋体"/>
                <w:kern w:val="0"/>
                <w:sz w:val="18"/>
                <w:szCs w:val="18"/>
              </w:rPr>
              <w:t>）压缩式制冷机组的安全阀、压力表、温度计、液压计等装置，以及高低压保护、低温防冻保护、电机过流保护、排气温度保护、油压差保护等安全保护装置应齐全并定期校验。压缩式制冷设备的冷冻油油标应醒目，油位应正常；</w:t>
            </w:r>
          </w:p>
          <w:p w14:paraId="638CF2C2">
            <w:pPr>
              <w:widowControl/>
              <w:autoSpaceDE/>
              <w:autoSpaceDN/>
              <w:adjustRightInd w:val="0"/>
              <w:snapToGrid w:val="0"/>
              <w:ind w:right="0" w:firstLine="0" w:firstLineChars="0"/>
              <w:jc w:val="left"/>
              <w:rPr>
                <w:rFonts w:hint="eastAsia" w:ascii="宋体" w:hAnsi="宋体"/>
                <w:kern w:val="0"/>
                <w:sz w:val="18"/>
                <w:szCs w:val="18"/>
              </w:rPr>
            </w:pPr>
            <w:r>
              <w:rPr>
                <w:rFonts w:hint="eastAsia" w:ascii="宋体" w:hAnsi="宋体"/>
                <w:kern w:val="0"/>
                <w:sz w:val="18"/>
                <w:szCs w:val="18"/>
                <w:lang w:val="en-US" w:eastAsia="zh-CN"/>
              </w:rPr>
              <w:t>g</w:t>
            </w:r>
            <w:r>
              <w:rPr>
                <w:rFonts w:hint="eastAsia" w:ascii="宋体" w:hAnsi="宋体"/>
                <w:kern w:val="0"/>
                <w:sz w:val="18"/>
                <w:szCs w:val="18"/>
              </w:rPr>
              <w:t>）冷却塔附近应设置紧急停机开关，并应定期检查维护</w:t>
            </w:r>
            <w:r>
              <w:rPr>
                <w:rFonts w:hint="eastAsia" w:ascii="宋体" w:hAnsi="宋体"/>
                <w:kern w:val="0"/>
                <w:sz w:val="18"/>
                <w:szCs w:val="18"/>
                <w:lang w:eastAsia="zh-CN"/>
              </w:rPr>
              <w:t>；</w:t>
            </w:r>
          </w:p>
          <w:p w14:paraId="29D5CDDE">
            <w:pPr>
              <w:widowControl/>
              <w:tabs>
                <w:tab w:val="center" w:pos="4201"/>
                <w:tab w:val="right" w:leader="dot" w:pos="9298"/>
              </w:tabs>
              <w:autoSpaceDE w:val="0"/>
              <w:autoSpaceDN w:val="0"/>
              <w:adjustRightInd w:val="0"/>
              <w:snapToGrid w:val="0"/>
              <w:ind w:right="34" w:rightChars="0" w:firstLine="0" w:firstLineChars="0"/>
              <w:rPr>
                <w:rFonts w:hint="eastAsia" w:ascii="宋体" w:hAnsi="宋体" w:eastAsia="宋体"/>
                <w:kern w:val="0"/>
                <w:sz w:val="18"/>
                <w:szCs w:val="18"/>
                <w:lang w:eastAsia="zh-CN"/>
              </w:rPr>
            </w:pPr>
            <w:r>
              <w:rPr>
                <w:rFonts w:hint="eastAsia" w:ascii="宋体" w:hAnsi="宋体"/>
                <w:kern w:val="0"/>
                <w:sz w:val="18"/>
                <w:szCs w:val="18"/>
                <w:lang w:val="en-US" w:eastAsia="zh-CN"/>
              </w:rPr>
              <w:t>h</w:t>
            </w:r>
            <w:r>
              <w:rPr>
                <w:rFonts w:hint="eastAsia" w:ascii="宋体" w:hAnsi="宋体"/>
                <w:kern w:val="0"/>
                <w:sz w:val="18"/>
                <w:szCs w:val="18"/>
              </w:rPr>
              <w:t>）制冷机房内应有良好的通风措施</w:t>
            </w:r>
            <w:r>
              <w:rPr>
                <w:rFonts w:hint="eastAsia" w:ascii="宋体" w:hAnsi="宋体"/>
                <w:kern w:val="0"/>
                <w:sz w:val="18"/>
                <w:szCs w:val="18"/>
                <w:lang w:eastAsia="zh-CN"/>
              </w:rPr>
              <w:t>，</w:t>
            </w:r>
            <w:r>
              <w:rPr>
                <w:rFonts w:hint="eastAsia" w:ascii="宋体" w:hAnsi="宋体"/>
                <w:kern w:val="0"/>
                <w:sz w:val="18"/>
                <w:szCs w:val="18"/>
              </w:rPr>
              <w:t>不得放置易燃、易爆和有毒有害危险物品</w:t>
            </w:r>
            <w:r>
              <w:rPr>
                <w:rFonts w:hint="eastAsia" w:ascii="宋体" w:hAnsi="宋体"/>
                <w:kern w:val="0"/>
                <w:sz w:val="18"/>
                <w:szCs w:val="18"/>
                <w:lang w:eastAsia="zh-CN"/>
              </w:rPr>
              <w:t>；</w:t>
            </w:r>
          </w:p>
          <w:p w14:paraId="7098DCF2">
            <w:pPr>
              <w:adjustRightInd w:val="0"/>
              <w:snapToGrid w:val="0"/>
              <w:ind w:firstLine="0" w:firstLineChars="0"/>
              <w:jc w:val="left"/>
              <w:rPr>
                <w:rFonts w:hint="eastAsia" w:ascii="宋体" w:hAnsi="宋体"/>
                <w:bCs/>
                <w:sz w:val="18"/>
                <w:szCs w:val="18"/>
              </w:rPr>
            </w:pPr>
            <w:r>
              <w:rPr>
                <w:rFonts w:hint="eastAsia" w:ascii="宋体" w:hAnsi="宋体"/>
                <w:kern w:val="0"/>
                <w:sz w:val="18"/>
                <w:szCs w:val="18"/>
                <w:lang w:val="en-US" w:eastAsia="zh-CN"/>
              </w:rPr>
              <w:t>j</w:t>
            </w:r>
            <w:r>
              <w:rPr>
                <w:rFonts w:hint="eastAsia" w:ascii="宋体" w:hAnsi="宋体"/>
                <w:kern w:val="0"/>
                <w:sz w:val="18"/>
                <w:szCs w:val="18"/>
              </w:rPr>
              <w:t>）</w:t>
            </w:r>
            <w:r>
              <w:rPr>
                <w:rFonts w:hint="eastAsia" w:ascii="宋体" w:hAnsi="宋体"/>
                <w:bCs/>
                <w:sz w:val="18"/>
                <w:szCs w:val="18"/>
              </w:rPr>
              <w:t>安全运行应符合下列要求：</w:t>
            </w:r>
          </w:p>
          <w:p w14:paraId="081461AD">
            <w:pPr>
              <w:keepNext w:val="0"/>
              <w:keepLines w:val="0"/>
              <w:pageBreakBefore w:val="0"/>
              <w:widowControl w:val="0"/>
              <w:kinsoku/>
              <w:wordWrap/>
              <w:overflowPunct/>
              <w:topLinePunct w:val="0"/>
              <w:autoSpaceDE/>
              <w:autoSpaceDN/>
              <w:bidi w:val="0"/>
              <w:adjustRightInd w:val="0"/>
              <w:snapToGrid w:val="0"/>
              <w:ind w:firstLine="180" w:firstLineChars="100"/>
              <w:jc w:val="left"/>
              <w:textAlignment w:val="auto"/>
              <w:rPr>
                <w:rFonts w:hint="eastAsia" w:ascii="宋体" w:hAnsi="宋体"/>
                <w:bCs/>
                <w:sz w:val="18"/>
                <w:szCs w:val="18"/>
              </w:rPr>
            </w:pPr>
            <w:r>
              <w:rPr>
                <w:rFonts w:hint="eastAsia" w:ascii="宋体" w:hAnsi="宋体"/>
                <w:bCs/>
                <w:sz w:val="18"/>
                <w:szCs w:val="18"/>
                <w:lang w:val="en-US" w:eastAsia="zh-CN"/>
              </w:rPr>
              <w:t>1</w:t>
            </w:r>
            <w:r>
              <w:rPr>
                <w:rFonts w:hint="eastAsia" w:ascii="宋体" w:hAnsi="宋体"/>
                <w:bCs/>
                <w:sz w:val="18"/>
                <w:szCs w:val="18"/>
              </w:rPr>
              <w:t>）大中型制冷与空调设备运行操作、安装与修理的作业人员经考核合格方可上岗；</w:t>
            </w:r>
          </w:p>
          <w:p w14:paraId="23B21053">
            <w:pPr>
              <w:keepNext w:val="0"/>
              <w:keepLines w:val="0"/>
              <w:pageBreakBefore w:val="0"/>
              <w:widowControl w:val="0"/>
              <w:kinsoku/>
              <w:wordWrap/>
              <w:overflowPunct/>
              <w:topLinePunct w:val="0"/>
              <w:autoSpaceDE/>
              <w:autoSpaceDN/>
              <w:bidi w:val="0"/>
              <w:adjustRightInd w:val="0"/>
              <w:snapToGrid w:val="0"/>
              <w:ind w:firstLine="180" w:firstLineChars="100"/>
              <w:jc w:val="left"/>
              <w:textAlignment w:val="auto"/>
              <w:rPr>
                <w:rFonts w:hint="eastAsia" w:ascii="宋体" w:hAnsi="宋体"/>
                <w:bCs/>
                <w:sz w:val="18"/>
                <w:szCs w:val="18"/>
              </w:rPr>
            </w:pPr>
            <w:r>
              <w:rPr>
                <w:rFonts w:hint="eastAsia" w:ascii="宋体" w:hAnsi="宋体"/>
                <w:bCs/>
                <w:sz w:val="18"/>
                <w:szCs w:val="18"/>
                <w:lang w:val="en-US" w:eastAsia="zh-CN"/>
              </w:rPr>
              <w:t>2</w:t>
            </w:r>
            <w:r>
              <w:rPr>
                <w:rFonts w:hint="eastAsia" w:ascii="宋体" w:hAnsi="宋体"/>
                <w:bCs/>
                <w:sz w:val="18"/>
                <w:szCs w:val="18"/>
              </w:rPr>
              <w:t>）应对系统运行状态定期巡检；</w:t>
            </w:r>
          </w:p>
          <w:p w14:paraId="3C580ADE">
            <w:pPr>
              <w:keepNext w:val="0"/>
              <w:keepLines w:val="0"/>
              <w:pageBreakBefore w:val="0"/>
              <w:widowControl w:val="0"/>
              <w:kinsoku/>
              <w:wordWrap/>
              <w:overflowPunct/>
              <w:topLinePunct w:val="0"/>
              <w:autoSpaceDE/>
              <w:autoSpaceDN/>
              <w:bidi w:val="0"/>
              <w:adjustRightInd w:val="0"/>
              <w:snapToGrid w:val="0"/>
              <w:ind w:firstLine="180" w:firstLineChars="100"/>
              <w:jc w:val="left"/>
              <w:textAlignment w:val="auto"/>
              <w:rPr>
                <w:rFonts w:hint="eastAsia" w:ascii="宋体" w:hAnsi="宋体"/>
                <w:bCs/>
                <w:sz w:val="18"/>
                <w:szCs w:val="18"/>
              </w:rPr>
            </w:pPr>
            <w:r>
              <w:rPr>
                <w:rFonts w:hint="eastAsia" w:ascii="宋体" w:hAnsi="宋体"/>
                <w:bCs/>
                <w:sz w:val="18"/>
                <w:szCs w:val="18"/>
                <w:lang w:val="en-US" w:eastAsia="zh-CN"/>
              </w:rPr>
              <w:t>3</w:t>
            </w:r>
            <w:r>
              <w:rPr>
                <w:rFonts w:hint="eastAsia" w:ascii="宋体" w:hAnsi="宋体"/>
                <w:bCs/>
                <w:sz w:val="18"/>
                <w:szCs w:val="18"/>
              </w:rPr>
              <w:t>）钢瓶允许充装量应标在钢瓶上；制冷剂钢瓶不应倒置；</w:t>
            </w:r>
          </w:p>
          <w:p w14:paraId="54958DAD">
            <w:pPr>
              <w:keepNext w:val="0"/>
              <w:keepLines w:val="0"/>
              <w:pageBreakBefore w:val="0"/>
              <w:widowControl w:val="0"/>
              <w:kinsoku/>
              <w:wordWrap/>
              <w:overflowPunct/>
              <w:topLinePunct w:val="0"/>
              <w:autoSpaceDE/>
              <w:autoSpaceDN/>
              <w:bidi w:val="0"/>
              <w:adjustRightInd w:val="0"/>
              <w:snapToGrid w:val="0"/>
              <w:ind w:firstLine="180" w:firstLineChars="100"/>
              <w:jc w:val="left"/>
              <w:textAlignment w:val="auto"/>
              <w:rPr>
                <w:rFonts w:hint="eastAsia" w:ascii="宋体" w:hAnsi="宋体"/>
                <w:bCs/>
                <w:sz w:val="18"/>
                <w:szCs w:val="18"/>
              </w:rPr>
            </w:pPr>
            <w:r>
              <w:rPr>
                <w:rFonts w:hint="eastAsia" w:ascii="宋体" w:hAnsi="宋体"/>
                <w:bCs/>
                <w:sz w:val="18"/>
                <w:szCs w:val="18"/>
                <w:lang w:val="en-US" w:eastAsia="zh-CN"/>
              </w:rPr>
              <w:t>4</w:t>
            </w:r>
            <w:r>
              <w:rPr>
                <w:rFonts w:hint="eastAsia" w:ascii="宋体" w:hAnsi="宋体"/>
                <w:bCs/>
                <w:sz w:val="18"/>
                <w:szCs w:val="18"/>
              </w:rPr>
              <w:t>）严禁敲击、碰撞、暴晒以及用超过40℃的热源对瓶体加热；</w:t>
            </w:r>
          </w:p>
          <w:p w14:paraId="0B8B92C6">
            <w:pPr>
              <w:widowControl/>
              <w:tabs>
                <w:tab w:val="center" w:pos="4201"/>
                <w:tab w:val="right" w:leader="dot" w:pos="9298"/>
              </w:tabs>
              <w:autoSpaceDE w:val="0"/>
              <w:autoSpaceDN w:val="0"/>
              <w:adjustRightInd w:val="0"/>
              <w:snapToGrid w:val="0"/>
              <w:ind w:right="34" w:rightChars="0" w:firstLine="180" w:firstLineChars="100"/>
              <w:rPr>
                <w:rFonts w:hint="eastAsia" w:ascii="宋体" w:hAnsi="宋体"/>
                <w:kern w:val="0"/>
                <w:sz w:val="18"/>
                <w:szCs w:val="18"/>
              </w:rPr>
            </w:pPr>
            <w:r>
              <w:rPr>
                <w:rFonts w:hint="eastAsia" w:ascii="宋体" w:hAnsi="宋体"/>
                <w:bCs/>
                <w:sz w:val="18"/>
                <w:szCs w:val="18"/>
                <w:lang w:val="en-US" w:eastAsia="zh-CN"/>
              </w:rPr>
              <w:t>5</w:t>
            </w:r>
            <w:r>
              <w:rPr>
                <w:rFonts w:hint="eastAsia" w:ascii="宋体" w:hAnsi="宋体"/>
                <w:bCs/>
                <w:sz w:val="18"/>
                <w:szCs w:val="18"/>
              </w:rPr>
              <w:t>）检修设备时，应关闭电源开关，挂工作警示牌并设专人守护，不应带压拆修管道、阀门等设备；对无逆止装置的通风机，应待风道回风消失后方可检修；设备运行时不应打开检修门。</w:t>
            </w:r>
          </w:p>
        </w:tc>
        <w:tc>
          <w:tcPr>
            <w:tcW w:w="633" w:type="dxa"/>
            <w:noWrap w:val="0"/>
            <w:vAlign w:val="center"/>
          </w:tcPr>
          <w:p w14:paraId="74AD7071">
            <w:pPr>
              <w:adjustRightInd w:val="0"/>
              <w:snapToGrid w:val="0"/>
              <w:jc w:val="center"/>
              <w:rPr>
                <w:rFonts w:ascii="宋体" w:hAnsi="宋体" w:eastAsia="宋体" w:cs="Times New Roman"/>
                <w:bCs/>
                <w:kern w:val="2"/>
                <w:sz w:val="18"/>
                <w:szCs w:val="18"/>
                <w:lang w:val="en-US" w:eastAsia="zh-CN" w:bidi="ar-SA"/>
              </w:rPr>
            </w:pPr>
          </w:p>
        </w:tc>
        <w:tc>
          <w:tcPr>
            <w:tcW w:w="633" w:type="dxa"/>
            <w:noWrap w:val="0"/>
            <w:vAlign w:val="center"/>
          </w:tcPr>
          <w:p w14:paraId="3360A83A">
            <w:pPr>
              <w:adjustRightInd w:val="0"/>
              <w:snapToGrid w:val="0"/>
              <w:jc w:val="center"/>
              <w:rPr>
                <w:rFonts w:hint="eastAsia" w:ascii="宋体" w:hAnsi="宋体"/>
                <w:bCs/>
                <w:sz w:val="18"/>
                <w:szCs w:val="18"/>
              </w:rPr>
            </w:pPr>
          </w:p>
        </w:tc>
        <w:tc>
          <w:tcPr>
            <w:tcW w:w="602" w:type="dxa"/>
            <w:noWrap w:val="0"/>
            <w:vAlign w:val="center"/>
          </w:tcPr>
          <w:p w14:paraId="347B8D06">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2106" w:type="dxa"/>
            <w:noWrap w:val="0"/>
            <w:vAlign w:val="center"/>
          </w:tcPr>
          <w:p w14:paraId="66263C75">
            <w:pPr>
              <w:adjustRightInd w:val="0"/>
              <w:snapToGrid w:val="0"/>
              <w:rPr>
                <w:rFonts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bCs/>
                <w:sz w:val="18"/>
                <w:szCs w:val="18"/>
              </w:rPr>
              <w:t>处</w:t>
            </w:r>
            <w:r>
              <w:rPr>
                <w:rFonts w:ascii="宋体" w:hAnsi="宋体"/>
                <w:bCs/>
                <w:sz w:val="18"/>
                <w:szCs w:val="18"/>
              </w:rPr>
              <w:t>不符合</w:t>
            </w:r>
            <w:r>
              <w:rPr>
                <w:rFonts w:hint="eastAsia" w:ascii="宋体" w:hAnsi="宋体"/>
                <w:bCs/>
                <w:sz w:val="18"/>
                <w:szCs w:val="18"/>
              </w:rPr>
              <w:t>扣</w:t>
            </w:r>
            <w:r>
              <w:rPr>
                <w:rFonts w:hint="eastAsia" w:ascii="宋体" w:hAnsi="宋体"/>
                <w:bCs/>
                <w:sz w:val="18"/>
                <w:szCs w:val="18"/>
                <w:lang w:val="en-US" w:eastAsia="zh-CN"/>
              </w:rPr>
              <w:t>2</w:t>
            </w:r>
            <w:r>
              <w:rPr>
                <w:rFonts w:hint="eastAsia" w:ascii="宋体" w:hAnsi="宋体"/>
                <w:bCs/>
                <w:sz w:val="18"/>
                <w:szCs w:val="18"/>
              </w:rPr>
              <w:t>分。</w:t>
            </w:r>
          </w:p>
        </w:tc>
        <w:tc>
          <w:tcPr>
            <w:tcW w:w="633" w:type="dxa"/>
            <w:noWrap w:val="0"/>
            <w:vAlign w:val="center"/>
          </w:tcPr>
          <w:p w14:paraId="23B2C8D6">
            <w:pPr>
              <w:adjustRightInd w:val="0"/>
              <w:snapToGrid w:val="0"/>
              <w:jc w:val="center"/>
              <w:rPr>
                <w:rFonts w:ascii="宋体" w:hAnsi="宋体" w:eastAsia="宋体" w:cs="Times New Roman"/>
                <w:bCs/>
                <w:kern w:val="2"/>
                <w:sz w:val="18"/>
                <w:szCs w:val="18"/>
                <w:lang w:val="en-US" w:eastAsia="zh-CN" w:bidi="ar-SA"/>
              </w:rPr>
            </w:pPr>
          </w:p>
        </w:tc>
        <w:tc>
          <w:tcPr>
            <w:tcW w:w="1299" w:type="dxa"/>
            <w:noWrap w:val="0"/>
            <w:vAlign w:val="center"/>
          </w:tcPr>
          <w:p w14:paraId="3E29D227">
            <w:pPr>
              <w:adjustRightInd w:val="0"/>
              <w:snapToGrid w:val="0"/>
              <w:jc w:val="center"/>
              <w:rPr>
                <w:rFonts w:ascii="宋体" w:hAnsi="宋体" w:eastAsia="宋体" w:cs="Times New Roman"/>
                <w:bCs/>
                <w:kern w:val="2"/>
                <w:sz w:val="18"/>
                <w:szCs w:val="18"/>
                <w:lang w:val="en-US" w:eastAsia="zh-CN" w:bidi="ar-SA"/>
              </w:rPr>
            </w:pPr>
          </w:p>
        </w:tc>
        <w:tc>
          <w:tcPr>
            <w:tcW w:w="1655" w:type="dxa"/>
            <w:noWrap w:val="0"/>
            <w:vAlign w:val="center"/>
          </w:tcPr>
          <w:p w14:paraId="7C5D1C98">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4.5</w:t>
            </w:r>
            <w:r>
              <w:rPr>
                <w:rFonts w:ascii="宋体" w:hAnsi="宋体"/>
                <w:bCs/>
                <w:sz w:val="18"/>
                <w:szCs w:val="18"/>
              </w:rPr>
              <w:t>.</w:t>
            </w:r>
            <w:r>
              <w:rPr>
                <w:rFonts w:hint="eastAsia" w:ascii="宋体" w:hAnsi="宋体"/>
                <w:bCs/>
                <w:sz w:val="18"/>
                <w:szCs w:val="18"/>
                <w:lang w:val="en-US" w:eastAsia="zh-CN"/>
              </w:rPr>
              <w:t>4</w:t>
            </w:r>
          </w:p>
        </w:tc>
      </w:tr>
      <w:tr w14:paraId="6E421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954" w:type="dxa"/>
            <w:noWrap w:val="0"/>
            <w:vAlign w:val="center"/>
          </w:tcPr>
          <w:p w14:paraId="71C9A357">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spacing w:val="0"/>
                <w:kern w:val="2"/>
                <w:sz w:val="18"/>
                <w:szCs w:val="18"/>
                <w:lang w:val="en-US" w:eastAsia="zh-CN" w:bidi="ar-SA"/>
              </w:rPr>
            </w:pPr>
            <w:r>
              <w:rPr>
                <w:rFonts w:hint="eastAsia" w:ascii="宋体" w:hAnsi="宋体" w:eastAsia="宋体" w:cs="宋体"/>
                <w:sz w:val="18"/>
                <w:szCs w:val="18"/>
              </w:rPr>
              <w:t>5.</w:t>
            </w:r>
            <w:r>
              <w:rPr>
                <w:rFonts w:hint="eastAsia" w:ascii="宋体" w:hAnsi="宋体" w:eastAsia="宋体" w:cs="宋体"/>
                <w:sz w:val="18"/>
                <w:szCs w:val="18"/>
                <w:lang w:val="en-US" w:eastAsia="zh-CN"/>
              </w:rPr>
              <w:t>5</w:t>
            </w:r>
          </w:p>
        </w:tc>
        <w:tc>
          <w:tcPr>
            <w:tcW w:w="6838" w:type="dxa"/>
            <w:noWrap w:val="0"/>
            <w:vAlign w:val="center"/>
          </w:tcPr>
          <w:p w14:paraId="757842A7">
            <w:pPr>
              <w:widowControl/>
              <w:rPr>
                <w:rFonts w:hint="eastAsia" w:ascii="宋体" w:hAnsi="宋体" w:eastAsia="宋体" w:cs="宋体"/>
                <w:kern w:val="0"/>
                <w:sz w:val="18"/>
                <w:szCs w:val="18"/>
                <w:lang w:val="en-US" w:eastAsia="zh-CN" w:bidi="ar-SA"/>
              </w:rPr>
            </w:pPr>
            <w:r>
              <w:rPr>
                <w:rFonts w:hint="eastAsia" w:ascii="宋体" w:hAnsi="宋体" w:cs="宋体"/>
                <w:kern w:val="0"/>
                <w:sz w:val="18"/>
                <w:szCs w:val="18"/>
              </w:rPr>
              <w:t>维修设备</w:t>
            </w:r>
          </w:p>
        </w:tc>
        <w:tc>
          <w:tcPr>
            <w:tcW w:w="633" w:type="dxa"/>
            <w:noWrap w:val="0"/>
            <w:vAlign w:val="center"/>
          </w:tcPr>
          <w:p w14:paraId="282689B8">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33" w:type="dxa"/>
            <w:noWrap w:val="0"/>
            <w:vAlign w:val="center"/>
          </w:tcPr>
          <w:p w14:paraId="6133BBBC">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rPr>
              <w:t>20</w:t>
            </w:r>
          </w:p>
        </w:tc>
        <w:tc>
          <w:tcPr>
            <w:tcW w:w="602" w:type="dxa"/>
            <w:noWrap w:val="0"/>
            <w:vAlign w:val="center"/>
          </w:tcPr>
          <w:p w14:paraId="3CCB6C68">
            <w:pPr>
              <w:widowControl/>
              <w:jc w:val="center"/>
              <w:rPr>
                <w:rFonts w:hint="eastAsia" w:ascii="宋体" w:hAnsi="宋体" w:eastAsia="宋体" w:cs="宋体"/>
                <w:kern w:val="0"/>
                <w:sz w:val="18"/>
                <w:szCs w:val="18"/>
                <w:lang w:val="en-US" w:eastAsia="zh-CN" w:bidi="ar-SA"/>
              </w:rPr>
            </w:pPr>
          </w:p>
        </w:tc>
        <w:tc>
          <w:tcPr>
            <w:tcW w:w="2106" w:type="dxa"/>
            <w:noWrap w:val="0"/>
            <w:vAlign w:val="center"/>
          </w:tcPr>
          <w:p w14:paraId="09A6C2E9">
            <w:pPr>
              <w:widowControl/>
              <w:jc w:val="left"/>
              <w:rPr>
                <w:rFonts w:ascii="宋体" w:hAnsi="宋体" w:eastAsia="宋体" w:cs="宋体"/>
                <w:kern w:val="0"/>
                <w:sz w:val="18"/>
                <w:szCs w:val="18"/>
                <w:lang w:val="en-US" w:eastAsia="zh-CN" w:bidi="ar-SA"/>
              </w:rPr>
            </w:pPr>
          </w:p>
        </w:tc>
        <w:tc>
          <w:tcPr>
            <w:tcW w:w="633" w:type="dxa"/>
            <w:noWrap w:val="0"/>
            <w:vAlign w:val="center"/>
          </w:tcPr>
          <w:p w14:paraId="74E4953F">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99" w:type="dxa"/>
            <w:noWrap w:val="0"/>
            <w:vAlign w:val="center"/>
          </w:tcPr>
          <w:p w14:paraId="14AB5746">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655" w:type="dxa"/>
            <w:noWrap w:val="0"/>
            <w:vAlign w:val="center"/>
          </w:tcPr>
          <w:p w14:paraId="2E82F6D7">
            <w:pPr>
              <w:widowControl/>
              <w:jc w:val="center"/>
              <w:rPr>
                <w:rFonts w:hint="eastAsia" w:ascii="宋体" w:hAnsi="宋体" w:eastAsia="宋体" w:cs="宋体"/>
                <w:kern w:val="0"/>
                <w:sz w:val="18"/>
                <w:szCs w:val="18"/>
                <w:lang w:val="en-US" w:eastAsia="zh-CN" w:bidi="ar-SA"/>
              </w:rPr>
            </w:pPr>
            <w:r>
              <w:rPr>
                <w:rFonts w:hint="eastAsia" w:ascii="宋体" w:hAnsi="宋体"/>
                <w:sz w:val="18"/>
                <w:szCs w:val="18"/>
                <w:lang w:eastAsia="zh-CN"/>
              </w:rPr>
              <w:t>4.5</w:t>
            </w:r>
            <w:r>
              <w:rPr>
                <w:rFonts w:hint="eastAsia" w:ascii="宋体" w:hAnsi="宋体"/>
                <w:sz w:val="18"/>
                <w:szCs w:val="18"/>
              </w:rPr>
              <w:t>.</w:t>
            </w:r>
            <w:r>
              <w:rPr>
                <w:rFonts w:hint="eastAsia" w:ascii="宋体" w:hAnsi="宋体"/>
                <w:sz w:val="18"/>
                <w:szCs w:val="18"/>
                <w:lang w:val="en-US" w:eastAsia="zh-CN"/>
              </w:rPr>
              <w:t>5</w:t>
            </w:r>
          </w:p>
        </w:tc>
      </w:tr>
      <w:tr w14:paraId="7D561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954" w:type="dxa"/>
            <w:noWrap w:val="0"/>
            <w:vAlign w:val="center"/>
          </w:tcPr>
          <w:p w14:paraId="0BB229F1">
            <w:pPr>
              <w:pStyle w:val="207"/>
              <w:numPr>
                <w:ilvl w:val="3"/>
                <w:numId w:val="0"/>
              </w:numPr>
              <w:adjustRightInd w:val="0"/>
              <w:snapToGrid w:val="0"/>
              <w:ind w:left="0" w:leftChars="0" w:right="-105" w:rightChars="0" w:firstLine="0" w:firstLineChars="0"/>
              <w:jc w:val="center"/>
              <w:rPr>
                <w:rFonts w:hint="eastAsia" w:ascii="宋体" w:hAnsi="宋体" w:eastAsia="宋体" w:cs="宋体"/>
                <w:spacing w:val="2"/>
                <w:kern w:val="0"/>
                <w:sz w:val="18"/>
                <w:szCs w:val="18"/>
                <w:lang w:val="en-US" w:eastAsia="zh-CN" w:bidi="ar-SA"/>
              </w:rPr>
            </w:pPr>
            <w:r>
              <w:rPr>
                <w:rFonts w:hint="eastAsia" w:ascii="宋体" w:hAnsi="宋体" w:eastAsia="宋体" w:cs="宋体"/>
                <w:sz w:val="18"/>
                <w:szCs w:val="18"/>
              </w:rPr>
              <w:t>5.</w:t>
            </w:r>
            <w:r>
              <w:rPr>
                <w:rFonts w:hint="eastAsia" w:ascii="宋体" w:hAnsi="宋体" w:eastAsia="宋体" w:cs="宋体"/>
                <w:sz w:val="18"/>
                <w:szCs w:val="18"/>
                <w:lang w:val="en-US" w:eastAsia="zh-CN"/>
              </w:rPr>
              <w:t>5</w:t>
            </w:r>
            <w:r>
              <w:rPr>
                <w:rFonts w:hint="eastAsia" w:ascii="宋体" w:hAnsi="宋体" w:eastAsia="宋体" w:cs="宋体"/>
                <w:sz w:val="18"/>
                <w:szCs w:val="18"/>
              </w:rPr>
              <w:t>.1</w:t>
            </w:r>
          </w:p>
        </w:tc>
        <w:tc>
          <w:tcPr>
            <w:tcW w:w="6838" w:type="dxa"/>
            <w:noWrap w:val="0"/>
            <w:vAlign w:val="center"/>
          </w:tcPr>
          <w:p w14:paraId="33284B48">
            <w:pPr>
              <w:adjustRightInd w:val="0"/>
              <w:snapToGrid w:val="0"/>
              <w:jc w:val="left"/>
              <w:rPr>
                <w:rFonts w:ascii="宋体" w:hAnsi="宋体"/>
                <w:sz w:val="18"/>
                <w:szCs w:val="18"/>
              </w:rPr>
            </w:pPr>
            <w:r>
              <w:rPr>
                <w:rFonts w:hint="eastAsia" w:ascii="宋体" w:hAnsi="宋体"/>
                <w:sz w:val="18"/>
                <w:szCs w:val="18"/>
              </w:rPr>
              <w:t>金属加工设备应符合下列要求：</w:t>
            </w:r>
          </w:p>
          <w:p w14:paraId="09EFCE80">
            <w:pPr>
              <w:adjustRightInd w:val="0"/>
              <w:snapToGrid w:val="0"/>
              <w:jc w:val="left"/>
              <w:rPr>
                <w:rFonts w:ascii="宋体" w:hAnsi="宋体"/>
                <w:sz w:val="18"/>
                <w:szCs w:val="18"/>
              </w:rPr>
            </w:pPr>
            <w:r>
              <w:rPr>
                <w:rFonts w:hint="eastAsia" w:ascii="宋体" w:hAnsi="宋体"/>
                <w:sz w:val="18"/>
                <w:szCs w:val="18"/>
              </w:rPr>
              <w:t>a）夹具与卡具结构布局应合理，零部件与连接部位应完好可靠，与卡具配套的夹具应紧密协调；</w:t>
            </w:r>
          </w:p>
          <w:p w14:paraId="134A6AB1">
            <w:pPr>
              <w:adjustRightInd w:val="0"/>
              <w:snapToGrid w:val="0"/>
              <w:jc w:val="left"/>
              <w:rPr>
                <w:rFonts w:hint="eastAsia" w:ascii="宋体" w:hAnsi="宋体" w:eastAsia="宋体" w:cs="宋体"/>
                <w:kern w:val="0"/>
                <w:sz w:val="18"/>
                <w:szCs w:val="18"/>
                <w:lang w:val="en-US" w:eastAsia="zh-CN" w:bidi="ar-SA"/>
              </w:rPr>
            </w:pPr>
            <w:r>
              <w:rPr>
                <w:rFonts w:hint="eastAsia" w:ascii="宋体" w:hAnsi="宋体"/>
                <w:sz w:val="18"/>
                <w:szCs w:val="18"/>
              </w:rPr>
              <w:t>b）易产生松动的连接部位应有防松脱装置，各锁紧手柄应齐全有效；</w:t>
            </w:r>
          </w:p>
        </w:tc>
        <w:tc>
          <w:tcPr>
            <w:tcW w:w="633" w:type="dxa"/>
            <w:noWrap w:val="0"/>
            <w:vAlign w:val="center"/>
          </w:tcPr>
          <w:p w14:paraId="43338F8C">
            <w:pPr>
              <w:pStyle w:val="207"/>
              <w:numPr>
                <w:ilvl w:val="3"/>
                <w:numId w:val="0"/>
              </w:numPr>
              <w:adjustRightInd w:val="0"/>
              <w:snapToGrid w:val="0"/>
              <w:ind w:left="0" w:leftChars="0" w:right="-105" w:rightChars="0" w:firstLine="0" w:firstLineChars="0"/>
              <w:jc w:val="center"/>
              <w:outlineLvl w:val="9"/>
              <w:rPr>
                <w:rFonts w:ascii="宋体" w:hAnsi="宋体" w:eastAsia="宋体" w:cs="Times New Roman"/>
                <w:spacing w:val="0"/>
                <w:kern w:val="2"/>
                <w:sz w:val="18"/>
                <w:szCs w:val="18"/>
                <w:lang w:val="en-US" w:eastAsia="zh-CN" w:bidi="ar-SA"/>
              </w:rPr>
            </w:pPr>
          </w:p>
        </w:tc>
        <w:tc>
          <w:tcPr>
            <w:tcW w:w="633" w:type="dxa"/>
            <w:noWrap w:val="0"/>
            <w:vAlign w:val="center"/>
          </w:tcPr>
          <w:p w14:paraId="65EF0F35">
            <w:pPr>
              <w:pStyle w:val="207"/>
              <w:numPr>
                <w:ilvl w:val="3"/>
                <w:numId w:val="0"/>
              </w:numPr>
              <w:adjustRightInd w:val="0"/>
              <w:snapToGrid w:val="0"/>
              <w:ind w:left="0" w:leftChars="0" w:right="-105" w:rightChars="0" w:firstLine="0" w:firstLineChars="0"/>
              <w:jc w:val="center"/>
              <w:outlineLvl w:val="9"/>
              <w:rPr>
                <w:rFonts w:hint="eastAsia" w:ascii="宋体" w:hAnsi="宋体" w:eastAsia="宋体" w:cs="Times New Roman"/>
                <w:spacing w:val="0"/>
                <w:kern w:val="2"/>
                <w:sz w:val="18"/>
                <w:szCs w:val="18"/>
                <w:lang w:val="en-US" w:eastAsia="zh-CN" w:bidi="ar-SA"/>
              </w:rPr>
            </w:pPr>
          </w:p>
        </w:tc>
        <w:tc>
          <w:tcPr>
            <w:tcW w:w="602" w:type="dxa"/>
            <w:noWrap w:val="0"/>
            <w:vAlign w:val="center"/>
          </w:tcPr>
          <w:p w14:paraId="610B1FF0">
            <w:pPr>
              <w:widowControl/>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5</w:t>
            </w:r>
          </w:p>
        </w:tc>
        <w:tc>
          <w:tcPr>
            <w:tcW w:w="2106" w:type="dxa"/>
            <w:noWrap w:val="0"/>
            <w:vAlign w:val="center"/>
          </w:tcPr>
          <w:p w14:paraId="3C1DB998">
            <w:pPr>
              <w:widowControl/>
              <w:jc w:val="left"/>
              <w:rPr>
                <w:rFonts w:ascii="宋体" w:hAnsi="宋体" w:eastAsia="宋体" w:cs="宋体"/>
                <w:kern w:val="0"/>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633" w:type="dxa"/>
            <w:noWrap w:val="0"/>
            <w:vAlign w:val="center"/>
          </w:tcPr>
          <w:p w14:paraId="516752D7">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299" w:type="dxa"/>
            <w:noWrap w:val="0"/>
            <w:vAlign w:val="center"/>
          </w:tcPr>
          <w:p w14:paraId="2A9CB555">
            <w:pPr>
              <w:pStyle w:val="207"/>
              <w:numPr>
                <w:ilvl w:val="3"/>
                <w:numId w:val="0"/>
              </w:numPr>
              <w:adjustRightInd w:val="0"/>
              <w:snapToGrid w:val="0"/>
              <w:ind w:left="0" w:leftChars="0" w:right="-105" w:rightChars="0" w:firstLine="0" w:firstLineChars="0"/>
              <w:jc w:val="left"/>
              <w:outlineLvl w:val="9"/>
              <w:rPr>
                <w:rFonts w:ascii="宋体" w:hAnsi="宋体" w:eastAsia="宋体" w:cs="Times New Roman"/>
                <w:spacing w:val="0"/>
                <w:kern w:val="2"/>
                <w:sz w:val="18"/>
                <w:szCs w:val="18"/>
                <w:lang w:val="en-US" w:eastAsia="zh-CN" w:bidi="ar-SA"/>
              </w:rPr>
            </w:pPr>
          </w:p>
        </w:tc>
        <w:tc>
          <w:tcPr>
            <w:tcW w:w="1655" w:type="dxa"/>
            <w:noWrap w:val="0"/>
            <w:vAlign w:val="center"/>
          </w:tcPr>
          <w:p w14:paraId="0F051F38">
            <w:pPr>
              <w:widowControl/>
              <w:jc w:val="center"/>
              <w:rPr>
                <w:rFonts w:hint="default" w:ascii="宋体" w:hAnsi="宋体" w:eastAsia="宋体" w:cs="宋体"/>
                <w:kern w:val="0"/>
                <w:sz w:val="18"/>
                <w:szCs w:val="18"/>
                <w:lang w:val="en-US" w:eastAsia="zh-CN" w:bidi="ar-SA"/>
              </w:rPr>
            </w:pPr>
            <w:r>
              <w:rPr>
                <w:rFonts w:hint="eastAsia" w:ascii="宋体" w:hAnsi="宋体"/>
                <w:sz w:val="18"/>
                <w:szCs w:val="18"/>
                <w:lang w:eastAsia="zh-CN"/>
              </w:rPr>
              <w:t>4.5</w:t>
            </w:r>
            <w:r>
              <w:rPr>
                <w:rFonts w:hint="eastAsia" w:ascii="宋体" w:hAnsi="宋体"/>
                <w:sz w:val="18"/>
                <w:szCs w:val="18"/>
              </w:rPr>
              <w:t>.</w:t>
            </w:r>
            <w:r>
              <w:rPr>
                <w:rFonts w:hint="eastAsia" w:ascii="宋体" w:hAnsi="宋体"/>
                <w:sz w:val="18"/>
                <w:szCs w:val="18"/>
                <w:lang w:val="en-US" w:eastAsia="zh-CN"/>
              </w:rPr>
              <w:t>5.1</w:t>
            </w:r>
          </w:p>
        </w:tc>
      </w:tr>
    </w:tbl>
    <w:p w14:paraId="7CE7CA84">
      <w:pPr>
        <w:widowControl/>
        <w:spacing w:before="156" w:after="156"/>
        <w:ind w:left="567"/>
        <w:rPr>
          <w:rFonts w:hint="eastAsia"/>
        </w:rPr>
      </w:pPr>
      <w:r>
        <w:rPr>
          <w:rFonts w:hint="eastAsia"/>
        </w:rPr>
        <w:br w:type="page"/>
      </w:r>
    </w:p>
    <w:p w14:paraId="716DB004">
      <w:pPr>
        <w:pStyle w:val="168"/>
        <w:widowControl/>
        <w:numPr>
          <w:ilvl w:val="0"/>
          <w:numId w:val="0"/>
        </w:numPr>
        <w:spacing w:before="156" w:after="156"/>
        <w:ind w:left="567" w:hanging="567"/>
      </w:pP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5"/>
        <w:gridCol w:w="6838"/>
        <w:gridCol w:w="712"/>
        <w:gridCol w:w="712"/>
        <w:gridCol w:w="712"/>
        <w:gridCol w:w="1753"/>
        <w:gridCol w:w="633"/>
        <w:gridCol w:w="1462"/>
        <w:gridCol w:w="1566"/>
      </w:tblGrid>
      <w:tr w14:paraId="0C763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65" w:type="dxa"/>
            <w:noWrap w:val="0"/>
            <w:vAlign w:val="center"/>
          </w:tcPr>
          <w:p w14:paraId="54C936CD">
            <w:pPr>
              <w:adjustRightInd w:val="0"/>
              <w:snapToGrid w:val="0"/>
              <w:jc w:val="center"/>
              <w:rPr>
                <w:rFonts w:ascii="宋体" w:hAnsi="宋体"/>
                <w:bCs/>
                <w:sz w:val="18"/>
                <w:szCs w:val="18"/>
              </w:rPr>
            </w:pPr>
            <w:r>
              <w:rPr>
                <w:rFonts w:ascii="宋体" w:hAnsi="宋体"/>
                <w:bCs/>
                <w:sz w:val="18"/>
                <w:szCs w:val="18"/>
              </w:rPr>
              <w:t>序号</w:t>
            </w:r>
          </w:p>
        </w:tc>
        <w:tc>
          <w:tcPr>
            <w:tcW w:w="6838" w:type="dxa"/>
            <w:noWrap w:val="0"/>
            <w:vAlign w:val="center"/>
          </w:tcPr>
          <w:p w14:paraId="0697208F">
            <w:pPr>
              <w:adjustRightInd w:val="0"/>
              <w:snapToGrid w:val="0"/>
              <w:jc w:val="center"/>
              <w:rPr>
                <w:rFonts w:ascii="宋体" w:hAnsi="宋体"/>
                <w:bCs/>
                <w:sz w:val="18"/>
                <w:szCs w:val="18"/>
              </w:rPr>
            </w:pPr>
            <w:r>
              <w:rPr>
                <w:rFonts w:ascii="宋体" w:hAnsi="宋体"/>
                <w:bCs/>
                <w:sz w:val="18"/>
                <w:szCs w:val="18"/>
              </w:rPr>
              <w:t>评定内容</w:t>
            </w:r>
          </w:p>
        </w:tc>
        <w:tc>
          <w:tcPr>
            <w:tcW w:w="712" w:type="dxa"/>
            <w:noWrap w:val="0"/>
            <w:vAlign w:val="center"/>
          </w:tcPr>
          <w:p w14:paraId="073458DC">
            <w:pPr>
              <w:adjustRightInd w:val="0"/>
              <w:snapToGrid w:val="0"/>
              <w:jc w:val="center"/>
              <w:rPr>
                <w:rFonts w:ascii="宋体" w:hAnsi="宋体"/>
                <w:bCs/>
                <w:sz w:val="18"/>
                <w:szCs w:val="18"/>
              </w:rPr>
            </w:pPr>
            <w:r>
              <w:rPr>
                <w:rFonts w:hint="eastAsia" w:ascii="宋体" w:hAnsi="宋体"/>
                <w:bCs/>
                <w:sz w:val="18"/>
                <w:szCs w:val="18"/>
              </w:rPr>
              <w:t>评定要素分值</w:t>
            </w:r>
          </w:p>
        </w:tc>
        <w:tc>
          <w:tcPr>
            <w:tcW w:w="712" w:type="dxa"/>
            <w:noWrap w:val="0"/>
            <w:vAlign w:val="center"/>
          </w:tcPr>
          <w:p w14:paraId="7622062A">
            <w:pPr>
              <w:adjustRightInd w:val="0"/>
              <w:snapToGrid w:val="0"/>
              <w:jc w:val="center"/>
              <w:rPr>
                <w:rFonts w:ascii="宋体" w:hAnsi="宋体"/>
                <w:bCs/>
                <w:sz w:val="18"/>
                <w:szCs w:val="18"/>
              </w:rPr>
            </w:pPr>
            <w:r>
              <w:rPr>
                <w:rFonts w:hint="eastAsia" w:ascii="宋体" w:hAnsi="宋体"/>
                <w:bCs/>
                <w:sz w:val="18"/>
                <w:szCs w:val="18"/>
              </w:rPr>
              <w:t>评定细项分值</w:t>
            </w:r>
          </w:p>
        </w:tc>
        <w:tc>
          <w:tcPr>
            <w:tcW w:w="712" w:type="dxa"/>
            <w:noWrap w:val="0"/>
            <w:vAlign w:val="center"/>
          </w:tcPr>
          <w:p w14:paraId="5BBF305F">
            <w:pPr>
              <w:adjustRightInd w:val="0"/>
              <w:snapToGrid w:val="0"/>
              <w:jc w:val="center"/>
              <w:rPr>
                <w:rFonts w:ascii="宋体" w:hAnsi="宋体"/>
                <w:bCs/>
                <w:sz w:val="18"/>
                <w:szCs w:val="18"/>
              </w:rPr>
            </w:pPr>
            <w:r>
              <w:rPr>
                <w:rFonts w:hint="eastAsia" w:ascii="宋体" w:hAnsi="宋体"/>
                <w:bCs/>
                <w:sz w:val="18"/>
                <w:szCs w:val="18"/>
              </w:rPr>
              <w:t>评定条款分值</w:t>
            </w:r>
          </w:p>
        </w:tc>
        <w:tc>
          <w:tcPr>
            <w:tcW w:w="1753" w:type="dxa"/>
            <w:noWrap w:val="0"/>
            <w:vAlign w:val="center"/>
          </w:tcPr>
          <w:p w14:paraId="647FF5FC">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2A6F1C63">
            <w:pPr>
              <w:adjustRightInd w:val="0"/>
              <w:snapToGrid w:val="0"/>
              <w:jc w:val="center"/>
              <w:rPr>
                <w:rFonts w:ascii="宋体" w:hAnsi="宋体"/>
                <w:bCs/>
                <w:sz w:val="18"/>
                <w:szCs w:val="18"/>
              </w:rPr>
            </w:pPr>
            <w:r>
              <w:rPr>
                <w:rFonts w:hint="eastAsia" w:ascii="宋体" w:hAnsi="宋体"/>
                <w:bCs/>
                <w:sz w:val="18"/>
                <w:szCs w:val="18"/>
              </w:rPr>
              <w:t>评定得分</w:t>
            </w:r>
          </w:p>
        </w:tc>
        <w:tc>
          <w:tcPr>
            <w:tcW w:w="1462" w:type="dxa"/>
            <w:noWrap w:val="0"/>
            <w:vAlign w:val="center"/>
          </w:tcPr>
          <w:p w14:paraId="74BBA3CA">
            <w:pPr>
              <w:adjustRightInd w:val="0"/>
              <w:snapToGrid w:val="0"/>
              <w:jc w:val="center"/>
              <w:rPr>
                <w:rFonts w:ascii="宋体" w:hAnsi="宋体"/>
                <w:bCs/>
                <w:sz w:val="18"/>
                <w:szCs w:val="18"/>
              </w:rPr>
            </w:pPr>
            <w:r>
              <w:rPr>
                <w:rFonts w:hint="eastAsia" w:ascii="宋体" w:hAnsi="宋体"/>
                <w:bCs/>
                <w:sz w:val="18"/>
                <w:szCs w:val="18"/>
              </w:rPr>
              <w:t>扣分说明</w:t>
            </w:r>
          </w:p>
        </w:tc>
        <w:tc>
          <w:tcPr>
            <w:tcW w:w="1566" w:type="dxa"/>
            <w:noWrap w:val="0"/>
            <w:vAlign w:val="center"/>
          </w:tcPr>
          <w:p w14:paraId="53296CFB">
            <w:pPr>
              <w:adjustRightInd w:val="0"/>
              <w:snapToGrid w:val="0"/>
              <w:jc w:val="center"/>
              <w:rPr>
                <w:rFonts w:ascii="宋体" w:hAnsi="宋体"/>
                <w:bCs/>
                <w:sz w:val="18"/>
                <w:szCs w:val="18"/>
              </w:rPr>
            </w:pPr>
            <w:r>
              <w:rPr>
                <w:rFonts w:ascii="宋体" w:hAnsi="宋体"/>
                <w:bCs/>
                <w:sz w:val="18"/>
                <w:szCs w:val="18"/>
              </w:rPr>
              <w:t>对应条款编号</w:t>
            </w:r>
          </w:p>
        </w:tc>
      </w:tr>
      <w:tr w14:paraId="227AB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65" w:type="dxa"/>
            <w:noWrap w:val="0"/>
            <w:vAlign w:val="center"/>
          </w:tcPr>
          <w:p w14:paraId="5FF3CC7A">
            <w:pPr>
              <w:pStyle w:val="207"/>
              <w:numPr>
                <w:ilvl w:val="3"/>
                <w:numId w:val="0"/>
              </w:numPr>
              <w:adjustRightInd w:val="0"/>
              <w:snapToGrid w:val="0"/>
              <w:ind w:right="-105"/>
              <w:jc w:val="center"/>
              <w:outlineLvl w:val="9"/>
              <w:rPr>
                <w:rFonts w:ascii="宋体" w:hAnsi="宋体" w:eastAsia="宋体" w:cs="宋体"/>
                <w:sz w:val="18"/>
                <w:szCs w:val="18"/>
              </w:rPr>
            </w:pPr>
          </w:p>
        </w:tc>
        <w:tc>
          <w:tcPr>
            <w:tcW w:w="6838" w:type="dxa"/>
            <w:noWrap w:val="0"/>
            <w:vAlign w:val="center"/>
          </w:tcPr>
          <w:p w14:paraId="2877D51F">
            <w:pPr>
              <w:adjustRightInd w:val="0"/>
              <w:snapToGrid w:val="0"/>
              <w:jc w:val="left"/>
              <w:rPr>
                <w:rFonts w:ascii="宋体" w:hAnsi="宋体"/>
                <w:sz w:val="18"/>
                <w:szCs w:val="18"/>
              </w:rPr>
            </w:pPr>
            <w:r>
              <w:rPr>
                <w:rFonts w:hint="eastAsia" w:ascii="宋体" w:hAnsi="宋体"/>
                <w:sz w:val="18"/>
                <w:szCs w:val="18"/>
              </w:rPr>
              <w:t>c）夹卡刀具、工件的螺钉应齐全完好，螺丝无缺失、破损等现象；</w:t>
            </w:r>
          </w:p>
          <w:p w14:paraId="69C074A3">
            <w:pPr>
              <w:adjustRightInd w:val="0"/>
              <w:snapToGrid w:val="0"/>
              <w:jc w:val="left"/>
              <w:rPr>
                <w:rFonts w:ascii="宋体" w:hAnsi="宋体"/>
                <w:sz w:val="18"/>
                <w:szCs w:val="18"/>
              </w:rPr>
            </w:pPr>
            <w:r>
              <w:rPr>
                <w:rFonts w:hint="eastAsia" w:ascii="宋体" w:hAnsi="宋体"/>
                <w:sz w:val="18"/>
                <w:szCs w:val="18"/>
              </w:rPr>
              <w:t>d）各类行程限位装置、过载保护装置、顺序动作电气与机械连锁装置、事故联锁装置、紧急制动装置、机械与电气自锁或互锁装置、音响信号报警装置、光电等自动保护装置、指示信号装置等应灵敏可靠；</w:t>
            </w:r>
          </w:p>
          <w:p w14:paraId="177A792A">
            <w:pPr>
              <w:adjustRightInd w:val="0"/>
              <w:snapToGrid w:val="0"/>
              <w:jc w:val="left"/>
              <w:rPr>
                <w:rFonts w:ascii="宋体" w:hAnsi="宋体"/>
                <w:sz w:val="18"/>
                <w:szCs w:val="18"/>
              </w:rPr>
            </w:pPr>
            <w:r>
              <w:rPr>
                <w:rFonts w:hint="eastAsia" w:ascii="宋体" w:hAnsi="宋体"/>
                <w:sz w:val="18"/>
                <w:szCs w:val="18"/>
              </w:rPr>
              <w:t>e）限位装置应安全可靠、位置准确，运动机构的行程限制在规定的范围之内；</w:t>
            </w:r>
          </w:p>
          <w:p w14:paraId="5A315AD3">
            <w:pPr>
              <w:adjustRightInd w:val="0"/>
              <w:snapToGrid w:val="0"/>
              <w:jc w:val="left"/>
              <w:rPr>
                <w:rFonts w:ascii="宋体" w:hAnsi="宋体"/>
                <w:sz w:val="18"/>
                <w:szCs w:val="18"/>
              </w:rPr>
            </w:pPr>
            <w:r>
              <w:rPr>
                <w:rFonts w:hint="eastAsia" w:ascii="宋体" w:hAnsi="宋体"/>
                <w:sz w:val="18"/>
                <w:szCs w:val="18"/>
              </w:rPr>
              <w:t>f）操作手柄档位分明、图文标示相符、定位可靠，操纵杆不应因振动和齿轮磨损而脱位；</w:t>
            </w:r>
          </w:p>
          <w:p w14:paraId="2AF55F04">
            <w:pPr>
              <w:adjustRightInd w:val="0"/>
              <w:snapToGrid w:val="0"/>
              <w:jc w:val="left"/>
              <w:rPr>
                <w:rFonts w:ascii="宋体" w:hAnsi="宋体"/>
                <w:sz w:val="18"/>
                <w:szCs w:val="18"/>
              </w:rPr>
            </w:pPr>
            <w:r>
              <w:rPr>
                <w:rFonts w:hint="eastAsia" w:ascii="宋体" w:hAnsi="宋体"/>
                <w:sz w:val="18"/>
                <w:szCs w:val="18"/>
              </w:rPr>
              <w:t>g）应配备拉屑钩、夹屑钳、扒屑铲、毛刷等清屑专用工具；</w:t>
            </w:r>
          </w:p>
          <w:p w14:paraId="50889F4C">
            <w:pPr>
              <w:adjustRightInd w:val="0"/>
              <w:snapToGrid w:val="0"/>
              <w:jc w:val="left"/>
              <w:rPr>
                <w:rFonts w:ascii="宋体" w:hAnsi="宋体" w:cs="宋体"/>
                <w:kern w:val="0"/>
                <w:sz w:val="18"/>
                <w:szCs w:val="18"/>
              </w:rPr>
            </w:pPr>
            <w:r>
              <w:rPr>
                <w:rFonts w:hint="eastAsia" w:ascii="宋体" w:hAnsi="宋体"/>
                <w:sz w:val="18"/>
                <w:szCs w:val="18"/>
              </w:rPr>
              <w:t>h）设备清扫和维护时应停机作业。</w:t>
            </w:r>
          </w:p>
        </w:tc>
        <w:tc>
          <w:tcPr>
            <w:tcW w:w="712" w:type="dxa"/>
            <w:noWrap w:val="0"/>
            <w:vAlign w:val="center"/>
          </w:tcPr>
          <w:p w14:paraId="1D5AAEAA">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712" w:type="dxa"/>
            <w:noWrap w:val="0"/>
            <w:vAlign w:val="center"/>
          </w:tcPr>
          <w:p w14:paraId="0D1AA8FE">
            <w:pPr>
              <w:pStyle w:val="207"/>
              <w:numPr>
                <w:ilvl w:val="3"/>
                <w:numId w:val="0"/>
              </w:numPr>
              <w:adjustRightInd w:val="0"/>
              <w:snapToGrid w:val="0"/>
              <w:ind w:right="-105"/>
              <w:jc w:val="center"/>
              <w:outlineLvl w:val="9"/>
              <w:rPr>
                <w:rFonts w:ascii="宋体" w:hAnsi="宋体" w:eastAsia="宋体"/>
                <w:spacing w:val="0"/>
                <w:kern w:val="2"/>
                <w:sz w:val="18"/>
                <w:szCs w:val="18"/>
              </w:rPr>
            </w:pPr>
          </w:p>
        </w:tc>
        <w:tc>
          <w:tcPr>
            <w:tcW w:w="712" w:type="dxa"/>
            <w:noWrap w:val="0"/>
            <w:vAlign w:val="center"/>
          </w:tcPr>
          <w:p w14:paraId="54FAF0F9">
            <w:pPr>
              <w:widowControl/>
              <w:jc w:val="center"/>
              <w:rPr>
                <w:rFonts w:hint="eastAsia" w:ascii="宋体" w:hAnsi="宋体" w:eastAsia="宋体" w:cs="宋体"/>
                <w:kern w:val="0"/>
                <w:sz w:val="18"/>
                <w:szCs w:val="18"/>
                <w:lang w:eastAsia="zh-CN"/>
              </w:rPr>
            </w:pPr>
          </w:p>
        </w:tc>
        <w:tc>
          <w:tcPr>
            <w:tcW w:w="1753" w:type="dxa"/>
            <w:noWrap w:val="0"/>
            <w:vAlign w:val="center"/>
          </w:tcPr>
          <w:p w14:paraId="3F047B13">
            <w:pPr>
              <w:widowControl/>
              <w:jc w:val="left"/>
              <w:rPr>
                <w:rFonts w:ascii="宋体" w:hAnsi="宋体" w:cs="宋体"/>
                <w:kern w:val="0"/>
                <w:sz w:val="18"/>
                <w:szCs w:val="18"/>
              </w:rPr>
            </w:pPr>
          </w:p>
        </w:tc>
        <w:tc>
          <w:tcPr>
            <w:tcW w:w="633" w:type="dxa"/>
            <w:noWrap w:val="0"/>
            <w:vAlign w:val="center"/>
          </w:tcPr>
          <w:p w14:paraId="463A9FB5">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462" w:type="dxa"/>
            <w:noWrap w:val="0"/>
            <w:vAlign w:val="center"/>
          </w:tcPr>
          <w:p w14:paraId="443D3B9D">
            <w:pPr>
              <w:pStyle w:val="207"/>
              <w:numPr>
                <w:ilvl w:val="3"/>
                <w:numId w:val="0"/>
              </w:numPr>
              <w:adjustRightInd w:val="0"/>
              <w:snapToGrid w:val="0"/>
              <w:ind w:right="-105"/>
              <w:jc w:val="left"/>
              <w:outlineLvl w:val="9"/>
              <w:rPr>
                <w:rFonts w:ascii="宋体" w:hAnsi="宋体" w:eastAsia="宋体"/>
                <w:spacing w:val="0"/>
                <w:kern w:val="2"/>
                <w:sz w:val="18"/>
                <w:szCs w:val="18"/>
              </w:rPr>
            </w:pPr>
          </w:p>
        </w:tc>
        <w:tc>
          <w:tcPr>
            <w:tcW w:w="1566" w:type="dxa"/>
            <w:noWrap w:val="0"/>
            <w:vAlign w:val="center"/>
          </w:tcPr>
          <w:p w14:paraId="08C7569C">
            <w:pPr>
              <w:widowControl/>
              <w:jc w:val="center"/>
              <w:rPr>
                <w:rFonts w:hint="default" w:ascii="宋体" w:hAnsi="宋体" w:eastAsia="宋体" w:cs="宋体"/>
                <w:kern w:val="0"/>
                <w:sz w:val="18"/>
                <w:szCs w:val="18"/>
                <w:lang w:val="en-US" w:eastAsia="zh-CN"/>
              </w:rPr>
            </w:pPr>
          </w:p>
        </w:tc>
      </w:tr>
      <w:tr w14:paraId="47A42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65" w:type="dxa"/>
            <w:noWrap w:val="0"/>
            <w:vAlign w:val="center"/>
          </w:tcPr>
          <w:p w14:paraId="129B0EC8">
            <w:pPr>
              <w:jc w:val="center"/>
              <w:rPr>
                <w:rFonts w:hint="eastAsia" w:ascii="宋体" w:hAnsi="宋体" w:eastAsia="宋体" w:cs="宋体"/>
                <w:kern w:val="2"/>
                <w:sz w:val="18"/>
                <w:szCs w:val="18"/>
                <w:lang w:val="en-US" w:eastAsia="zh-CN" w:bidi="ar-SA"/>
              </w:rPr>
            </w:pPr>
            <w:r>
              <w:rPr>
                <w:rFonts w:hint="eastAsia" w:ascii="宋体" w:hAnsi="宋体" w:cs="宋体"/>
                <w:sz w:val="18"/>
                <w:szCs w:val="18"/>
              </w:rPr>
              <w:t>5.</w:t>
            </w:r>
            <w:r>
              <w:rPr>
                <w:rFonts w:hint="eastAsia" w:ascii="宋体" w:hAnsi="宋体" w:cs="宋体"/>
                <w:sz w:val="18"/>
                <w:szCs w:val="18"/>
                <w:lang w:val="en-US" w:eastAsia="zh-CN"/>
              </w:rPr>
              <w:t>5</w:t>
            </w:r>
            <w:r>
              <w:rPr>
                <w:rFonts w:hint="eastAsia" w:ascii="宋体" w:hAnsi="宋体" w:cs="宋体"/>
                <w:sz w:val="18"/>
                <w:szCs w:val="18"/>
              </w:rPr>
              <w:t>.</w:t>
            </w:r>
            <w:r>
              <w:rPr>
                <w:rFonts w:hint="eastAsia" w:ascii="宋体" w:hAnsi="宋体" w:cs="宋体"/>
                <w:sz w:val="18"/>
                <w:szCs w:val="18"/>
                <w:lang w:val="en-US" w:eastAsia="zh-CN"/>
              </w:rPr>
              <w:t>2</w:t>
            </w:r>
          </w:p>
        </w:tc>
        <w:tc>
          <w:tcPr>
            <w:tcW w:w="6838" w:type="dxa"/>
            <w:noWrap w:val="0"/>
            <w:vAlign w:val="top"/>
          </w:tcPr>
          <w:p w14:paraId="5415BF15">
            <w:pPr>
              <w:widowControl/>
              <w:tabs>
                <w:tab w:val="center" w:pos="4201"/>
                <w:tab w:val="right" w:leader="dot" w:pos="9298"/>
              </w:tabs>
              <w:autoSpaceDE w:val="0"/>
              <w:autoSpaceDN w:val="0"/>
              <w:adjustRightInd w:val="0"/>
              <w:snapToGrid w:val="0"/>
              <w:ind w:right="34"/>
              <w:rPr>
                <w:rFonts w:ascii="宋体" w:hAnsi="宋体"/>
                <w:kern w:val="0"/>
                <w:sz w:val="18"/>
                <w:szCs w:val="18"/>
              </w:rPr>
            </w:pPr>
            <w:r>
              <w:rPr>
                <w:rFonts w:hint="eastAsia" w:ascii="宋体" w:hAnsi="宋体"/>
                <w:kern w:val="0"/>
                <w:sz w:val="18"/>
                <w:szCs w:val="18"/>
              </w:rPr>
              <w:t>砂轮机应符合下列要求：</w:t>
            </w:r>
          </w:p>
          <w:p w14:paraId="15E93D6A">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a）防护罩应将砂轮、砂轮卡盘和砂轮主轴端部罩住；</w:t>
            </w:r>
          </w:p>
          <w:p w14:paraId="0B3306C1">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b）砂轮防护罩</w:t>
            </w:r>
            <w:r>
              <w:rPr>
                <w:rFonts w:ascii="宋体" w:hAnsi="宋体"/>
                <w:kern w:val="0"/>
                <w:sz w:val="18"/>
                <w:szCs w:val="18"/>
              </w:rPr>
              <w:t>上修整用开口处应设有防护装置；</w:t>
            </w:r>
          </w:p>
          <w:p w14:paraId="4B14CF4C">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c）</w:t>
            </w:r>
            <w:r>
              <w:rPr>
                <w:rFonts w:ascii="宋体" w:hAnsi="宋体"/>
                <w:kern w:val="0"/>
                <w:sz w:val="18"/>
                <w:szCs w:val="18"/>
              </w:rPr>
              <w:t>砂轮防护罩开口的上端部位应设有可以调整的护板，护板应固定在砂轮防护罩上，护板的宽度应大于砂轮防护罩外圆部分的宽度；</w:t>
            </w:r>
          </w:p>
          <w:p w14:paraId="2C96740A">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d）</w:t>
            </w:r>
            <w:r>
              <w:rPr>
                <w:rFonts w:ascii="宋体" w:hAnsi="宋体"/>
                <w:kern w:val="0"/>
                <w:sz w:val="18"/>
                <w:szCs w:val="18"/>
              </w:rPr>
              <w:t>砂轮防护罩在砂轮主轴中心线水平面以上的开口角度小于30°时，可不设护板；</w:t>
            </w:r>
          </w:p>
          <w:p w14:paraId="1500DAB8">
            <w:pPr>
              <w:widowControl/>
              <w:tabs>
                <w:tab w:val="center" w:pos="4201"/>
                <w:tab w:val="right" w:leader="dot" w:pos="9298"/>
              </w:tabs>
              <w:autoSpaceDE w:val="0"/>
              <w:autoSpaceDN w:val="0"/>
              <w:adjustRightInd w:val="0"/>
              <w:snapToGrid w:val="0"/>
              <w:ind w:right="34"/>
              <w:rPr>
                <w:rFonts w:ascii="宋体" w:hAnsi="宋体"/>
                <w:kern w:val="0"/>
                <w:sz w:val="18"/>
                <w:szCs w:val="18"/>
              </w:rPr>
            </w:pPr>
            <w:r>
              <w:rPr>
                <w:rFonts w:hint="eastAsia" w:ascii="宋体" w:hAnsi="宋体"/>
                <w:kern w:val="0"/>
                <w:sz w:val="18"/>
                <w:szCs w:val="18"/>
              </w:rPr>
              <w:t>e）</w:t>
            </w:r>
            <w:r>
              <w:rPr>
                <w:rFonts w:ascii="宋体" w:hAnsi="宋体"/>
                <w:kern w:val="0"/>
                <w:sz w:val="18"/>
                <w:szCs w:val="18"/>
              </w:rPr>
              <w:t>砂轮圆周表面与可调护板边缘之间的间隙应小于6</w:t>
            </w:r>
            <w:r>
              <w:rPr>
                <w:rFonts w:hint="eastAsia" w:ascii="宋体" w:hAnsi="宋体"/>
                <w:kern w:val="0"/>
                <w:sz w:val="18"/>
                <w:szCs w:val="18"/>
              </w:rPr>
              <w:t xml:space="preserve"> </w:t>
            </w:r>
            <w:r>
              <w:rPr>
                <w:rFonts w:ascii="宋体" w:hAnsi="宋体"/>
                <w:kern w:val="0"/>
                <w:sz w:val="18"/>
                <w:szCs w:val="18"/>
              </w:rPr>
              <w:t>mm；安装设计允许的最厚砂轮时，砂轮卡盘外侧面与砂轮防护罩开口边缘之间的间隙应小于15</w:t>
            </w:r>
            <w:r>
              <w:rPr>
                <w:rFonts w:hint="eastAsia" w:ascii="宋体" w:hAnsi="宋体"/>
                <w:kern w:val="0"/>
                <w:sz w:val="18"/>
                <w:szCs w:val="18"/>
              </w:rPr>
              <w:t xml:space="preserve"> </w:t>
            </w:r>
            <w:r>
              <w:rPr>
                <w:rFonts w:ascii="宋体" w:hAnsi="宋体"/>
                <w:kern w:val="0"/>
                <w:sz w:val="18"/>
                <w:szCs w:val="18"/>
              </w:rPr>
              <w:t>mm；环带式砂轮防护罩内壁与砂轮圆周表面之间的间隙</w:t>
            </w:r>
            <w:r>
              <w:rPr>
                <w:rFonts w:hint="eastAsia" w:ascii="宋体" w:hAnsi="宋体"/>
                <w:kern w:val="0"/>
                <w:sz w:val="18"/>
                <w:szCs w:val="18"/>
              </w:rPr>
              <w:t>应</w:t>
            </w:r>
            <w:r>
              <w:rPr>
                <w:rFonts w:ascii="宋体" w:hAnsi="宋体"/>
                <w:kern w:val="0"/>
                <w:sz w:val="18"/>
                <w:szCs w:val="18"/>
              </w:rPr>
              <w:t>不大于15</w:t>
            </w:r>
            <w:r>
              <w:rPr>
                <w:rFonts w:hint="eastAsia" w:ascii="宋体" w:hAnsi="宋体"/>
                <w:kern w:val="0"/>
                <w:sz w:val="18"/>
                <w:szCs w:val="18"/>
              </w:rPr>
              <w:t xml:space="preserve"> </w:t>
            </w:r>
            <w:r>
              <w:rPr>
                <w:rFonts w:ascii="宋体" w:hAnsi="宋体"/>
                <w:kern w:val="0"/>
                <w:sz w:val="18"/>
                <w:szCs w:val="18"/>
              </w:rPr>
              <w:t>mm；砂轮防护罩在砂轮主轴中心线水平面以上的开口角度小于30°，可以不保证6</w:t>
            </w:r>
            <w:r>
              <w:rPr>
                <w:rFonts w:hint="eastAsia" w:ascii="宋体" w:hAnsi="宋体"/>
                <w:kern w:val="0"/>
                <w:sz w:val="18"/>
                <w:szCs w:val="18"/>
              </w:rPr>
              <w:t xml:space="preserve"> </w:t>
            </w:r>
            <w:r>
              <w:rPr>
                <w:rFonts w:ascii="宋体" w:hAnsi="宋体"/>
                <w:kern w:val="0"/>
                <w:sz w:val="18"/>
                <w:szCs w:val="18"/>
              </w:rPr>
              <w:t>mm间隙的规定；</w:t>
            </w:r>
          </w:p>
          <w:p w14:paraId="42C66D61">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f）平面磨床工作台的两端或四周应设防护挡板；</w:t>
            </w:r>
          </w:p>
          <w:p w14:paraId="3600C7E9">
            <w:pPr>
              <w:adjustRightInd w:val="0"/>
              <w:snapToGrid w:val="0"/>
              <w:jc w:val="left"/>
              <w:rPr>
                <w:rFonts w:hint="eastAsia" w:ascii="宋体" w:hAnsi="宋体"/>
                <w:kern w:val="0"/>
                <w:sz w:val="18"/>
                <w:szCs w:val="18"/>
              </w:rPr>
            </w:pPr>
            <w:r>
              <w:rPr>
                <w:rFonts w:hint="eastAsia" w:ascii="宋体" w:hAnsi="宋体"/>
                <w:kern w:val="0"/>
                <w:sz w:val="18"/>
                <w:szCs w:val="18"/>
              </w:rPr>
              <w:t>g）在一个砂轮卡盘上同时安装多于一片的砂轮时，砂轮之间允许使用隔离片隔开，隔离片的直径以及与砂轮压紧面尺寸应与砂轮卡盘相等；</w:t>
            </w:r>
          </w:p>
          <w:p w14:paraId="0CE8AA65">
            <w:pPr>
              <w:widowControl/>
              <w:tabs>
                <w:tab w:val="center" w:pos="4201"/>
                <w:tab w:val="right" w:leader="dot" w:pos="9298"/>
              </w:tabs>
              <w:autoSpaceDE w:val="0"/>
              <w:autoSpaceDN w:val="0"/>
              <w:adjustRightInd w:val="0"/>
              <w:snapToGrid w:val="0"/>
              <w:ind w:right="34"/>
              <w:rPr>
                <w:rFonts w:ascii="宋体" w:hAnsi="宋体"/>
                <w:kern w:val="0"/>
                <w:sz w:val="18"/>
                <w:szCs w:val="18"/>
              </w:rPr>
            </w:pPr>
            <w:r>
              <w:rPr>
                <w:rFonts w:hint="eastAsia" w:ascii="宋体" w:hAnsi="宋体"/>
                <w:kern w:val="0"/>
                <w:sz w:val="18"/>
                <w:szCs w:val="18"/>
              </w:rPr>
              <w:t>h）砂轮与工件托架之间的距离应小于被磨工件最小外形尺寸的1/2，最大不超过3 mm；</w:t>
            </w:r>
          </w:p>
          <w:p w14:paraId="51E845A2">
            <w:pPr>
              <w:widowControl/>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rPr>
              <w:t>i）砂轮卡盘的直径不得小于砂轮直径的1/3，切断砂轮机卡盘的直径不得小于砂轮直径的1/4；</w:t>
            </w:r>
          </w:p>
          <w:p w14:paraId="32895418">
            <w:pPr>
              <w:adjustRightInd w:val="0"/>
              <w:snapToGrid w:val="0"/>
              <w:rPr>
                <w:rFonts w:hint="eastAsia" w:ascii="宋体" w:hAnsi="宋体"/>
                <w:kern w:val="0"/>
                <w:sz w:val="18"/>
                <w:szCs w:val="18"/>
              </w:rPr>
            </w:pPr>
            <w:r>
              <w:rPr>
                <w:rFonts w:hint="eastAsia" w:ascii="宋体" w:hAnsi="宋体"/>
                <w:kern w:val="0"/>
                <w:sz w:val="18"/>
                <w:szCs w:val="18"/>
              </w:rPr>
              <w:t>j）砂轮卡盘与砂轮两侧面的非接触部分应有足够的间隙，其最小尺寸为1.5 mm；砂轮卡盘的各表面应平滑、无锐棱；</w:t>
            </w:r>
          </w:p>
          <w:p w14:paraId="0D6AAB7A">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kern w:val="0"/>
                <w:sz w:val="18"/>
                <w:szCs w:val="18"/>
              </w:rPr>
              <w:t>k）砂轮机一般应设置专用的砂轮机房，不应安装在正对着附近设备、操作人员或经常有人过往的地方。如因条件限制不能设置专用的砂轮机房，则应在砂轮机正面装设不低于1.8 m高度的防护挡板。</w:t>
            </w:r>
          </w:p>
        </w:tc>
        <w:tc>
          <w:tcPr>
            <w:tcW w:w="712" w:type="dxa"/>
            <w:noWrap w:val="0"/>
            <w:vAlign w:val="center"/>
          </w:tcPr>
          <w:p w14:paraId="46A83991">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712" w:type="dxa"/>
            <w:noWrap w:val="0"/>
            <w:vAlign w:val="center"/>
          </w:tcPr>
          <w:p w14:paraId="7B48CABA">
            <w:pPr>
              <w:ind w:left="-249" w:leftChars="-119"/>
              <w:jc w:val="center"/>
              <w:rPr>
                <w:rFonts w:ascii="宋体" w:hAnsi="宋体" w:eastAsia="宋体" w:cs="宋体"/>
                <w:kern w:val="2"/>
                <w:sz w:val="18"/>
                <w:szCs w:val="18"/>
                <w:lang w:val="en-US" w:eastAsia="zh-CN" w:bidi="ar-SA"/>
              </w:rPr>
            </w:pPr>
          </w:p>
        </w:tc>
        <w:tc>
          <w:tcPr>
            <w:tcW w:w="712" w:type="dxa"/>
            <w:noWrap w:val="0"/>
            <w:vAlign w:val="center"/>
          </w:tcPr>
          <w:p w14:paraId="1F0F583A">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1753" w:type="dxa"/>
            <w:noWrap w:val="0"/>
            <w:vAlign w:val="center"/>
          </w:tcPr>
          <w:p w14:paraId="1E02BFD7">
            <w:pPr>
              <w:jc w:val="left"/>
              <w:rPr>
                <w:rFonts w:ascii="宋体" w:hAnsi="宋体" w:eastAsia="宋体" w:cs="宋体"/>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633" w:type="dxa"/>
            <w:noWrap w:val="0"/>
            <w:vAlign w:val="top"/>
          </w:tcPr>
          <w:p w14:paraId="66270E37">
            <w:pPr>
              <w:jc w:val="center"/>
              <w:rPr>
                <w:rFonts w:ascii="宋体" w:hAnsi="宋体" w:eastAsia="宋体" w:cs="宋体"/>
                <w:kern w:val="2"/>
                <w:sz w:val="18"/>
                <w:szCs w:val="18"/>
                <w:lang w:val="en-US" w:eastAsia="zh-CN" w:bidi="ar-SA"/>
              </w:rPr>
            </w:pPr>
          </w:p>
        </w:tc>
        <w:tc>
          <w:tcPr>
            <w:tcW w:w="1462" w:type="dxa"/>
            <w:noWrap w:val="0"/>
            <w:vAlign w:val="top"/>
          </w:tcPr>
          <w:p w14:paraId="31445D47">
            <w:pPr>
              <w:jc w:val="left"/>
              <w:rPr>
                <w:rFonts w:ascii="宋体" w:hAnsi="宋体" w:eastAsia="宋体" w:cs="宋体"/>
                <w:kern w:val="2"/>
                <w:sz w:val="18"/>
                <w:szCs w:val="18"/>
                <w:lang w:val="en-US" w:eastAsia="zh-CN" w:bidi="ar-SA"/>
              </w:rPr>
            </w:pPr>
          </w:p>
        </w:tc>
        <w:tc>
          <w:tcPr>
            <w:tcW w:w="1566" w:type="dxa"/>
            <w:noWrap w:val="0"/>
            <w:vAlign w:val="center"/>
          </w:tcPr>
          <w:p w14:paraId="25AC2987">
            <w:pPr>
              <w:widowControl/>
              <w:tabs>
                <w:tab w:val="center" w:pos="4201"/>
                <w:tab w:val="right" w:leader="dot" w:pos="9298"/>
              </w:tabs>
              <w:autoSpaceDE w:val="0"/>
              <w:autoSpaceDN w:val="0"/>
              <w:ind w:right="34" w:rightChars="0"/>
              <w:jc w:val="center"/>
              <w:rPr>
                <w:rFonts w:hint="default" w:ascii="宋体" w:hAnsi="宋体" w:eastAsia="宋体" w:cs="宋体"/>
                <w:kern w:val="2"/>
                <w:sz w:val="18"/>
                <w:szCs w:val="18"/>
                <w:lang w:val="en-US" w:eastAsia="zh-CN" w:bidi="ar-SA"/>
              </w:rPr>
            </w:pPr>
            <w:r>
              <w:rPr>
                <w:rFonts w:hint="eastAsia" w:ascii="宋体" w:hAnsi="宋体"/>
                <w:kern w:val="0"/>
                <w:sz w:val="18"/>
                <w:szCs w:val="18"/>
                <w:lang w:eastAsia="zh-CN"/>
              </w:rPr>
              <w:t>4.5</w:t>
            </w:r>
            <w:r>
              <w:rPr>
                <w:rFonts w:hint="eastAsia" w:ascii="宋体" w:hAnsi="宋体"/>
                <w:kern w:val="0"/>
                <w:sz w:val="18"/>
                <w:szCs w:val="18"/>
              </w:rPr>
              <w:t>.</w:t>
            </w:r>
            <w:r>
              <w:rPr>
                <w:rFonts w:hint="eastAsia" w:ascii="宋体" w:hAnsi="宋体"/>
                <w:kern w:val="0"/>
                <w:sz w:val="18"/>
                <w:szCs w:val="18"/>
                <w:lang w:val="en-US" w:eastAsia="zh-CN"/>
              </w:rPr>
              <w:t>5.2</w:t>
            </w:r>
          </w:p>
        </w:tc>
      </w:tr>
    </w:tbl>
    <w:p w14:paraId="0893BD7D">
      <w:pPr>
        <w:pStyle w:val="168"/>
        <w:widowControl/>
        <w:numPr>
          <w:ilvl w:val="0"/>
          <w:numId w:val="0"/>
        </w:numPr>
        <w:spacing w:before="156" w:after="156"/>
        <w:ind w:left="567" w:hanging="567"/>
      </w:pPr>
      <w:r>
        <w:br w:type="page"/>
      </w: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9"/>
        <w:gridCol w:w="6872"/>
        <w:gridCol w:w="740"/>
        <w:gridCol w:w="633"/>
        <w:gridCol w:w="740"/>
        <w:gridCol w:w="2217"/>
        <w:gridCol w:w="602"/>
        <w:gridCol w:w="1185"/>
        <w:gridCol w:w="1425"/>
      </w:tblGrid>
      <w:tr w14:paraId="1EF96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9" w:type="dxa"/>
            <w:tcBorders>
              <w:top w:val="single" w:color="auto" w:sz="8" w:space="0"/>
              <w:bottom w:val="single" w:color="auto" w:sz="8" w:space="0"/>
            </w:tcBorders>
            <w:noWrap w:val="0"/>
            <w:vAlign w:val="center"/>
          </w:tcPr>
          <w:p w14:paraId="6553FEA9">
            <w:pPr>
              <w:adjustRightInd w:val="0"/>
              <w:snapToGrid w:val="0"/>
              <w:jc w:val="center"/>
              <w:rPr>
                <w:rFonts w:ascii="宋体" w:hAnsi="宋体"/>
                <w:sz w:val="18"/>
                <w:szCs w:val="18"/>
              </w:rPr>
            </w:pPr>
            <w:r>
              <w:rPr>
                <w:rFonts w:ascii="宋体" w:hAnsi="宋体"/>
                <w:bCs/>
                <w:sz w:val="18"/>
                <w:szCs w:val="18"/>
              </w:rPr>
              <w:t>序号</w:t>
            </w:r>
          </w:p>
        </w:tc>
        <w:tc>
          <w:tcPr>
            <w:tcW w:w="6872" w:type="dxa"/>
            <w:tcBorders>
              <w:top w:val="single" w:color="auto" w:sz="8" w:space="0"/>
              <w:bottom w:val="single" w:color="auto" w:sz="8" w:space="0"/>
            </w:tcBorders>
            <w:noWrap w:val="0"/>
            <w:vAlign w:val="center"/>
          </w:tcPr>
          <w:p w14:paraId="594D78AE">
            <w:pPr>
              <w:adjustRightInd w:val="0"/>
              <w:snapToGrid w:val="0"/>
              <w:jc w:val="center"/>
              <w:rPr>
                <w:rFonts w:ascii="宋体" w:hAnsi="宋体"/>
                <w:sz w:val="18"/>
                <w:szCs w:val="18"/>
              </w:rPr>
            </w:pPr>
            <w:r>
              <w:rPr>
                <w:rFonts w:ascii="宋体" w:hAnsi="宋体"/>
                <w:bCs/>
                <w:sz w:val="18"/>
                <w:szCs w:val="18"/>
              </w:rPr>
              <w:t>评定内容</w:t>
            </w:r>
          </w:p>
        </w:tc>
        <w:tc>
          <w:tcPr>
            <w:tcW w:w="740" w:type="dxa"/>
            <w:tcBorders>
              <w:top w:val="single" w:color="auto" w:sz="8" w:space="0"/>
              <w:bottom w:val="single" w:color="auto" w:sz="8" w:space="0"/>
            </w:tcBorders>
            <w:noWrap w:val="0"/>
            <w:vAlign w:val="center"/>
          </w:tcPr>
          <w:p w14:paraId="04FB1396">
            <w:pPr>
              <w:adjustRightInd w:val="0"/>
              <w:snapToGrid w:val="0"/>
              <w:jc w:val="center"/>
              <w:rPr>
                <w:rFonts w:ascii="宋体" w:hAnsi="宋体"/>
                <w:sz w:val="18"/>
                <w:szCs w:val="18"/>
              </w:rPr>
            </w:pPr>
            <w:r>
              <w:rPr>
                <w:rFonts w:ascii="宋体" w:hAnsi="宋体"/>
                <w:bCs/>
                <w:sz w:val="18"/>
                <w:szCs w:val="18"/>
              </w:rPr>
              <w:t>评定要素分值</w:t>
            </w:r>
          </w:p>
        </w:tc>
        <w:tc>
          <w:tcPr>
            <w:tcW w:w="633" w:type="dxa"/>
            <w:tcBorders>
              <w:top w:val="single" w:color="auto" w:sz="8" w:space="0"/>
              <w:bottom w:val="single" w:color="auto" w:sz="8" w:space="0"/>
            </w:tcBorders>
            <w:noWrap w:val="0"/>
            <w:vAlign w:val="center"/>
          </w:tcPr>
          <w:p w14:paraId="4B70FEF7">
            <w:pPr>
              <w:adjustRightInd w:val="0"/>
              <w:snapToGrid w:val="0"/>
              <w:jc w:val="center"/>
              <w:rPr>
                <w:rFonts w:ascii="宋体" w:hAnsi="宋体"/>
                <w:sz w:val="18"/>
                <w:szCs w:val="18"/>
              </w:rPr>
            </w:pPr>
            <w:r>
              <w:rPr>
                <w:rFonts w:ascii="宋体" w:hAnsi="宋体"/>
                <w:bCs/>
                <w:sz w:val="18"/>
                <w:szCs w:val="18"/>
              </w:rPr>
              <w:t>评定细项分值</w:t>
            </w:r>
          </w:p>
        </w:tc>
        <w:tc>
          <w:tcPr>
            <w:tcW w:w="740" w:type="dxa"/>
            <w:tcBorders>
              <w:top w:val="single" w:color="auto" w:sz="8" w:space="0"/>
              <w:bottom w:val="single" w:color="auto" w:sz="8" w:space="0"/>
            </w:tcBorders>
            <w:noWrap w:val="0"/>
            <w:vAlign w:val="center"/>
          </w:tcPr>
          <w:p w14:paraId="076571F2">
            <w:pPr>
              <w:adjustRightInd w:val="0"/>
              <w:snapToGrid w:val="0"/>
              <w:jc w:val="center"/>
              <w:rPr>
                <w:rFonts w:ascii="宋体" w:hAnsi="宋体"/>
                <w:sz w:val="18"/>
                <w:szCs w:val="18"/>
              </w:rPr>
            </w:pPr>
            <w:r>
              <w:rPr>
                <w:rFonts w:ascii="宋体" w:hAnsi="宋体"/>
                <w:bCs/>
                <w:sz w:val="18"/>
                <w:szCs w:val="18"/>
              </w:rPr>
              <w:t>评定条款分值</w:t>
            </w:r>
          </w:p>
        </w:tc>
        <w:tc>
          <w:tcPr>
            <w:tcW w:w="2217" w:type="dxa"/>
            <w:tcBorders>
              <w:top w:val="single" w:color="auto" w:sz="8" w:space="0"/>
              <w:bottom w:val="single" w:color="auto" w:sz="8" w:space="0"/>
            </w:tcBorders>
            <w:noWrap w:val="0"/>
            <w:vAlign w:val="center"/>
          </w:tcPr>
          <w:p w14:paraId="31036FBF">
            <w:pPr>
              <w:adjustRightInd w:val="0"/>
              <w:snapToGrid w:val="0"/>
              <w:jc w:val="center"/>
              <w:rPr>
                <w:rFonts w:ascii="宋体" w:hAnsi="宋体"/>
                <w:sz w:val="18"/>
                <w:szCs w:val="18"/>
              </w:rPr>
            </w:pPr>
            <w:r>
              <w:rPr>
                <w:rFonts w:ascii="宋体" w:hAnsi="宋体"/>
                <w:bCs/>
                <w:sz w:val="18"/>
                <w:szCs w:val="18"/>
              </w:rPr>
              <w:t>评分标准</w:t>
            </w:r>
          </w:p>
        </w:tc>
        <w:tc>
          <w:tcPr>
            <w:tcW w:w="602" w:type="dxa"/>
            <w:tcBorders>
              <w:top w:val="single" w:color="auto" w:sz="8" w:space="0"/>
              <w:bottom w:val="single" w:color="auto" w:sz="8" w:space="0"/>
            </w:tcBorders>
            <w:noWrap w:val="0"/>
            <w:vAlign w:val="center"/>
          </w:tcPr>
          <w:p w14:paraId="6453F535">
            <w:pPr>
              <w:adjustRightInd w:val="0"/>
              <w:snapToGrid w:val="0"/>
              <w:jc w:val="center"/>
              <w:rPr>
                <w:rFonts w:ascii="宋体" w:hAnsi="宋体"/>
                <w:sz w:val="18"/>
                <w:szCs w:val="18"/>
              </w:rPr>
            </w:pPr>
            <w:r>
              <w:rPr>
                <w:rFonts w:ascii="宋体" w:hAnsi="宋体"/>
                <w:bCs/>
                <w:sz w:val="18"/>
                <w:szCs w:val="18"/>
              </w:rPr>
              <w:t>评定得分</w:t>
            </w:r>
          </w:p>
        </w:tc>
        <w:tc>
          <w:tcPr>
            <w:tcW w:w="1185" w:type="dxa"/>
            <w:tcBorders>
              <w:top w:val="single" w:color="auto" w:sz="8" w:space="0"/>
              <w:bottom w:val="single" w:color="auto" w:sz="8" w:space="0"/>
            </w:tcBorders>
            <w:noWrap w:val="0"/>
            <w:vAlign w:val="center"/>
          </w:tcPr>
          <w:p w14:paraId="166C6581">
            <w:pPr>
              <w:adjustRightInd w:val="0"/>
              <w:snapToGrid w:val="0"/>
              <w:jc w:val="center"/>
              <w:rPr>
                <w:rFonts w:ascii="宋体" w:hAnsi="宋体"/>
                <w:sz w:val="18"/>
                <w:szCs w:val="18"/>
              </w:rPr>
            </w:pPr>
            <w:r>
              <w:rPr>
                <w:rFonts w:ascii="宋体" w:hAnsi="宋体"/>
                <w:bCs/>
                <w:sz w:val="18"/>
                <w:szCs w:val="18"/>
              </w:rPr>
              <w:t>扣分说明</w:t>
            </w:r>
          </w:p>
        </w:tc>
        <w:tc>
          <w:tcPr>
            <w:tcW w:w="1425" w:type="dxa"/>
            <w:tcBorders>
              <w:top w:val="single" w:color="auto" w:sz="8" w:space="0"/>
              <w:bottom w:val="single" w:color="auto" w:sz="8" w:space="0"/>
            </w:tcBorders>
            <w:noWrap w:val="0"/>
            <w:vAlign w:val="center"/>
          </w:tcPr>
          <w:p w14:paraId="43094347">
            <w:pPr>
              <w:adjustRightInd w:val="0"/>
              <w:snapToGrid w:val="0"/>
              <w:jc w:val="center"/>
              <w:rPr>
                <w:rFonts w:ascii="宋体" w:hAnsi="宋体"/>
                <w:sz w:val="18"/>
                <w:szCs w:val="18"/>
              </w:rPr>
            </w:pPr>
            <w:r>
              <w:rPr>
                <w:rFonts w:ascii="宋体" w:hAnsi="宋体"/>
                <w:bCs/>
                <w:sz w:val="18"/>
                <w:szCs w:val="18"/>
              </w:rPr>
              <w:t>对应条款编号</w:t>
            </w:r>
          </w:p>
        </w:tc>
      </w:tr>
      <w:tr w14:paraId="5FDE3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39" w:type="dxa"/>
            <w:noWrap w:val="0"/>
            <w:vAlign w:val="center"/>
          </w:tcPr>
          <w:p w14:paraId="4A209F56">
            <w:pPr>
              <w:jc w:val="center"/>
              <w:rPr>
                <w:rFonts w:hint="default" w:ascii="宋体" w:hAnsi="宋体" w:eastAsia="宋体"/>
                <w:sz w:val="18"/>
                <w:szCs w:val="18"/>
                <w:lang w:val="en-US" w:eastAsia="zh-CN"/>
              </w:rPr>
            </w:pPr>
            <w:r>
              <w:rPr>
                <w:rFonts w:hint="eastAsia" w:ascii="宋体" w:hAnsi="宋体"/>
                <w:sz w:val="18"/>
                <w:szCs w:val="18"/>
              </w:rPr>
              <w:t>5.</w:t>
            </w:r>
            <w:r>
              <w:rPr>
                <w:rFonts w:hint="eastAsia" w:ascii="宋体" w:hAnsi="宋体"/>
                <w:sz w:val="18"/>
                <w:szCs w:val="18"/>
                <w:lang w:val="en-US" w:eastAsia="zh-CN"/>
              </w:rPr>
              <w:t>5.3</w:t>
            </w:r>
          </w:p>
        </w:tc>
        <w:tc>
          <w:tcPr>
            <w:tcW w:w="6872" w:type="dxa"/>
            <w:tcBorders>
              <w:top w:val="single" w:color="auto" w:sz="8" w:space="0"/>
              <w:bottom w:val="single" w:color="auto" w:sz="8" w:space="0"/>
            </w:tcBorders>
            <w:noWrap w:val="0"/>
            <w:vAlign w:val="top"/>
          </w:tcPr>
          <w:p w14:paraId="0AE6E231">
            <w:pPr>
              <w:adjustRightInd w:val="0"/>
              <w:snapToGrid w:val="0"/>
              <w:jc w:val="left"/>
              <w:rPr>
                <w:rFonts w:hint="eastAsia" w:ascii="宋体" w:hAnsi="宋体"/>
                <w:sz w:val="18"/>
                <w:szCs w:val="18"/>
              </w:rPr>
            </w:pPr>
            <w:r>
              <w:rPr>
                <w:rFonts w:hint="eastAsia" w:ascii="宋体" w:hAnsi="宋体"/>
                <w:sz w:val="18"/>
                <w:szCs w:val="18"/>
              </w:rPr>
              <w:t>电焊机应符合下列要求：</w:t>
            </w:r>
          </w:p>
          <w:p w14:paraId="5006038C">
            <w:pPr>
              <w:adjustRightInd w:val="0"/>
              <w:snapToGrid w:val="0"/>
              <w:jc w:val="left"/>
              <w:rPr>
                <w:rFonts w:hint="eastAsia" w:ascii="宋体" w:hAnsi="宋体"/>
                <w:sz w:val="18"/>
                <w:szCs w:val="18"/>
              </w:rPr>
            </w:pPr>
            <w:r>
              <w:rPr>
                <w:rFonts w:hint="eastAsia" w:ascii="宋体" w:hAnsi="宋体"/>
                <w:sz w:val="18"/>
                <w:szCs w:val="18"/>
              </w:rPr>
              <w:t>a）弧焊设备外露的带电部分应设置完好的保护；</w:t>
            </w:r>
          </w:p>
          <w:p w14:paraId="48E1A070">
            <w:pPr>
              <w:adjustRightInd w:val="0"/>
              <w:snapToGrid w:val="0"/>
              <w:jc w:val="left"/>
              <w:rPr>
                <w:rFonts w:hint="eastAsia" w:ascii="宋体" w:hAnsi="宋体"/>
                <w:sz w:val="18"/>
                <w:szCs w:val="18"/>
              </w:rPr>
            </w:pPr>
            <w:r>
              <w:rPr>
                <w:rFonts w:hint="eastAsia" w:ascii="宋体" w:hAnsi="宋体"/>
                <w:sz w:val="18"/>
                <w:szCs w:val="18"/>
              </w:rPr>
              <w:t>b）焊机以正确的方法接地（或接零），接地（或接零）装置应连接良好，禁止使用氧气、乙炔等易燃易爆气体管道作为接地装置；</w:t>
            </w:r>
          </w:p>
          <w:p w14:paraId="6FD9F7A4">
            <w:pPr>
              <w:adjustRightInd w:val="0"/>
              <w:snapToGrid w:val="0"/>
              <w:ind w:right="0" w:rightChars="0"/>
              <w:jc w:val="left"/>
              <w:rPr>
                <w:rFonts w:hint="eastAsia" w:ascii="宋体" w:hAnsi="宋体"/>
                <w:sz w:val="18"/>
                <w:szCs w:val="18"/>
              </w:rPr>
            </w:pPr>
            <w:r>
              <w:rPr>
                <w:rFonts w:hint="eastAsia" w:ascii="宋体" w:hAnsi="宋体"/>
                <w:sz w:val="18"/>
                <w:szCs w:val="18"/>
              </w:rPr>
              <w:t>c）构成焊接回路的电缆外皮应完整、绝缘良好（绝缘电阻大于 1 MΩ)；</w:t>
            </w:r>
          </w:p>
          <w:p w14:paraId="1EB9F0B2">
            <w:pPr>
              <w:adjustRightInd w:val="0"/>
              <w:snapToGrid w:val="0"/>
              <w:jc w:val="left"/>
              <w:rPr>
                <w:rFonts w:hint="eastAsia" w:ascii="宋体" w:hAnsi="宋体"/>
                <w:sz w:val="18"/>
                <w:szCs w:val="18"/>
              </w:rPr>
            </w:pPr>
            <w:r>
              <w:rPr>
                <w:rFonts w:hint="eastAsia" w:ascii="宋体" w:hAnsi="宋体"/>
                <w:sz w:val="18"/>
                <w:szCs w:val="18"/>
              </w:rPr>
              <w:t>d）设备安放在通风、干燥、无剧烈振动、无高温、无易燃品存在的地方；</w:t>
            </w:r>
          </w:p>
          <w:p w14:paraId="7B9DD2F3">
            <w:pPr>
              <w:adjustRightInd w:val="0"/>
              <w:snapToGrid w:val="0"/>
              <w:jc w:val="left"/>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）焊机的电缆应使用整根导线，尽量不带连接接头。需要接长导线时，接头处要连接牢固、绝缘良好</w:t>
            </w:r>
            <w:r>
              <w:rPr>
                <w:rFonts w:hint="eastAsia" w:ascii="宋体" w:hAnsi="宋体"/>
                <w:sz w:val="18"/>
                <w:szCs w:val="18"/>
                <w:lang w:eastAsia="zh-CN"/>
              </w:rPr>
              <w:t>；</w:t>
            </w:r>
          </w:p>
        </w:tc>
        <w:tc>
          <w:tcPr>
            <w:tcW w:w="740" w:type="dxa"/>
            <w:tcBorders>
              <w:top w:val="single" w:color="auto" w:sz="8" w:space="0"/>
              <w:bottom w:val="single" w:color="auto" w:sz="8" w:space="0"/>
            </w:tcBorders>
            <w:noWrap w:val="0"/>
            <w:vAlign w:val="center"/>
          </w:tcPr>
          <w:p w14:paraId="6C05C54F">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633" w:type="dxa"/>
            <w:tcBorders>
              <w:top w:val="single" w:color="auto" w:sz="8" w:space="0"/>
              <w:bottom w:val="single" w:color="auto" w:sz="8" w:space="0"/>
            </w:tcBorders>
            <w:noWrap w:val="0"/>
            <w:vAlign w:val="center"/>
          </w:tcPr>
          <w:p w14:paraId="47CD4B6C">
            <w:pPr>
              <w:ind w:left="-249" w:leftChars="-119"/>
              <w:jc w:val="center"/>
              <w:rPr>
                <w:rFonts w:ascii="宋体" w:hAnsi="宋体" w:cs="宋体"/>
                <w:sz w:val="18"/>
                <w:szCs w:val="18"/>
              </w:rPr>
            </w:pPr>
          </w:p>
        </w:tc>
        <w:tc>
          <w:tcPr>
            <w:tcW w:w="740" w:type="dxa"/>
            <w:tcBorders>
              <w:top w:val="single" w:color="auto" w:sz="8" w:space="0"/>
              <w:bottom w:val="single" w:color="auto" w:sz="8" w:space="0"/>
            </w:tcBorders>
            <w:noWrap w:val="0"/>
            <w:vAlign w:val="center"/>
          </w:tcPr>
          <w:p w14:paraId="65042603">
            <w:pPr>
              <w:ind w:firstLine="180" w:firstLineChars="100"/>
              <w:rPr>
                <w:rFonts w:hint="eastAsia" w:ascii="宋体" w:hAnsi="宋体" w:cs="宋体"/>
                <w:sz w:val="18"/>
                <w:szCs w:val="18"/>
              </w:rPr>
            </w:pPr>
            <w:r>
              <w:rPr>
                <w:rFonts w:hint="eastAsia" w:ascii="宋体" w:hAnsi="宋体" w:cs="宋体"/>
                <w:sz w:val="18"/>
                <w:szCs w:val="18"/>
              </w:rPr>
              <w:t>5</w:t>
            </w:r>
          </w:p>
        </w:tc>
        <w:tc>
          <w:tcPr>
            <w:tcW w:w="2217" w:type="dxa"/>
            <w:tcBorders>
              <w:top w:val="single" w:color="auto" w:sz="8" w:space="0"/>
              <w:bottom w:val="single" w:color="auto" w:sz="8" w:space="0"/>
            </w:tcBorders>
            <w:noWrap w:val="0"/>
            <w:vAlign w:val="center"/>
          </w:tcPr>
          <w:p w14:paraId="4A13FCB2">
            <w:pPr>
              <w:jc w:val="left"/>
              <w:rPr>
                <w:rFonts w:ascii="宋体" w:hAnsi="宋体" w:cs="宋体"/>
                <w:sz w:val="18"/>
                <w:szCs w:val="18"/>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602" w:type="dxa"/>
            <w:tcBorders>
              <w:top w:val="single" w:color="auto" w:sz="8" w:space="0"/>
              <w:bottom w:val="single" w:color="auto" w:sz="8" w:space="0"/>
            </w:tcBorders>
            <w:noWrap w:val="0"/>
            <w:vAlign w:val="top"/>
          </w:tcPr>
          <w:p w14:paraId="613D62E0">
            <w:pPr>
              <w:jc w:val="center"/>
              <w:rPr>
                <w:rFonts w:ascii="宋体" w:hAnsi="宋体" w:cs="宋体"/>
                <w:sz w:val="18"/>
                <w:szCs w:val="18"/>
              </w:rPr>
            </w:pPr>
          </w:p>
        </w:tc>
        <w:tc>
          <w:tcPr>
            <w:tcW w:w="1185" w:type="dxa"/>
            <w:tcBorders>
              <w:top w:val="single" w:color="auto" w:sz="8" w:space="0"/>
              <w:bottom w:val="single" w:color="auto" w:sz="8" w:space="0"/>
            </w:tcBorders>
            <w:noWrap w:val="0"/>
            <w:vAlign w:val="top"/>
          </w:tcPr>
          <w:p w14:paraId="2E366F60">
            <w:pPr>
              <w:jc w:val="left"/>
              <w:rPr>
                <w:rFonts w:ascii="宋体" w:hAnsi="宋体" w:cs="宋体"/>
                <w:sz w:val="18"/>
                <w:szCs w:val="18"/>
              </w:rPr>
            </w:pPr>
          </w:p>
        </w:tc>
        <w:tc>
          <w:tcPr>
            <w:tcW w:w="1425" w:type="dxa"/>
            <w:tcBorders>
              <w:top w:val="single" w:color="auto" w:sz="8" w:space="0"/>
              <w:bottom w:val="single" w:color="auto" w:sz="8" w:space="0"/>
            </w:tcBorders>
            <w:noWrap w:val="0"/>
            <w:vAlign w:val="center"/>
          </w:tcPr>
          <w:p w14:paraId="2FC6A666">
            <w:pPr>
              <w:widowControl/>
              <w:tabs>
                <w:tab w:val="center" w:pos="4201"/>
                <w:tab w:val="right" w:leader="dot" w:pos="9298"/>
              </w:tabs>
              <w:autoSpaceDE w:val="0"/>
              <w:autoSpaceDN w:val="0"/>
              <w:ind w:right="34"/>
              <w:jc w:val="center"/>
              <w:rPr>
                <w:rFonts w:hint="default" w:ascii="宋体" w:hAnsi="宋体" w:eastAsia="宋体"/>
                <w:kern w:val="0"/>
                <w:sz w:val="18"/>
                <w:szCs w:val="18"/>
                <w:lang w:val="en-US" w:eastAsia="zh-CN"/>
              </w:rPr>
            </w:pPr>
            <w:r>
              <w:rPr>
                <w:rFonts w:hint="eastAsia" w:ascii="宋体" w:hAnsi="宋体"/>
                <w:kern w:val="0"/>
                <w:sz w:val="18"/>
                <w:szCs w:val="18"/>
                <w:lang w:eastAsia="zh-CN"/>
              </w:rPr>
              <w:t>4.5</w:t>
            </w:r>
            <w:r>
              <w:rPr>
                <w:rFonts w:ascii="宋体" w:hAnsi="宋体"/>
                <w:kern w:val="0"/>
                <w:sz w:val="18"/>
                <w:szCs w:val="18"/>
              </w:rPr>
              <w:t>.</w:t>
            </w:r>
            <w:r>
              <w:rPr>
                <w:rFonts w:hint="eastAsia" w:ascii="宋体" w:hAnsi="宋体"/>
                <w:kern w:val="0"/>
                <w:sz w:val="18"/>
                <w:szCs w:val="18"/>
                <w:lang w:val="en-US" w:eastAsia="zh-CN"/>
              </w:rPr>
              <w:t>5.3</w:t>
            </w:r>
          </w:p>
        </w:tc>
      </w:tr>
      <w:tr w14:paraId="2435F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39" w:type="dxa"/>
            <w:noWrap w:val="0"/>
            <w:vAlign w:val="center"/>
          </w:tcPr>
          <w:p w14:paraId="59675821">
            <w:pPr>
              <w:jc w:val="center"/>
              <w:rPr>
                <w:rFonts w:hint="eastAsia" w:ascii="宋体" w:hAnsi="宋体" w:eastAsia="宋体" w:cs="Times New Roman"/>
                <w:kern w:val="2"/>
                <w:sz w:val="18"/>
                <w:szCs w:val="18"/>
                <w:lang w:val="en-US" w:eastAsia="zh-CN" w:bidi="ar-SA"/>
              </w:rPr>
            </w:pPr>
            <w:r>
              <w:rPr>
                <w:rFonts w:hint="eastAsia" w:ascii="宋体" w:hAnsi="宋体"/>
                <w:sz w:val="18"/>
                <w:szCs w:val="18"/>
              </w:rPr>
              <w:t>5.</w:t>
            </w:r>
            <w:r>
              <w:rPr>
                <w:rFonts w:hint="eastAsia" w:ascii="宋体" w:hAnsi="宋体"/>
                <w:sz w:val="18"/>
                <w:szCs w:val="18"/>
                <w:lang w:val="en-US" w:eastAsia="zh-CN"/>
              </w:rPr>
              <w:t>5.4</w:t>
            </w:r>
          </w:p>
        </w:tc>
        <w:tc>
          <w:tcPr>
            <w:tcW w:w="6872" w:type="dxa"/>
            <w:tcBorders>
              <w:top w:val="single" w:color="auto" w:sz="8" w:space="0"/>
              <w:bottom w:val="single" w:color="auto" w:sz="8" w:space="0"/>
            </w:tcBorders>
            <w:noWrap w:val="0"/>
            <w:vAlign w:val="top"/>
          </w:tcPr>
          <w:p w14:paraId="5BF9ED1A">
            <w:pPr>
              <w:adjustRightInd w:val="0"/>
              <w:snapToGrid w:val="0"/>
              <w:jc w:val="left"/>
              <w:rPr>
                <w:rFonts w:ascii="宋体" w:hAnsi="宋体"/>
                <w:sz w:val="18"/>
                <w:szCs w:val="18"/>
              </w:rPr>
            </w:pPr>
            <w:r>
              <w:rPr>
                <w:rFonts w:hint="eastAsia" w:ascii="宋体" w:hAnsi="宋体"/>
                <w:sz w:val="18"/>
                <w:szCs w:val="18"/>
              </w:rPr>
              <w:t>手持电动工具应符合下列要求：</w:t>
            </w:r>
          </w:p>
          <w:p w14:paraId="6969D9EA">
            <w:pPr>
              <w:adjustRightInd w:val="0"/>
              <w:snapToGrid w:val="0"/>
              <w:jc w:val="left"/>
              <w:rPr>
                <w:rFonts w:hint="eastAsia" w:ascii="宋体" w:hAnsi="宋体"/>
                <w:sz w:val="18"/>
                <w:szCs w:val="18"/>
              </w:rPr>
            </w:pPr>
            <w:r>
              <w:rPr>
                <w:rFonts w:hint="eastAsia" w:ascii="宋体" w:hAnsi="宋体"/>
                <w:sz w:val="18"/>
                <w:szCs w:val="18"/>
              </w:rPr>
              <w:t>a）工具的危险运动零、部件的防护装置(如防护罩、盖等)不应任意拆卸；</w:t>
            </w:r>
          </w:p>
          <w:p w14:paraId="7209A97E">
            <w:pPr>
              <w:adjustRightInd w:val="0"/>
              <w:snapToGrid w:val="0"/>
              <w:jc w:val="left"/>
              <w:rPr>
                <w:rFonts w:hint="eastAsia" w:ascii="宋体" w:hAnsi="宋体"/>
                <w:sz w:val="18"/>
                <w:szCs w:val="18"/>
              </w:rPr>
            </w:pPr>
            <w:r>
              <w:rPr>
                <w:rFonts w:hint="eastAsia" w:ascii="宋体" w:hAnsi="宋体"/>
                <w:sz w:val="18"/>
                <w:szCs w:val="18"/>
              </w:rPr>
              <w:t>b）电源线上的插头不应任意拆除或调换，且接线正确；</w:t>
            </w:r>
          </w:p>
          <w:p w14:paraId="40D876D0">
            <w:pPr>
              <w:adjustRightInd w:val="0"/>
              <w:snapToGrid w:val="0"/>
              <w:jc w:val="left"/>
              <w:rPr>
                <w:rFonts w:hint="eastAsia" w:ascii="宋体" w:hAnsi="宋体"/>
                <w:sz w:val="18"/>
                <w:szCs w:val="18"/>
              </w:rPr>
            </w:pPr>
            <w:r>
              <w:rPr>
                <w:rFonts w:hint="eastAsia" w:ascii="宋体" w:hAnsi="宋体"/>
                <w:sz w:val="18"/>
                <w:szCs w:val="18"/>
              </w:rPr>
              <w:t>c）Ⅰ类工具电源线中的绿/黄双色线在任何情况下只能用作保护接地线(PE)；</w:t>
            </w:r>
          </w:p>
          <w:p w14:paraId="322602CA">
            <w:pPr>
              <w:adjustRightInd w:val="0"/>
              <w:snapToGrid w:val="0"/>
              <w:jc w:val="left"/>
              <w:rPr>
                <w:rFonts w:hint="eastAsia" w:ascii="宋体" w:hAnsi="宋体"/>
                <w:sz w:val="18"/>
                <w:szCs w:val="18"/>
              </w:rPr>
            </w:pPr>
            <w:r>
              <w:rPr>
                <w:rFonts w:hint="eastAsia" w:ascii="宋体" w:hAnsi="宋体"/>
                <w:sz w:val="18"/>
                <w:szCs w:val="18"/>
              </w:rPr>
              <w:t>d）工具的电源线不得任意接长或拆换，当电源离工具操作点距离较远而电源线长度不够时，应采用耦合器进行联接；</w:t>
            </w:r>
          </w:p>
          <w:p w14:paraId="4BA66114">
            <w:pPr>
              <w:adjustRightInd w:val="0"/>
              <w:snapToGrid w:val="0"/>
              <w:jc w:val="left"/>
              <w:rPr>
                <w:rFonts w:hint="eastAsia" w:ascii="宋体" w:hAnsi="宋体"/>
                <w:sz w:val="18"/>
                <w:szCs w:val="18"/>
              </w:rPr>
            </w:pPr>
            <w:r>
              <w:rPr>
                <w:rFonts w:hint="eastAsia" w:ascii="宋体" w:hAnsi="宋体"/>
                <w:sz w:val="18"/>
                <w:szCs w:val="18"/>
              </w:rPr>
              <w:t>e）手持电动工具至少每年应进行1次绝缘电阻的测量，并在检测合格工具的明显位置粘贴合格标识；电动工具使用500 V兆欧表测量，电阻值应不小于表F.</w:t>
            </w:r>
            <w:r>
              <w:rPr>
                <w:rFonts w:hint="eastAsia" w:ascii="宋体" w:hAnsi="宋体"/>
                <w:sz w:val="18"/>
                <w:szCs w:val="18"/>
                <w:lang w:val="en-US" w:eastAsia="zh-CN"/>
              </w:rPr>
              <w:t>2</w:t>
            </w:r>
            <w:r>
              <w:rPr>
                <w:rFonts w:hint="eastAsia" w:ascii="宋体" w:hAnsi="宋体"/>
                <w:sz w:val="18"/>
                <w:szCs w:val="18"/>
              </w:rPr>
              <w:t>规定的数值；</w:t>
            </w:r>
          </w:p>
          <w:p w14:paraId="668A5F6D">
            <w:pPr>
              <w:adjustRightInd w:val="0"/>
              <w:snapToGrid w:val="0"/>
              <w:jc w:val="left"/>
              <w:rPr>
                <w:rFonts w:hint="eastAsia" w:ascii="宋体" w:hAnsi="宋体"/>
                <w:sz w:val="18"/>
                <w:szCs w:val="18"/>
              </w:rPr>
            </w:pPr>
            <w:r>
              <w:rPr>
                <w:rFonts w:hint="eastAsia" w:ascii="宋体" w:hAnsi="宋体"/>
                <w:sz w:val="18"/>
                <w:szCs w:val="18"/>
              </w:rPr>
              <w:t>f）长期搁置不用的工具，在使用前应测量绝缘电阻；</w:t>
            </w:r>
          </w:p>
          <w:p w14:paraId="33BF0D58">
            <w:pPr>
              <w:adjustRightInd w:val="0"/>
              <w:snapToGrid w:val="0"/>
              <w:jc w:val="left"/>
              <w:rPr>
                <w:rFonts w:hint="eastAsia" w:ascii="宋体" w:hAnsi="宋体"/>
                <w:sz w:val="18"/>
                <w:szCs w:val="18"/>
              </w:rPr>
            </w:pPr>
            <w:r>
              <w:rPr>
                <w:rFonts w:hint="eastAsia" w:ascii="宋体" w:hAnsi="宋体"/>
                <w:sz w:val="18"/>
                <w:szCs w:val="18"/>
              </w:rPr>
              <w:t>g）在一般作业场所应选用Ⅱ类工具，在一般场所使用Ⅰ类工具时，还应在电气线路中采用剩余电流动作保护器、隔离变压器等保护措施；</w:t>
            </w:r>
          </w:p>
          <w:p w14:paraId="1CE02D97">
            <w:pPr>
              <w:adjustRightInd w:val="0"/>
              <w:snapToGrid w:val="0"/>
              <w:jc w:val="left"/>
              <w:rPr>
                <w:rFonts w:hint="eastAsia" w:ascii="宋体" w:hAnsi="宋体"/>
                <w:sz w:val="18"/>
                <w:szCs w:val="18"/>
              </w:rPr>
            </w:pPr>
            <w:r>
              <w:rPr>
                <w:rFonts w:hint="eastAsia" w:ascii="宋体" w:hAnsi="宋体"/>
                <w:sz w:val="18"/>
                <w:szCs w:val="18"/>
              </w:rPr>
              <w:t>h）在潮湿的场所或金属构架上等导电性能良好的作业场所，应使用Ⅱ类或Ⅲ类工具；</w:t>
            </w:r>
          </w:p>
          <w:p w14:paraId="76950504">
            <w:pPr>
              <w:adjustRightInd w:val="0"/>
              <w:snapToGrid w:val="0"/>
              <w:jc w:val="left"/>
              <w:rPr>
                <w:rFonts w:hint="eastAsia" w:ascii="宋体" w:hAnsi="宋体"/>
                <w:sz w:val="18"/>
                <w:szCs w:val="18"/>
              </w:rPr>
            </w:pPr>
            <w:r>
              <w:rPr>
                <w:rFonts w:hint="eastAsia" w:ascii="宋体" w:hAnsi="宋体"/>
                <w:sz w:val="18"/>
                <w:szCs w:val="18"/>
              </w:rPr>
              <w:t>i）在锅炉、金属容器、管道内等作业场所，应使用Ⅲ类工具或在电气线路中装设额定剩余工作电流不大于30 mA的剩余电流动作保护器的Ⅱ类工具；</w:t>
            </w:r>
          </w:p>
          <w:p w14:paraId="15F2EDCA">
            <w:pPr>
              <w:adjustRightInd w:val="0"/>
              <w:snapToGrid w:val="0"/>
              <w:jc w:val="left"/>
              <w:rPr>
                <w:rFonts w:hint="eastAsia" w:ascii="宋体" w:hAnsi="宋体"/>
                <w:sz w:val="18"/>
                <w:szCs w:val="18"/>
                <w:lang w:val="en-US" w:eastAsia="zh-CN"/>
              </w:rPr>
            </w:pPr>
            <w:r>
              <w:rPr>
                <w:rFonts w:hint="eastAsia" w:ascii="宋体" w:hAnsi="宋体"/>
                <w:sz w:val="18"/>
                <w:szCs w:val="18"/>
              </w:rPr>
              <w:t>j）应建立电动工具台账，登记种类、数量、</w:t>
            </w:r>
            <w:r>
              <w:rPr>
                <w:rFonts w:hint="eastAsia" w:ascii="宋体" w:hAnsi="宋体"/>
                <w:sz w:val="18"/>
                <w:szCs w:val="18"/>
                <w:lang w:val="en-US" w:eastAsia="zh-CN"/>
              </w:rPr>
              <w:t>责任</w:t>
            </w:r>
            <w:r>
              <w:rPr>
                <w:rFonts w:hint="eastAsia" w:ascii="宋体" w:hAnsi="宋体"/>
                <w:sz w:val="18"/>
                <w:szCs w:val="18"/>
              </w:rPr>
              <w:t>人、绝缘电阻检测情况等。</w:t>
            </w:r>
          </w:p>
        </w:tc>
        <w:tc>
          <w:tcPr>
            <w:tcW w:w="740" w:type="dxa"/>
            <w:tcBorders>
              <w:top w:val="single" w:color="auto" w:sz="8" w:space="0"/>
              <w:bottom w:val="single" w:color="auto" w:sz="8" w:space="0"/>
            </w:tcBorders>
            <w:noWrap w:val="0"/>
            <w:vAlign w:val="center"/>
          </w:tcPr>
          <w:p w14:paraId="411F3E73">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633" w:type="dxa"/>
            <w:tcBorders>
              <w:top w:val="single" w:color="auto" w:sz="8" w:space="0"/>
              <w:bottom w:val="single" w:color="auto" w:sz="8" w:space="0"/>
            </w:tcBorders>
            <w:noWrap w:val="0"/>
            <w:vAlign w:val="center"/>
          </w:tcPr>
          <w:p w14:paraId="40D95A58">
            <w:pPr>
              <w:jc w:val="center"/>
              <w:rPr>
                <w:rFonts w:ascii="宋体" w:hAnsi="宋体" w:eastAsia="宋体" w:cs="宋体"/>
                <w:kern w:val="2"/>
                <w:sz w:val="18"/>
                <w:szCs w:val="18"/>
                <w:lang w:val="en-US" w:eastAsia="zh-CN" w:bidi="ar-SA"/>
              </w:rPr>
            </w:pPr>
          </w:p>
        </w:tc>
        <w:tc>
          <w:tcPr>
            <w:tcW w:w="740" w:type="dxa"/>
            <w:tcBorders>
              <w:top w:val="single" w:color="auto" w:sz="8" w:space="0"/>
              <w:bottom w:val="single" w:color="auto" w:sz="8" w:space="0"/>
            </w:tcBorders>
            <w:noWrap w:val="0"/>
            <w:vAlign w:val="center"/>
          </w:tcPr>
          <w:p w14:paraId="1A7F7A5D">
            <w:pPr>
              <w:ind w:firstLine="180" w:firstLineChars="100"/>
              <w:jc w:val="center"/>
              <w:rPr>
                <w:rFonts w:hint="eastAsia" w:ascii="宋体" w:hAnsi="宋体" w:eastAsia="宋体" w:cs="宋体"/>
                <w:kern w:val="2"/>
                <w:sz w:val="18"/>
                <w:szCs w:val="18"/>
                <w:lang w:val="en-US" w:eastAsia="zh-CN" w:bidi="ar-SA"/>
              </w:rPr>
            </w:pPr>
            <w:r>
              <w:rPr>
                <w:rFonts w:hint="eastAsia" w:ascii="宋体" w:hAnsi="宋体" w:cs="宋体"/>
                <w:sz w:val="18"/>
                <w:szCs w:val="18"/>
              </w:rPr>
              <w:t>5</w:t>
            </w:r>
          </w:p>
        </w:tc>
        <w:tc>
          <w:tcPr>
            <w:tcW w:w="2217" w:type="dxa"/>
            <w:tcBorders>
              <w:top w:val="single" w:color="auto" w:sz="8" w:space="0"/>
              <w:bottom w:val="single" w:color="auto" w:sz="8" w:space="0"/>
            </w:tcBorders>
            <w:noWrap w:val="0"/>
            <w:vAlign w:val="center"/>
          </w:tcPr>
          <w:p w14:paraId="5F219BE7">
            <w:pPr>
              <w:jc w:val="left"/>
              <w:rPr>
                <w:rFonts w:ascii="宋体" w:hAnsi="宋体" w:eastAsia="宋体" w:cs="宋体"/>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不符合扣</w:t>
            </w:r>
            <w:r>
              <w:rPr>
                <w:rFonts w:hint="eastAsia" w:ascii="宋体" w:hAnsi="宋体"/>
                <w:bCs/>
                <w:sz w:val="18"/>
                <w:szCs w:val="18"/>
              </w:rPr>
              <w:t>2分。</w:t>
            </w:r>
          </w:p>
        </w:tc>
        <w:tc>
          <w:tcPr>
            <w:tcW w:w="602" w:type="dxa"/>
            <w:tcBorders>
              <w:top w:val="single" w:color="auto" w:sz="8" w:space="0"/>
              <w:bottom w:val="single" w:color="auto" w:sz="8" w:space="0"/>
            </w:tcBorders>
            <w:noWrap w:val="0"/>
            <w:vAlign w:val="center"/>
          </w:tcPr>
          <w:p w14:paraId="52DC5B59">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1185" w:type="dxa"/>
            <w:tcBorders>
              <w:top w:val="single" w:color="auto" w:sz="8" w:space="0"/>
              <w:bottom w:val="single" w:color="auto" w:sz="8" w:space="0"/>
            </w:tcBorders>
            <w:noWrap w:val="0"/>
            <w:vAlign w:val="center"/>
          </w:tcPr>
          <w:p w14:paraId="34280DD7">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1425" w:type="dxa"/>
            <w:tcBorders>
              <w:top w:val="single" w:color="auto" w:sz="8" w:space="0"/>
              <w:bottom w:val="single" w:color="auto" w:sz="8" w:space="0"/>
            </w:tcBorders>
            <w:noWrap w:val="0"/>
            <w:vAlign w:val="center"/>
          </w:tcPr>
          <w:p w14:paraId="6DA54885">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r>
              <w:rPr>
                <w:rFonts w:hint="eastAsia" w:ascii="宋体" w:hAnsi="宋体"/>
                <w:bCs/>
                <w:sz w:val="18"/>
                <w:szCs w:val="18"/>
                <w:lang w:eastAsia="zh-CN"/>
              </w:rPr>
              <w:t>4.5</w:t>
            </w:r>
            <w:r>
              <w:rPr>
                <w:rFonts w:ascii="宋体" w:hAnsi="宋体"/>
                <w:bCs/>
                <w:sz w:val="18"/>
                <w:szCs w:val="18"/>
              </w:rPr>
              <w:t>.</w:t>
            </w:r>
            <w:r>
              <w:rPr>
                <w:rFonts w:hint="eastAsia" w:ascii="宋体" w:hAnsi="宋体"/>
                <w:bCs/>
                <w:sz w:val="18"/>
                <w:szCs w:val="18"/>
                <w:lang w:val="en-US" w:eastAsia="zh-CN"/>
              </w:rPr>
              <w:t>5</w:t>
            </w:r>
            <w:r>
              <w:rPr>
                <w:rFonts w:ascii="宋体" w:hAnsi="宋体"/>
                <w:bCs/>
                <w:sz w:val="18"/>
                <w:szCs w:val="18"/>
              </w:rPr>
              <w:t>.4</w:t>
            </w:r>
          </w:p>
        </w:tc>
      </w:tr>
    </w:tbl>
    <w:p w14:paraId="61B9EF65">
      <w:pPr>
        <w:pStyle w:val="168"/>
        <w:widowControl/>
        <w:numPr>
          <w:ilvl w:val="0"/>
          <w:numId w:val="0"/>
        </w:numPr>
        <w:spacing w:before="156" w:after="156"/>
        <w:ind w:left="567" w:hanging="567"/>
      </w:pPr>
      <w:r>
        <w:br w:type="page"/>
      </w: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4"/>
        <w:gridCol w:w="6270"/>
        <w:gridCol w:w="700"/>
        <w:gridCol w:w="734"/>
        <w:gridCol w:w="733"/>
        <w:gridCol w:w="2683"/>
        <w:gridCol w:w="734"/>
        <w:gridCol w:w="1100"/>
        <w:gridCol w:w="1445"/>
      </w:tblGrid>
      <w:tr w14:paraId="2A188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6F944B0A">
            <w:pPr>
              <w:adjustRightInd w:val="0"/>
              <w:snapToGrid w:val="0"/>
              <w:jc w:val="center"/>
              <w:rPr>
                <w:rFonts w:ascii="宋体" w:hAnsi="宋体"/>
                <w:bCs/>
                <w:sz w:val="18"/>
                <w:szCs w:val="18"/>
              </w:rPr>
            </w:pPr>
            <w:r>
              <w:rPr>
                <w:rFonts w:ascii="宋体" w:hAnsi="宋体"/>
                <w:bCs/>
                <w:sz w:val="18"/>
                <w:szCs w:val="18"/>
              </w:rPr>
              <w:t>序号</w:t>
            </w:r>
          </w:p>
        </w:tc>
        <w:tc>
          <w:tcPr>
            <w:tcW w:w="6270" w:type="dxa"/>
            <w:noWrap w:val="0"/>
            <w:vAlign w:val="center"/>
          </w:tcPr>
          <w:p w14:paraId="5366576B">
            <w:pPr>
              <w:adjustRightInd w:val="0"/>
              <w:snapToGrid w:val="0"/>
              <w:jc w:val="center"/>
              <w:rPr>
                <w:rFonts w:ascii="宋体" w:hAnsi="宋体"/>
                <w:bCs/>
                <w:sz w:val="18"/>
                <w:szCs w:val="18"/>
              </w:rPr>
            </w:pPr>
            <w:r>
              <w:rPr>
                <w:rFonts w:ascii="宋体" w:hAnsi="宋体"/>
                <w:bCs/>
                <w:sz w:val="18"/>
                <w:szCs w:val="18"/>
              </w:rPr>
              <w:t>评定内容</w:t>
            </w:r>
          </w:p>
        </w:tc>
        <w:tc>
          <w:tcPr>
            <w:tcW w:w="700" w:type="dxa"/>
            <w:noWrap w:val="0"/>
            <w:vAlign w:val="center"/>
          </w:tcPr>
          <w:p w14:paraId="1BB0F295">
            <w:pPr>
              <w:adjustRightInd w:val="0"/>
              <w:snapToGrid w:val="0"/>
              <w:jc w:val="center"/>
              <w:rPr>
                <w:rFonts w:ascii="宋体" w:hAnsi="宋体"/>
                <w:bCs/>
                <w:sz w:val="18"/>
                <w:szCs w:val="18"/>
              </w:rPr>
            </w:pPr>
            <w:r>
              <w:rPr>
                <w:rFonts w:hint="eastAsia" w:ascii="宋体" w:hAnsi="宋体"/>
                <w:bCs/>
                <w:sz w:val="18"/>
                <w:szCs w:val="18"/>
              </w:rPr>
              <w:t>评定要素分值</w:t>
            </w:r>
          </w:p>
        </w:tc>
        <w:tc>
          <w:tcPr>
            <w:tcW w:w="734" w:type="dxa"/>
            <w:noWrap w:val="0"/>
            <w:vAlign w:val="center"/>
          </w:tcPr>
          <w:p w14:paraId="30DA7AE4">
            <w:pPr>
              <w:adjustRightInd w:val="0"/>
              <w:snapToGrid w:val="0"/>
              <w:jc w:val="center"/>
              <w:rPr>
                <w:rFonts w:ascii="宋体" w:hAnsi="宋体"/>
                <w:bCs/>
                <w:sz w:val="18"/>
                <w:szCs w:val="18"/>
              </w:rPr>
            </w:pPr>
            <w:r>
              <w:rPr>
                <w:rFonts w:hint="eastAsia" w:ascii="宋体" w:hAnsi="宋体"/>
                <w:bCs/>
                <w:sz w:val="18"/>
                <w:szCs w:val="18"/>
              </w:rPr>
              <w:t>评定细项分值</w:t>
            </w:r>
          </w:p>
        </w:tc>
        <w:tc>
          <w:tcPr>
            <w:tcW w:w="733" w:type="dxa"/>
            <w:noWrap w:val="0"/>
            <w:vAlign w:val="center"/>
          </w:tcPr>
          <w:p w14:paraId="43FB1312">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683" w:type="dxa"/>
            <w:noWrap w:val="0"/>
            <w:vAlign w:val="center"/>
          </w:tcPr>
          <w:p w14:paraId="372BBB2C">
            <w:pPr>
              <w:adjustRightInd w:val="0"/>
              <w:snapToGrid w:val="0"/>
              <w:jc w:val="center"/>
              <w:rPr>
                <w:rFonts w:ascii="宋体" w:hAnsi="宋体"/>
                <w:bCs/>
                <w:sz w:val="18"/>
                <w:szCs w:val="18"/>
              </w:rPr>
            </w:pPr>
            <w:r>
              <w:rPr>
                <w:rFonts w:ascii="宋体" w:hAnsi="宋体"/>
                <w:bCs/>
                <w:sz w:val="18"/>
                <w:szCs w:val="18"/>
              </w:rPr>
              <w:t>评分标准</w:t>
            </w:r>
          </w:p>
        </w:tc>
        <w:tc>
          <w:tcPr>
            <w:tcW w:w="734" w:type="dxa"/>
            <w:noWrap w:val="0"/>
            <w:vAlign w:val="center"/>
          </w:tcPr>
          <w:p w14:paraId="56C1E39D">
            <w:pPr>
              <w:adjustRightInd w:val="0"/>
              <w:snapToGrid w:val="0"/>
              <w:jc w:val="center"/>
              <w:rPr>
                <w:rFonts w:ascii="宋体" w:hAnsi="宋体"/>
                <w:bCs/>
                <w:sz w:val="18"/>
                <w:szCs w:val="18"/>
              </w:rPr>
            </w:pPr>
            <w:r>
              <w:rPr>
                <w:rFonts w:hint="eastAsia" w:ascii="宋体" w:hAnsi="宋体"/>
                <w:bCs/>
                <w:sz w:val="18"/>
                <w:szCs w:val="18"/>
              </w:rPr>
              <w:t>评定得分</w:t>
            </w:r>
          </w:p>
        </w:tc>
        <w:tc>
          <w:tcPr>
            <w:tcW w:w="1100" w:type="dxa"/>
            <w:noWrap w:val="0"/>
            <w:vAlign w:val="center"/>
          </w:tcPr>
          <w:p w14:paraId="08F347D8">
            <w:pPr>
              <w:adjustRightInd w:val="0"/>
              <w:snapToGrid w:val="0"/>
              <w:jc w:val="center"/>
              <w:rPr>
                <w:rFonts w:ascii="宋体" w:hAnsi="宋体"/>
                <w:bCs/>
                <w:sz w:val="18"/>
                <w:szCs w:val="18"/>
              </w:rPr>
            </w:pPr>
            <w:r>
              <w:rPr>
                <w:rFonts w:hint="eastAsia" w:ascii="宋体" w:hAnsi="宋体"/>
                <w:bCs/>
                <w:sz w:val="18"/>
                <w:szCs w:val="18"/>
              </w:rPr>
              <w:t>扣分说明</w:t>
            </w:r>
          </w:p>
        </w:tc>
        <w:tc>
          <w:tcPr>
            <w:tcW w:w="1445" w:type="dxa"/>
            <w:noWrap w:val="0"/>
            <w:vAlign w:val="center"/>
          </w:tcPr>
          <w:p w14:paraId="339BC517">
            <w:pPr>
              <w:adjustRightInd w:val="0"/>
              <w:snapToGrid w:val="0"/>
              <w:jc w:val="center"/>
              <w:rPr>
                <w:rFonts w:ascii="宋体" w:hAnsi="宋体"/>
                <w:bCs/>
                <w:sz w:val="18"/>
                <w:szCs w:val="18"/>
              </w:rPr>
            </w:pPr>
            <w:r>
              <w:rPr>
                <w:rFonts w:ascii="宋体" w:hAnsi="宋体"/>
                <w:bCs/>
                <w:sz w:val="18"/>
                <w:szCs w:val="18"/>
              </w:rPr>
              <w:t>对应条款编号</w:t>
            </w:r>
          </w:p>
        </w:tc>
      </w:tr>
      <w:tr w14:paraId="64416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03813EB9">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5.5.5</w:t>
            </w:r>
          </w:p>
        </w:tc>
        <w:tc>
          <w:tcPr>
            <w:tcW w:w="6270" w:type="dxa"/>
            <w:noWrap w:val="0"/>
            <w:vAlign w:val="center"/>
          </w:tcPr>
          <w:p w14:paraId="68EE3F08">
            <w:pPr>
              <w:tabs>
                <w:tab w:val="center" w:pos="4201"/>
                <w:tab w:val="right" w:leader="dot" w:pos="9298"/>
              </w:tabs>
              <w:autoSpaceDE w:val="0"/>
              <w:autoSpaceDN w:val="0"/>
              <w:adjustRightInd w:val="0"/>
              <w:snapToGrid w:val="0"/>
              <w:ind w:right="34"/>
              <w:rPr>
                <w:rFonts w:hint="eastAsia" w:ascii="宋体" w:hAnsi="宋体"/>
                <w:kern w:val="0"/>
                <w:sz w:val="18"/>
                <w:szCs w:val="18"/>
              </w:rPr>
            </w:pPr>
            <w:r>
              <w:rPr>
                <w:rFonts w:hint="eastAsia" w:ascii="宋体" w:hAnsi="宋体"/>
                <w:kern w:val="0"/>
                <w:sz w:val="18"/>
                <w:szCs w:val="18"/>
                <w:lang w:val="en-US" w:eastAsia="zh-CN"/>
              </w:rPr>
              <w:t>升降平台</w:t>
            </w:r>
            <w:r>
              <w:rPr>
                <w:rFonts w:hint="eastAsia" w:ascii="宋体" w:hAnsi="宋体"/>
                <w:kern w:val="0"/>
                <w:sz w:val="18"/>
                <w:szCs w:val="18"/>
              </w:rPr>
              <w:t>应符合下列要求：</w:t>
            </w:r>
          </w:p>
          <w:p w14:paraId="088C0EC0">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a)护栏高度不应小于1.1 m；</w:t>
            </w:r>
          </w:p>
          <w:p w14:paraId="3429D41E">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b)工作平台应设置不小于150 mm高的踢脚板；</w:t>
            </w:r>
          </w:p>
          <w:p w14:paraId="1B4290A5">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c)应设置距离护栏上横杆和踢脚板均不大于500 mm的中间横杆。</w:t>
            </w:r>
          </w:p>
          <w:p w14:paraId="4C4B821D">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d)不应使用链条或绳索作为护栏或入口门；</w:t>
            </w:r>
          </w:p>
          <w:p w14:paraId="652D5A0E">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e)入口门不应折叠或向外打开，应能自动关闭，或用电控的方式进行互锁以防止工作平台在入口门处于开启状态时运行；</w:t>
            </w:r>
          </w:p>
          <w:p w14:paraId="465B8B8A">
            <w:pPr>
              <w:tabs>
                <w:tab w:val="center" w:pos="4201"/>
                <w:tab w:val="right" w:leader="dot" w:pos="9298"/>
              </w:tabs>
              <w:autoSpaceDE w:val="0"/>
              <w:autoSpaceDN w:val="0"/>
              <w:adjustRightInd w:val="0"/>
              <w:snapToGrid w:val="0"/>
              <w:ind w:right="34"/>
              <w:rPr>
                <w:rFonts w:hint="default" w:ascii="宋体" w:hAnsi="宋体"/>
                <w:kern w:val="0"/>
                <w:sz w:val="18"/>
                <w:szCs w:val="18"/>
                <w:lang w:val="en-US"/>
              </w:rPr>
            </w:pPr>
            <w:r>
              <w:rPr>
                <w:rFonts w:hint="default" w:ascii="宋体" w:hAnsi="宋体"/>
                <w:kern w:val="0"/>
                <w:sz w:val="18"/>
                <w:szCs w:val="18"/>
                <w:lang w:val="en-US"/>
              </w:rPr>
              <w:t>f)除剪叉式或榄柱式升降工作平台外，其他型式的升降工作平台应设置安全带悬挂点；</w:t>
            </w:r>
          </w:p>
          <w:p w14:paraId="55583E60">
            <w:pPr>
              <w:adjustRightInd w:val="0"/>
              <w:snapToGrid w:val="0"/>
              <w:jc w:val="both"/>
              <w:rPr>
                <w:rFonts w:hint="default" w:ascii="宋体" w:hAnsi="宋体" w:eastAsia="宋体" w:cs="Times New Roman"/>
                <w:bCs/>
                <w:kern w:val="2"/>
                <w:sz w:val="18"/>
                <w:szCs w:val="18"/>
                <w:lang w:val="en-US" w:eastAsia="zh-CN" w:bidi="ar-SA"/>
              </w:rPr>
            </w:pPr>
            <w:r>
              <w:rPr>
                <w:rFonts w:hint="default" w:ascii="宋体" w:hAnsi="宋体"/>
                <w:kern w:val="0"/>
                <w:sz w:val="18"/>
                <w:szCs w:val="18"/>
                <w:lang w:val="en-US"/>
              </w:rPr>
              <w:t>g)升降工作平台带有蓄电池的，应确保蓄电池所处位置通风良好,应在无火焰、火星或其他可能会引起火灾或爆炸危险的地方进行充电。</w:t>
            </w:r>
          </w:p>
        </w:tc>
        <w:tc>
          <w:tcPr>
            <w:tcW w:w="700" w:type="dxa"/>
            <w:noWrap w:val="0"/>
            <w:vAlign w:val="center"/>
          </w:tcPr>
          <w:p w14:paraId="1508DDB3">
            <w:pPr>
              <w:adjustRightInd w:val="0"/>
              <w:snapToGrid w:val="0"/>
              <w:jc w:val="center"/>
              <w:rPr>
                <w:rFonts w:hint="eastAsia" w:ascii="宋体" w:hAnsi="宋体" w:eastAsia="宋体" w:cs="Times New Roman"/>
                <w:bCs/>
                <w:kern w:val="2"/>
                <w:sz w:val="18"/>
                <w:szCs w:val="18"/>
                <w:lang w:val="en-US" w:eastAsia="zh-CN" w:bidi="ar-SA"/>
              </w:rPr>
            </w:pPr>
          </w:p>
        </w:tc>
        <w:tc>
          <w:tcPr>
            <w:tcW w:w="734" w:type="dxa"/>
            <w:noWrap w:val="0"/>
            <w:vAlign w:val="center"/>
          </w:tcPr>
          <w:p w14:paraId="0B9E5C6E">
            <w:pPr>
              <w:adjustRightInd w:val="0"/>
              <w:snapToGrid w:val="0"/>
              <w:jc w:val="center"/>
              <w:rPr>
                <w:rFonts w:hint="eastAsia" w:ascii="宋体" w:hAnsi="宋体" w:eastAsia="宋体" w:cs="Times New Roman"/>
                <w:bCs/>
                <w:kern w:val="2"/>
                <w:sz w:val="18"/>
                <w:szCs w:val="18"/>
                <w:lang w:val="en-US" w:eastAsia="zh-CN" w:bidi="ar-SA"/>
              </w:rPr>
            </w:pPr>
          </w:p>
        </w:tc>
        <w:tc>
          <w:tcPr>
            <w:tcW w:w="733" w:type="dxa"/>
            <w:noWrap w:val="0"/>
            <w:vAlign w:val="center"/>
          </w:tcPr>
          <w:p w14:paraId="16EFFC72">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2683" w:type="dxa"/>
            <w:noWrap w:val="0"/>
            <w:vAlign w:val="center"/>
          </w:tcPr>
          <w:p w14:paraId="2FD18F83">
            <w:pPr>
              <w:adjustRightInd w:val="0"/>
              <w:snapToGrid w:val="0"/>
              <w:jc w:val="both"/>
              <w:rPr>
                <w:rFonts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bCs/>
                <w:sz w:val="18"/>
                <w:szCs w:val="18"/>
              </w:rPr>
              <w:t>处</w:t>
            </w:r>
            <w:r>
              <w:rPr>
                <w:rFonts w:ascii="宋体" w:hAnsi="宋体"/>
                <w:bCs/>
                <w:sz w:val="18"/>
                <w:szCs w:val="18"/>
              </w:rPr>
              <w:t>不符合扣</w:t>
            </w:r>
            <w:r>
              <w:rPr>
                <w:rFonts w:hint="eastAsia" w:ascii="宋体" w:hAnsi="宋体"/>
                <w:bCs/>
                <w:sz w:val="18"/>
                <w:szCs w:val="18"/>
              </w:rPr>
              <w:t>2分。</w:t>
            </w:r>
          </w:p>
        </w:tc>
        <w:tc>
          <w:tcPr>
            <w:tcW w:w="734" w:type="dxa"/>
            <w:noWrap w:val="0"/>
            <w:vAlign w:val="center"/>
          </w:tcPr>
          <w:p w14:paraId="269DEB1F">
            <w:pPr>
              <w:adjustRightInd w:val="0"/>
              <w:snapToGrid w:val="0"/>
              <w:jc w:val="center"/>
              <w:rPr>
                <w:rFonts w:hint="eastAsia" w:ascii="宋体" w:hAnsi="宋体" w:eastAsia="宋体" w:cs="Times New Roman"/>
                <w:bCs/>
                <w:kern w:val="2"/>
                <w:sz w:val="18"/>
                <w:szCs w:val="18"/>
                <w:lang w:val="en-US" w:eastAsia="zh-CN" w:bidi="ar-SA"/>
              </w:rPr>
            </w:pPr>
          </w:p>
        </w:tc>
        <w:tc>
          <w:tcPr>
            <w:tcW w:w="1100" w:type="dxa"/>
            <w:noWrap w:val="0"/>
            <w:vAlign w:val="center"/>
          </w:tcPr>
          <w:p w14:paraId="26CF029C">
            <w:pPr>
              <w:adjustRightInd w:val="0"/>
              <w:snapToGrid w:val="0"/>
              <w:jc w:val="center"/>
              <w:rPr>
                <w:rFonts w:hint="eastAsia" w:ascii="宋体" w:hAnsi="宋体" w:eastAsia="宋体" w:cs="Times New Roman"/>
                <w:bCs/>
                <w:kern w:val="2"/>
                <w:sz w:val="18"/>
                <w:szCs w:val="18"/>
                <w:lang w:val="en-US" w:eastAsia="zh-CN" w:bidi="ar-SA"/>
              </w:rPr>
            </w:pPr>
          </w:p>
        </w:tc>
        <w:tc>
          <w:tcPr>
            <w:tcW w:w="1445" w:type="dxa"/>
            <w:noWrap w:val="0"/>
            <w:vAlign w:val="center"/>
          </w:tcPr>
          <w:p w14:paraId="400EBB4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4.5.5.5</w:t>
            </w:r>
          </w:p>
        </w:tc>
      </w:tr>
      <w:tr w14:paraId="6528C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439F0826">
            <w:pPr>
              <w:adjustRightInd w:val="0"/>
              <w:snapToGrid w:val="0"/>
              <w:jc w:val="center"/>
              <w:rPr>
                <w:rFonts w:hint="eastAsia" w:ascii="宋体" w:hAnsi="宋体" w:eastAsia="宋体"/>
                <w:bCs/>
                <w:sz w:val="18"/>
                <w:szCs w:val="18"/>
                <w:lang w:eastAsia="zh-CN"/>
              </w:rPr>
            </w:pPr>
            <w:r>
              <w:rPr>
                <w:rFonts w:hint="eastAsia" w:ascii="宋体" w:hAnsi="宋体"/>
                <w:bCs/>
                <w:sz w:val="18"/>
                <w:szCs w:val="18"/>
              </w:rPr>
              <w:t>5.</w:t>
            </w:r>
            <w:r>
              <w:rPr>
                <w:rFonts w:hint="eastAsia" w:ascii="宋体" w:hAnsi="宋体"/>
                <w:bCs/>
                <w:sz w:val="18"/>
                <w:szCs w:val="18"/>
                <w:lang w:val="en-US" w:eastAsia="zh-CN"/>
              </w:rPr>
              <w:t>6</w:t>
            </w:r>
          </w:p>
        </w:tc>
        <w:tc>
          <w:tcPr>
            <w:tcW w:w="6270" w:type="dxa"/>
            <w:noWrap w:val="0"/>
            <w:vAlign w:val="top"/>
          </w:tcPr>
          <w:p w14:paraId="511D5DE0">
            <w:pPr>
              <w:tabs>
                <w:tab w:val="center" w:pos="4201"/>
                <w:tab w:val="right" w:leader="dot" w:pos="9298"/>
              </w:tabs>
              <w:autoSpaceDE w:val="0"/>
              <w:autoSpaceDN w:val="0"/>
              <w:ind w:right="34"/>
              <w:rPr>
                <w:rFonts w:hint="eastAsia" w:ascii="宋体" w:hAnsi="宋体"/>
                <w:bCs/>
                <w:sz w:val="18"/>
                <w:szCs w:val="18"/>
              </w:rPr>
            </w:pPr>
            <w:r>
              <w:rPr>
                <w:rFonts w:hint="eastAsia" w:ascii="宋体" w:hAnsi="宋体"/>
                <w:kern w:val="0"/>
                <w:sz w:val="18"/>
                <w:szCs w:val="18"/>
              </w:rPr>
              <w:t>停车场所和车辆充电场所</w:t>
            </w:r>
          </w:p>
        </w:tc>
        <w:tc>
          <w:tcPr>
            <w:tcW w:w="700" w:type="dxa"/>
            <w:noWrap w:val="0"/>
            <w:vAlign w:val="top"/>
          </w:tcPr>
          <w:p w14:paraId="714D3039">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34" w:type="dxa"/>
            <w:noWrap w:val="0"/>
            <w:vAlign w:val="top"/>
          </w:tcPr>
          <w:p w14:paraId="17C9EBE7">
            <w:pPr>
              <w:snapToGrid w:val="0"/>
              <w:ind w:left="0" w:leftChars="0"/>
              <w:jc w:val="center"/>
              <w:rPr>
                <w:rFonts w:hint="default" w:ascii="宋体" w:hAnsi="宋体" w:cs="宋体"/>
                <w:sz w:val="18"/>
                <w:szCs w:val="18"/>
                <w:lang w:val="en-US"/>
              </w:rPr>
            </w:pPr>
            <w:r>
              <w:rPr>
                <w:rFonts w:hint="eastAsia" w:ascii="宋体" w:hAnsi="宋体" w:cs="宋体"/>
                <w:sz w:val="18"/>
                <w:szCs w:val="18"/>
                <w:lang w:val="en-US" w:eastAsia="zh-CN"/>
              </w:rPr>
              <w:t>15</w:t>
            </w:r>
          </w:p>
        </w:tc>
        <w:tc>
          <w:tcPr>
            <w:tcW w:w="733" w:type="dxa"/>
            <w:noWrap w:val="0"/>
            <w:vAlign w:val="center"/>
          </w:tcPr>
          <w:p w14:paraId="150899B7">
            <w:pPr>
              <w:snapToGrid w:val="0"/>
              <w:ind w:firstLine="180" w:firstLineChars="100"/>
              <w:rPr>
                <w:rFonts w:ascii="宋体" w:hAnsi="宋体" w:cs="宋体"/>
                <w:sz w:val="18"/>
                <w:szCs w:val="18"/>
              </w:rPr>
            </w:pPr>
          </w:p>
        </w:tc>
        <w:tc>
          <w:tcPr>
            <w:tcW w:w="2683" w:type="dxa"/>
            <w:noWrap w:val="0"/>
            <w:vAlign w:val="center"/>
          </w:tcPr>
          <w:p w14:paraId="6897CEFB">
            <w:pPr>
              <w:jc w:val="left"/>
              <w:rPr>
                <w:rFonts w:ascii="宋体" w:hAnsi="宋体"/>
                <w:bCs/>
                <w:sz w:val="18"/>
                <w:szCs w:val="18"/>
              </w:rPr>
            </w:pPr>
          </w:p>
        </w:tc>
        <w:tc>
          <w:tcPr>
            <w:tcW w:w="734" w:type="dxa"/>
            <w:noWrap w:val="0"/>
            <w:vAlign w:val="top"/>
          </w:tcPr>
          <w:p w14:paraId="25C06324">
            <w:pPr>
              <w:jc w:val="center"/>
              <w:rPr>
                <w:rFonts w:ascii="宋体" w:hAnsi="宋体" w:cs="宋体"/>
                <w:sz w:val="18"/>
                <w:szCs w:val="18"/>
              </w:rPr>
            </w:pPr>
          </w:p>
        </w:tc>
        <w:tc>
          <w:tcPr>
            <w:tcW w:w="1100" w:type="dxa"/>
            <w:noWrap w:val="0"/>
            <w:vAlign w:val="top"/>
          </w:tcPr>
          <w:p w14:paraId="41E92D0E">
            <w:pPr>
              <w:jc w:val="left"/>
              <w:rPr>
                <w:rFonts w:ascii="宋体" w:hAnsi="宋体" w:cs="宋体"/>
                <w:sz w:val="18"/>
                <w:szCs w:val="18"/>
              </w:rPr>
            </w:pPr>
          </w:p>
        </w:tc>
        <w:tc>
          <w:tcPr>
            <w:tcW w:w="1445" w:type="dxa"/>
            <w:noWrap w:val="0"/>
            <w:vAlign w:val="center"/>
          </w:tcPr>
          <w:p w14:paraId="01609D0C">
            <w:pPr>
              <w:widowControl/>
              <w:tabs>
                <w:tab w:val="center" w:pos="4201"/>
                <w:tab w:val="right" w:leader="dot" w:pos="9298"/>
              </w:tabs>
              <w:autoSpaceDE w:val="0"/>
              <w:autoSpaceDN w:val="0"/>
              <w:ind w:right="34"/>
              <w:jc w:val="center"/>
              <w:rPr>
                <w:rFonts w:hint="eastAsia" w:ascii="宋体" w:hAnsi="宋体"/>
                <w:kern w:val="0"/>
                <w:sz w:val="18"/>
                <w:szCs w:val="18"/>
              </w:rPr>
            </w:pPr>
            <w:r>
              <w:rPr>
                <w:rFonts w:hint="eastAsia" w:ascii="宋体" w:hAnsi="宋体"/>
                <w:kern w:val="0"/>
                <w:sz w:val="18"/>
                <w:szCs w:val="18"/>
                <w:lang w:eastAsia="zh-CN"/>
              </w:rPr>
              <w:t>4.5</w:t>
            </w:r>
            <w:r>
              <w:rPr>
                <w:rFonts w:ascii="宋体" w:hAnsi="宋体"/>
                <w:kern w:val="0"/>
                <w:sz w:val="18"/>
                <w:szCs w:val="18"/>
              </w:rPr>
              <w:t>.</w:t>
            </w:r>
            <w:r>
              <w:rPr>
                <w:rFonts w:hint="eastAsia" w:ascii="宋体" w:hAnsi="宋体"/>
                <w:kern w:val="0"/>
                <w:sz w:val="18"/>
                <w:szCs w:val="18"/>
              </w:rPr>
              <w:t>3</w:t>
            </w:r>
          </w:p>
        </w:tc>
      </w:tr>
      <w:tr w14:paraId="03868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noWrap w:val="0"/>
            <w:vAlign w:val="center"/>
          </w:tcPr>
          <w:p w14:paraId="45FF0D1D">
            <w:pPr>
              <w:adjustRightInd w:val="0"/>
              <w:snapToGrid w:val="0"/>
              <w:jc w:val="center"/>
              <w:rPr>
                <w:rFonts w:hint="eastAsia" w:ascii="宋体" w:hAnsi="宋体"/>
                <w:bCs/>
                <w:sz w:val="18"/>
                <w:szCs w:val="18"/>
              </w:rPr>
            </w:pPr>
            <w:r>
              <w:rPr>
                <w:rFonts w:hint="eastAsia" w:ascii="宋体" w:hAnsi="宋体"/>
                <w:bCs/>
                <w:sz w:val="18"/>
                <w:szCs w:val="18"/>
              </w:rPr>
              <w:t>5.</w:t>
            </w:r>
            <w:r>
              <w:rPr>
                <w:rFonts w:hint="eastAsia" w:ascii="宋体" w:hAnsi="宋体"/>
                <w:bCs/>
                <w:sz w:val="18"/>
                <w:szCs w:val="18"/>
                <w:lang w:val="en-US" w:eastAsia="zh-CN"/>
              </w:rPr>
              <w:t>6</w:t>
            </w:r>
            <w:r>
              <w:rPr>
                <w:rFonts w:hint="eastAsia" w:ascii="宋体" w:hAnsi="宋体"/>
                <w:bCs/>
                <w:sz w:val="18"/>
                <w:szCs w:val="18"/>
              </w:rPr>
              <w:t>.1</w:t>
            </w:r>
          </w:p>
        </w:tc>
        <w:tc>
          <w:tcPr>
            <w:tcW w:w="6270" w:type="dxa"/>
            <w:noWrap w:val="0"/>
            <w:vAlign w:val="top"/>
          </w:tcPr>
          <w:p w14:paraId="11D2BBD5">
            <w:pPr>
              <w:adjustRightInd w:val="0"/>
              <w:snapToGrid w:val="0"/>
              <w:rPr>
                <w:rFonts w:hint="eastAsia" w:ascii="宋体" w:hAnsi="宋体"/>
                <w:sz w:val="18"/>
                <w:szCs w:val="18"/>
              </w:rPr>
            </w:pPr>
            <w:r>
              <w:rPr>
                <w:rFonts w:hint="eastAsia" w:ascii="宋体" w:hAnsi="宋体" w:cs="宋体"/>
                <w:sz w:val="18"/>
                <w:szCs w:val="18"/>
              </w:rPr>
              <w:t>停车场所</w:t>
            </w:r>
            <w:r>
              <w:rPr>
                <w:rFonts w:hint="eastAsia" w:ascii="宋体" w:hAnsi="宋体"/>
                <w:sz w:val="18"/>
                <w:szCs w:val="18"/>
              </w:rPr>
              <w:t>应符合下列要求：</w:t>
            </w:r>
          </w:p>
          <w:p w14:paraId="71E4C49E">
            <w:pPr>
              <w:adjustRightInd w:val="0"/>
              <w:snapToGrid w:val="0"/>
              <w:jc w:val="left"/>
              <w:rPr>
                <w:rFonts w:hint="eastAsia" w:ascii="宋体" w:hAnsi="宋体"/>
                <w:sz w:val="18"/>
                <w:szCs w:val="18"/>
              </w:rPr>
            </w:pPr>
            <w:r>
              <w:rPr>
                <w:rFonts w:hint="eastAsia" w:ascii="宋体" w:hAnsi="宋体"/>
                <w:sz w:val="18"/>
                <w:szCs w:val="18"/>
              </w:rPr>
              <w:t>a）停车场地面标线应清晰，标志明显；</w:t>
            </w:r>
          </w:p>
          <w:p w14:paraId="6E6FF25C">
            <w:pPr>
              <w:adjustRightInd w:val="0"/>
              <w:snapToGrid w:val="0"/>
              <w:jc w:val="left"/>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）停车场出入口前5 m范围内不应停车，并设置明显的禁停标志；</w:t>
            </w:r>
          </w:p>
          <w:p w14:paraId="1F588430">
            <w:pPr>
              <w:adjustRightInd w:val="0"/>
              <w:snapToGrid w:val="0"/>
              <w:jc w:val="left"/>
              <w:rPr>
                <w:rFonts w:hint="eastAsia" w:ascii="宋体" w:hAnsi="宋体" w:eastAsia="宋体"/>
                <w:sz w:val="18"/>
                <w:szCs w:val="18"/>
                <w:lang w:eastAsia="zh-CN"/>
              </w:rPr>
            </w:pPr>
            <w:r>
              <w:rPr>
                <w:rFonts w:hint="eastAsia" w:ascii="宋体" w:hAnsi="宋体"/>
                <w:sz w:val="18"/>
                <w:szCs w:val="18"/>
                <w:lang w:val="en-US" w:eastAsia="zh-CN"/>
              </w:rPr>
              <w:t>c</w:t>
            </w:r>
            <w:r>
              <w:rPr>
                <w:rFonts w:hint="eastAsia" w:ascii="宋体" w:hAnsi="宋体"/>
                <w:sz w:val="18"/>
                <w:szCs w:val="18"/>
              </w:rPr>
              <w:t>）地下停车场入口应设置限高和减速装置</w:t>
            </w:r>
            <w:r>
              <w:rPr>
                <w:rFonts w:hint="eastAsia" w:ascii="宋体" w:hAnsi="宋体"/>
                <w:sz w:val="18"/>
                <w:szCs w:val="18"/>
                <w:lang w:eastAsia="zh-CN"/>
              </w:rPr>
              <w:t>；</w:t>
            </w:r>
          </w:p>
          <w:p w14:paraId="0D266772">
            <w:pPr>
              <w:adjustRightInd w:val="0"/>
              <w:snapToGrid w:val="0"/>
              <w:jc w:val="left"/>
              <w:rPr>
                <w:rFonts w:hint="eastAsia" w:ascii="宋体" w:hAnsi="宋体"/>
                <w:sz w:val="18"/>
                <w:szCs w:val="18"/>
              </w:rPr>
            </w:pPr>
            <w:r>
              <w:rPr>
                <w:rFonts w:hint="eastAsia" w:ascii="宋体" w:hAnsi="宋体"/>
                <w:sz w:val="18"/>
                <w:szCs w:val="18"/>
              </w:rPr>
              <w:t>d）停车场出入口坡道应进行路面防滑处理，并应加装遮光、防雨设施；</w:t>
            </w:r>
          </w:p>
          <w:p w14:paraId="149D04B9">
            <w:pPr>
              <w:adjustRightInd w:val="0"/>
              <w:snapToGrid w:val="0"/>
              <w:rPr>
                <w:rFonts w:hint="eastAsia" w:ascii="宋体" w:hAnsi="宋体"/>
                <w:sz w:val="18"/>
                <w:szCs w:val="18"/>
              </w:rPr>
            </w:pPr>
            <w:r>
              <w:rPr>
                <w:rFonts w:hint="eastAsia" w:ascii="宋体" w:hAnsi="宋体"/>
                <w:sz w:val="18"/>
                <w:szCs w:val="18"/>
              </w:rPr>
              <w:t>e）车辆驾驶者视线死角区的对面相应位置应设置反光镜；</w:t>
            </w:r>
          </w:p>
          <w:p w14:paraId="6E01D5DF">
            <w:pPr>
              <w:adjustRightInd w:val="0"/>
              <w:snapToGrid w:val="0"/>
              <w:jc w:val="left"/>
              <w:rPr>
                <w:rFonts w:hint="eastAsia" w:ascii="宋体" w:hAnsi="宋体"/>
                <w:sz w:val="18"/>
                <w:szCs w:val="18"/>
              </w:rPr>
            </w:pPr>
            <w:r>
              <w:rPr>
                <w:rFonts w:hint="eastAsia" w:ascii="宋体" w:hAnsi="宋体"/>
                <w:sz w:val="18"/>
                <w:szCs w:val="18"/>
              </w:rPr>
              <w:t>f）汽车库的人员安全出口和汽车疏散出口应分开设置；</w:t>
            </w:r>
          </w:p>
          <w:p w14:paraId="38EDCB36">
            <w:pPr>
              <w:adjustRightInd w:val="0"/>
              <w:snapToGrid w:val="0"/>
              <w:ind w:firstLine="0" w:firstLineChars="0"/>
              <w:jc w:val="left"/>
              <w:rPr>
                <w:rFonts w:hint="eastAsia" w:ascii="宋体" w:hAnsi="宋体" w:cs="宋体"/>
                <w:sz w:val="18"/>
                <w:szCs w:val="18"/>
              </w:rPr>
            </w:pPr>
            <w:r>
              <w:rPr>
                <w:rFonts w:hint="eastAsia" w:ascii="宋体" w:hAnsi="宋体"/>
                <w:sz w:val="18"/>
                <w:szCs w:val="18"/>
              </w:rPr>
              <w:t>g</w:t>
            </w:r>
            <w:r>
              <w:rPr>
                <w:rFonts w:hint="eastAsia" w:ascii="宋体" w:hAnsi="宋体" w:cs="宋体"/>
                <w:sz w:val="18"/>
                <w:szCs w:val="18"/>
                <w:lang w:eastAsia="zh-CN"/>
              </w:rPr>
              <w:t>）</w:t>
            </w:r>
            <w:r>
              <w:rPr>
                <w:rFonts w:hint="eastAsia" w:ascii="宋体" w:hAnsi="宋体" w:cs="宋体"/>
                <w:sz w:val="18"/>
                <w:szCs w:val="18"/>
              </w:rPr>
              <w:t>汽车库内每个防火分区的人员安全出口不应少于2个；</w:t>
            </w:r>
          </w:p>
          <w:p w14:paraId="057CFE4A">
            <w:pPr>
              <w:adjustRightInd w:val="0"/>
              <w:snapToGrid w:val="0"/>
              <w:jc w:val="left"/>
              <w:rPr>
                <w:rFonts w:hint="eastAsia" w:ascii="宋体" w:hAnsi="宋体" w:cs="宋体"/>
                <w:sz w:val="18"/>
                <w:szCs w:val="18"/>
              </w:rPr>
            </w:pPr>
            <w:r>
              <w:rPr>
                <w:rFonts w:hint="eastAsia" w:ascii="宋体" w:hAnsi="宋体" w:cs="宋体"/>
                <w:sz w:val="18"/>
                <w:szCs w:val="18"/>
                <w:lang w:val="en-US" w:eastAsia="zh-CN"/>
              </w:rPr>
              <w:t>h</w:t>
            </w:r>
            <w:r>
              <w:rPr>
                <w:rFonts w:hint="eastAsia" w:ascii="宋体" w:hAnsi="宋体" w:cs="宋体"/>
                <w:sz w:val="18"/>
                <w:szCs w:val="18"/>
              </w:rPr>
              <w:t>）汽车库应配置灭火器</w:t>
            </w:r>
            <w:r>
              <w:rPr>
                <w:rFonts w:hint="eastAsia" w:ascii="宋体" w:hAnsi="宋体" w:cs="宋体"/>
                <w:sz w:val="18"/>
                <w:szCs w:val="18"/>
                <w:lang w:eastAsia="zh-CN"/>
              </w:rPr>
              <w:t>；</w:t>
            </w:r>
          </w:p>
          <w:p w14:paraId="47DB08B9">
            <w:pPr>
              <w:adjustRightInd w:val="0"/>
              <w:snapToGrid w:val="0"/>
              <w:jc w:val="left"/>
              <w:rPr>
                <w:rFonts w:hint="eastAsia" w:ascii="宋体" w:hAnsi="宋体" w:cs="宋体"/>
                <w:sz w:val="18"/>
                <w:szCs w:val="18"/>
              </w:rPr>
            </w:pPr>
            <w:r>
              <w:rPr>
                <w:rFonts w:hint="eastAsia" w:ascii="宋体" w:hAnsi="宋体" w:cs="宋体"/>
                <w:sz w:val="18"/>
                <w:szCs w:val="18"/>
                <w:lang w:val="en-US" w:eastAsia="zh-CN"/>
              </w:rPr>
              <w:t>i</w:t>
            </w:r>
            <w:r>
              <w:rPr>
                <w:rFonts w:hint="eastAsia" w:ascii="宋体" w:hAnsi="宋体" w:cs="宋体"/>
                <w:sz w:val="18"/>
                <w:szCs w:val="18"/>
              </w:rPr>
              <w:t>）</w:t>
            </w:r>
            <w:r>
              <w:rPr>
                <w:rFonts w:hint="eastAsia"/>
                <w:sz w:val="18"/>
                <w:szCs w:val="18"/>
                <w:highlight w:val="none"/>
              </w:rPr>
              <w:t>应设立安全须知及有关责任的提示</w:t>
            </w:r>
            <w:r>
              <w:rPr>
                <w:rFonts w:hint="eastAsia" w:ascii="宋体" w:hAnsi="宋体" w:cs="宋体"/>
                <w:sz w:val="18"/>
                <w:szCs w:val="18"/>
              </w:rPr>
              <w:t>。</w:t>
            </w:r>
          </w:p>
        </w:tc>
        <w:tc>
          <w:tcPr>
            <w:tcW w:w="700" w:type="dxa"/>
            <w:noWrap w:val="0"/>
            <w:vAlign w:val="top"/>
          </w:tcPr>
          <w:p w14:paraId="6A85265E">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34" w:type="dxa"/>
            <w:noWrap w:val="0"/>
            <w:vAlign w:val="top"/>
          </w:tcPr>
          <w:p w14:paraId="29C28645">
            <w:pPr>
              <w:snapToGrid w:val="0"/>
              <w:ind w:left="-249" w:leftChars="-119"/>
              <w:jc w:val="center"/>
              <w:rPr>
                <w:rFonts w:ascii="宋体" w:hAnsi="宋体" w:cs="宋体"/>
                <w:sz w:val="18"/>
                <w:szCs w:val="18"/>
              </w:rPr>
            </w:pPr>
          </w:p>
        </w:tc>
        <w:tc>
          <w:tcPr>
            <w:tcW w:w="733" w:type="dxa"/>
            <w:noWrap w:val="0"/>
            <w:vAlign w:val="center"/>
          </w:tcPr>
          <w:p w14:paraId="58532F7F">
            <w:pPr>
              <w:snapToGrid w:val="0"/>
              <w:ind w:firstLine="180" w:firstLineChars="100"/>
              <w:rPr>
                <w:rFonts w:hint="eastAsia" w:ascii="宋体" w:hAnsi="宋体" w:cs="宋体"/>
                <w:sz w:val="18"/>
                <w:szCs w:val="18"/>
              </w:rPr>
            </w:pPr>
            <w:r>
              <w:rPr>
                <w:rFonts w:hint="eastAsia" w:ascii="宋体" w:hAnsi="宋体" w:cs="宋体"/>
                <w:sz w:val="18"/>
                <w:szCs w:val="18"/>
                <w:lang w:val="en-US" w:eastAsia="zh-CN"/>
              </w:rPr>
              <w:t>5</w:t>
            </w:r>
          </w:p>
        </w:tc>
        <w:tc>
          <w:tcPr>
            <w:tcW w:w="2683" w:type="dxa"/>
            <w:noWrap w:val="0"/>
            <w:vAlign w:val="center"/>
          </w:tcPr>
          <w:p w14:paraId="0ABCB7FB">
            <w:pPr>
              <w:jc w:val="left"/>
              <w:rPr>
                <w:rFonts w:ascii="宋体" w:hAnsi="宋体"/>
                <w:bCs/>
                <w:sz w:val="18"/>
                <w:szCs w:val="18"/>
              </w:rPr>
            </w:pPr>
            <w:r>
              <w:rPr>
                <w:rFonts w:hint="eastAsia" w:ascii="宋体" w:hAnsi="宋体" w:cs="宋体"/>
                <w:sz w:val="18"/>
                <w:szCs w:val="18"/>
              </w:rPr>
              <w:t>一处不符合扣</w:t>
            </w:r>
            <w:r>
              <w:rPr>
                <w:rFonts w:hint="eastAsia" w:ascii="宋体" w:hAnsi="宋体" w:cs="宋体"/>
                <w:sz w:val="18"/>
                <w:szCs w:val="18"/>
                <w:lang w:val="en-US" w:eastAsia="zh-CN"/>
              </w:rPr>
              <w:t>2</w:t>
            </w:r>
            <w:r>
              <w:rPr>
                <w:rFonts w:hint="eastAsia" w:ascii="宋体" w:hAnsi="宋体" w:cs="宋体"/>
                <w:sz w:val="18"/>
                <w:szCs w:val="18"/>
              </w:rPr>
              <w:t>分。</w:t>
            </w:r>
          </w:p>
        </w:tc>
        <w:tc>
          <w:tcPr>
            <w:tcW w:w="734" w:type="dxa"/>
            <w:noWrap w:val="0"/>
            <w:vAlign w:val="top"/>
          </w:tcPr>
          <w:p w14:paraId="6D6D6028">
            <w:pPr>
              <w:jc w:val="center"/>
              <w:rPr>
                <w:rFonts w:ascii="宋体" w:hAnsi="宋体" w:cs="宋体"/>
                <w:sz w:val="18"/>
                <w:szCs w:val="18"/>
              </w:rPr>
            </w:pPr>
          </w:p>
        </w:tc>
        <w:tc>
          <w:tcPr>
            <w:tcW w:w="1100" w:type="dxa"/>
            <w:noWrap w:val="0"/>
            <w:vAlign w:val="top"/>
          </w:tcPr>
          <w:p w14:paraId="60DEFE16">
            <w:pPr>
              <w:jc w:val="left"/>
              <w:rPr>
                <w:rFonts w:ascii="宋体" w:hAnsi="宋体" w:cs="宋体"/>
                <w:sz w:val="18"/>
                <w:szCs w:val="18"/>
              </w:rPr>
            </w:pPr>
          </w:p>
        </w:tc>
        <w:tc>
          <w:tcPr>
            <w:tcW w:w="1445" w:type="dxa"/>
            <w:noWrap w:val="0"/>
            <w:vAlign w:val="center"/>
          </w:tcPr>
          <w:p w14:paraId="4786327B">
            <w:pPr>
              <w:widowControl/>
              <w:tabs>
                <w:tab w:val="center" w:pos="4201"/>
                <w:tab w:val="right" w:leader="dot" w:pos="9298"/>
              </w:tabs>
              <w:autoSpaceDE w:val="0"/>
              <w:autoSpaceDN w:val="0"/>
              <w:ind w:right="34"/>
              <w:jc w:val="center"/>
              <w:rPr>
                <w:rFonts w:ascii="宋体" w:hAnsi="宋体"/>
                <w:kern w:val="0"/>
                <w:sz w:val="18"/>
                <w:szCs w:val="18"/>
              </w:rPr>
            </w:pPr>
            <w:r>
              <w:rPr>
                <w:rFonts w:hint="eastAsia" w:ascii="宋体" w:hAnsi="宋体" w:cs="宋体"/>
                <w:sz w:val="18"/>
                <w:szCs w:val="18"/>
                <w:lang w:eastAsia="zh-CN"/>
              </w:rPr>
              <w:t>4.5</w:t>
            </w:r>
            <w:r>
              <w:rPr>
                <w:rFonts w:hint="eastAsia" w:ascii="宋体" w:hAnsi="宋体" w:cs="宋体"/>
                <w:sz w:val="18"/>
                <w:szCs w:val="18"/>
              </w:rPr>
              <w:t>.3</w:t>
            </w:r>
          </w:p>
        </w:tc>
      </w:tr>
      <w:tr w14:paraId="738E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4" w:type="dxa"/>
            <w:shd w:val="clear"/>
            <w:noWrap w:val="0"/>
            <w:vAlign w:val="center"/>
          </w:tcPr>
          <w:p w14:paraId="520DEF11">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r>
              <w:rPr>
                <w:rFonts w:hint="eastAsia" w:ascii="宋体" w:hAnsi="宋体"/>
                <w:bCs/>
                <w:sz w:val="18"/>
                <w:szCs w:val="18"/>
                <w:lang w:val="en-US" w:eastAsia="zh-CN"/>
              </w:rPr>
              <w:t>6.2</w:t>
            </w:r>
          </w:p>
        </w:tc>
        <w:tc>
          <w:tcPr>
            <w:tcW w:w="6270" w:type="dxa"/>
            <w:shd w:val="clear"/>
            <w:noWrap w:val="0"/>
            <w:vAlign w:val="center"/>
          </w:tcPr>
          <w:p w14:paraId="64083EA3">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设置电动自行车停放、充电场所，不应在建筑物内违规停放电动自行车或者为电动自行车充电，并应符合下列要求：</w:t>
            </w:r>
          </w:p>
          <w:p w14:paraId="08067D9A">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a）电动自行车停放场所的设置不应占用消防车道、建筑间距和消防车登高操作场地，不应影响室外消防设施、疏散通道、救援通道的正常使用；</w:t>
            </w:r>
          </w:p>
          <w:p w14:paraId="6E35A50F">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b）电动自行车停放场所不应设置在高温、易积水和易燃易爆场所；</w:t>
            </w:r>
          </w:p>
          <w:p w14:paraId="6F221785">
            <w:pPr>
              <w:adjustRightInd w:val="0"/>
              <w:snapToGrid w:val="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c）电动自行车停车场内的充电设施应设有遮雨措施和安全防护措施；</w:t>
            </w:r>
          </w:p>
        </w:tc>
        <w:tc>
          <w:tcPr>
            <w:tcW w:w="700" w:type="dxa"/>
            <w:shd w:val="clear"/>
            <w:noWrap w:val="0"/>
            <w:vAlign w:val="center"/>
          </w:tcPr>
          <w:p w14:paraId="75F12D88">
            <w:pPr>
              <w:adjustRightInd w:val="0"/>
              <w:snapToGrid w:val="0"/>
              <w:jc w:val="center"/>
              <w:rPr>
                <w:rFonts w:ascii="宋体" w:hAnsi="宋体" w:eastAsia="宋体" w:cs="Times New Roman"/>
                <w:bCs/>
                <w:kern w:val="2"/>
                <w:sz w:val="18"/>
                <w:szCs w:val="18"/>
                <w:lang w:val="en-US" w:eastAsia="zh-CN" w:bidi="ar-SA"/>
              </w:rPr>
            </w:pPr>
          </w:p>
        </w:tc>
        <w:tc>
          <w:tcPr>
            <w:tcW w:w="734" w:type="dxa"/>
            <w:shd w:val="clear"/>
            <w:noWrap w:val="0"/>
            <w:vAlign w:val="center"/>
          </w:tcPr>
          <w:p w14:paraId="5C09A47C">
            <w:pPr>
              <w:adjustRightInd w:val="0"/>
              <w:snapToGrid w:val="0"/>
              <w:jc w:val="center"/>
              <w:rPr>
                <w:rFonts w:ascii="宋体" w:hAnsi="宋体" w:eastAsia="宋体" w:cs="Times New Roman"/>
                <w:bCs/>
                <w:kern w:val="2"/>
                <w:sz w:val="18"/>
                <w:szCs w:val="18"/>
                <w:lang w:val="en-US" w:eastAsia="zh-CN" w:bidi="ar-SA"/>
              </w:rPr>
            </w:pPr>
          </w:p>
        </w:tc>
        <w:tc>
          <w:tcPr>
            <w:tcW w:w="733" w:type="dxa"/>
            <w:shd w:val="clear"/>
            <w:noWrap w:val="0"/>
            <w:vAlign w:val="center"/>
          </w:tcPr>
          <w:p w14:paraId="1743AE98">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2683" w:type="dxa"/>
            <w:shd w:val="clear"/>
            <w:noWrap w:val="0"/>
            <w:vAlign w:val="center"/>
          </w:tcPr>
          <w:p w14:paraId="1E40374D">
            <w:pPr>
              <w:adjustRightInd w:val="0"/>
              <w:snapToGrid w:val="0"/>
              <w:rPr>
                <w:rFonts w:hint="eastAsia"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w:t>
            </w:r>
            <w:r>
              <w:rPr>
                <w:rFonts w:hint="eastAsia" w:ascii="宋体" w:hAnsi="宋体"/>
                <w:bCs/>
                <w:sz w:val="18"/>
                <w:szCs w:val="18"/>
              </w:rPr>
              <w:t>扣</w:t>
            </w:r>
            <w:r>
              <w:rPr>
                <w:rFonts w:hint="eastAsia" w:ascii="宋体" w:hAnsi="宋体"/>
                <w:bCs/>
                <w:sz w:val="18"/>
                <w:szCs w:val="18"/>
                <w:lang w:val="en-US" w:eastAsia="zh-CN"/>
              </w:rPr>
              <w:t>2</w:t>
            </w:r>
            <w:r>
              <w:rPr>
                <w:rFonts w:hint="eastAsia" w:ascii="宋体" w:hAnsi="宋体"/>
                <w:bCs/>
                <w:sz w:val="18"/>
                <w:szCs w:val="18"/>
              </w:rPr>
              <w:t>分。</w:t>
            </w:r>
          </w:p>
        </w:tc>
        <w:tc>
          <w:tcPr>
            <w:tcW w:w="734" w:type="dxa"/>
            <w:shd w:val="clear"/>
            <w:noWrap w:val="0"/>
            <w:vAlign w:val="center"/>
          </w:tcPr>
          <w:p w14:paraId="20909C2A">
            <w:pPr>
              <w:adjustRightInd w:val="0"/>
              <w:snapToGrid w:val="0"/>
              <w:jc w:val="center"/>
              <w:rPr>
                <w:rFonts w:ascii="宋体" w:hAnsi="宋体" w:eastAsia="宋体" w:cs="Times New Roman"/>
                <w:bCs/>
                <w:kern w:val="2"/>
                <w:sz w:val="18"/>
                <w:szCs w:val="18"/>
                <w:lang w:val="en-US" w:eastAsia="zh-CN" w:bidi="ar-SA"/>
              </w:rPr>
            </w:pPr>
          </w:p>
        </w:tc>
        <w:tc>
          <w:tcPr>
            <w:tcW w:w="1100" w:type="dxa"/>
            <w:shd w:val="clear"/>
            <w:noWrap w:val="0"/>
            <w:vAlign w:val="center"/>
          </w:tcPr>
          <w:p w14:paraId="0C2E3CFD">
            <w:pPr>
              <w:adjustRightInd w:val="0"/>
              <w:snapToGrid w:val="0"/>
              <w:jc w:val="center"/>
              <w:rPr>
                <w:rFonts w:ascii="宋体" w:hAnsi="宋体" w:eastAsia="宋体" w:cs="Times New Roman"/>
                <w:bCs/>
                <w:kern w:val="2"/>
                <w:sz w:val="18"/>
                <w:szCs w:val="18"/>
                <w:lang w:val="en-US" w:eastAsia="zh-CN" w:bidi="ar-SA"/>
              </w:rPr>
            </w:pPr>
          </w:p>
        </w:tc>
        <w:tc>
          <w:tcPr>
            <w:tcW w:w="1445" w:type="dxa"/>
            <w:shd w:val="clear"/>
            <w:noWrap w:val="0"/>
            <w:vAlign w:val="center"/>
          </w:tcPr>
          <w:p w14:paraId="56765A0B">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w:t>
            </w:r>
            <w:r>
              <w:rPr>
                <w:rFonts w:ascii="宋体" w:hAnsi="宋体"/>
                <w:bCs/>
                <w:sz w:val="18"/>
                <w:szCs w:val="18"/>
              </w:rPr>
              <w:t>.5.</w:t>
            </w:r>
            <w:r>
              <w:rPr>
                <w:rFonts w:hint="eastAsia" w:ascii="宋体" w:hAnsi="宋体"/>
                <w:bCs/>
                <w:sz w:val="18"/>
                <w:szCs w:val="18"/>
                <w:lang w:val="en-US" w:eastAsia="zh-CN"/>
              </w:rPr>
              <w:t>6.2</w:t>
            </w:r>
          </w:p>
        </w:tc>
      </w:tr>
    </w:tbl>
    <w:p w14:paraId="0F2B7834">
      <w:pPr>
        <w:pStyle w:val="168"/>
        <w:widowControl/>
        <w:numPr>
          <w:ilvl w:val="0"/>
          <w:numId w:val="0"/>
        </w:numPr>
        <w:spacing w:before="156" w:after="156"/>
        <w:ind w:left="567" w:hanging="567"/>
      </w:pPr>
      <w:r>
        <w:br w:type="page"/>
      </w:r>
      <w:r>
        <w:rPr>
          <w:rFonts w:hint="eastAsia"/>
        </w:rPr>
        <w:t>表F.1 公用辅助用房及设备设施安全生产等级评定细则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36"/>
        <w:gridCol w:w="6199"/>
        <w:gridCol w:w="596"/>
        <w:gridCol w:w="596"/>
        <w:gridCol w:w="645"/>
        <w:gridCol w:w="2960"/>
        <w:gridCol w:w="596"/>
        <w:gridCol w:w="1330"/>
        <w:gridCol w:w="1495"/>
      </w:tblGrid>
      <w:tr w14:paraId="0E9715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tcBorders>
              <w:top w:val="single" w:color="auto" w:sz="8" w:space="0"/>
              <w:bottom w:val="single" w:color="auto" w:sz="8" w:space="0"/>
            </w:tcBorders>
            <w:noWrap w:val="0"/>
            <w:vAlign w:val="center"/>
          </w:tcPr>
          <w:p w14:paraId="4DF5DC66">
            <w:pPr>
              <w:adjustRightInd w:val="0"/>
              <w:snapToGrid w:val="0"/>
              <w:jc w:val="center"/>
              <w:rPr>
                <w:rFonts w:ascii="宋体" w:hAnsi="宋体"/>
                <w:sz w:val="18"/>
                <w:szCs w:val="18"/>
              </w:rPr>
            </w:pPr>
            <w:r>
              <w:rPr>
                <w:rFonts w:ascii="宋体" w:hAnsi="宋体"/>
                <w:bCs/>
                <w:sz w:val="18"/>
                <w:szCs w:val="18"/>
              </w:rPr>
              <w:t>序号</w:t>
            </w:r>
          </w:p>
        </w:tc>
        <w:tc>
          <w:tcPr>
            <w:tcW w:w="6199" w:type="dxa"/>
            <w:tcBorders>
              <w:top w:val="single" w:color="auto" w:sz="8" w:space="0"/>
              <w:bottom w:val="single" w:color="auto" w:sz="8" w:space="0"/>
            </w:tcBorders>
            <w:noWrap w:val="0"/>
            <w:vAlign w:val="center"/>
          </w:tcPr>
          <w:p w14:paraId="13BBBC54">
            <w:pPr>
              <w:adjustRightInd w:val="0"/>
              <w:snapToGrid w:val="0"/>
              <w:jc w:val="center"/>
              <w:rPr>
                <w:rFonts w:ascii="宋体" w:hAnsi="宋体"/>
                <w:sz w:val="18"/>
                <w:szCs w:val="18"/>
              </w:rPr>
            </w:pPr>
            <w:r>
              <w:rPr>
                <w:rFonts w:ascii="宋体" w:hAnsi="宋体"/>
                <w:bCs/>
                <w:sz w:val="18"/>
                <w:szCs w:val="18"/>
              </w:rPr>
              <w:t>评定内容</w:t>
            </w:r>
          </w:p>
        </w:tc>
        <w:tc>
          <w:tcPr>
            <w:tcW w:w="596" w:type="dxa"/>
            <w:tcBorders>
              <w:top w:val="single" w:color="auto" w:sz="8" w:space="0"/>
              <w:bottom w:val="single" w:color="auto" w:sz="8" w:space="0"/>
            </w:tcBorders>
            <w:noWrap w:val="0"/>
            <w:vAlign w:val="center"/>
          </w:tcPr>
          <w:p w14:paraId="2254B5E5">
            <w:pPr>
              <w:adjustRightInd w:val="0"/>
              <w:snapToGrid w:val="0"/>
              <w:jc w:val="center"/>
              <w:rPr>
                <w:rFonts w:ascii="宋体" w:hAnsi="宋体"/>
                <w:sz w:val="18"/>
                <w:szCs w:val="18"/>
              </w:rPr>
            </w:pPr>
            <w:r>
              <w:rPr>
                <w:rFonts w:ascii="宋体" w:hAnsi="宋体"/>
                <w:bCs/>
                <w:sz w:val="18"/>
                <w:szCs w:val="18"/>
              </w:rPr>
              <w:t>评定要素分值</w:t>
            </w:r>
          </w:p>
        </w:tc>
        <w:tc>
          <w:tcPr>
            <w:tcW w:w="596" w:type="dxa"/>
            <w:tcBorders>
              <w:top w:val="single" w:color="auto" w:sz="8" w:space="0"/>
              <w:bottom w:val="single" w:color="auto" w:sz="8" w:space="0"/>
            </w:tcBorders>
            <w:noWrap w:val="0"/>
            <w:vAlign w:val="center"/>
          </w:tcPr>
          <w:p w14:paraId="57BF2599">
            <w:pPr>
              <w:adjustRightInd w:val="0"/>
              <w:snapToGrid w:val="0"/>
              <w:jc w:val="center"/>
              <w:rPr>
                <w:rFonts w:ascii="宋体" w:hAnsi="宋体"/>
                <w:sz w:val="18"/>
                <w:szCs w:val="18"/>
              </w:rPr>
            </w:pPr>
            <w:r>
              <w:rPr>
                <w:rFonts w:ascii="宋体" w:hAnsi="宋体"/>
                <w:bCs/>
                <w:sz w:val="18"/>
                <w:szCs w:val="18"/>
              </w:rPr>
              <w:t>评定细项分值</w:t>
            </w:r>
          </w:p>
        </w:tc>
        <w:tc>
          <w:tcPr>
            <w:tcW w:w="645" w:type="dxa"/>
            <w:tcBorders>
              <w:top w:val="single" w:color="auto" w:sz="8" w:space="0"/>
              <w:bottom w:val="single" w:color="auto" w:sz="8" w:space="0"/>
            </w:tcBorders>
            <w:noWrap w:val="0"/>
            <w:vAlign w:val="center"/>
          </w:tcPr>
          <w:p w14:paraId="246AA3D3">
            <w:pPr>
              <w:adjustRightInd w:val="0"/>
              <w:snapToGrid w:val="0"/>
              <w:jc w:val="center"/>
              <w:rPr>
                <w:rFonts w:ascii="宋体" w:hAnsi="宋体"/>
                <w:sz w:val="18"/>
                <w:szCs w:val="18"/>
              </w:rPr>
            </w:pPr>
            <w:r>
              <w:rPr>
                <w:rFonts w:ascii="宋体" w:hAnsi="宋体"/>
                <w:bCs/>
                <w:sz w:val="18"/>
                <w:szCs w:val="18"/>
              </w:rPr>
              <w:t>评定条款分值</w:t>
            </w:r>
          </w:p>
        </w:tc>
        <w:tc>
          <w:tcPr>
            <w:tcW w:w="2960" w:type="dxa"/>
            <w:tcBorders>
              <w:top w:val="single" w:color="auto" w:sz="8" w:space="0"/>
              <w:bottom w:val="single" w:color="auto" w:sz="8" w:space="0"/>
            </w:tcBorders>
            <w:noWrap w:val="0"/>
            <w:vAlign w:val="center"/>
          </w:tcPr>
          <w:p w14:paraId="5E83E1AB">
            <w:pPr>
              <w:adjustRightInd w:val="0"/>
              <w:snapToGrid w:val="0"/>
              <w:jc w:val="center"/>
              <w:rPr>
                <w:rFonts w:ascii="宋体" w:hAnsi="宋体"/>
                <w:sz w:val="18"/>
                <w:szCs w:val="18"/>
              </w:rPr>
            </w:pPr>
            <w:r>
              <w:rPr>
                <w:rFonts w:ascii="宋体" w:hAnsi="宋体"/>
                <w:bCs/>
                <w:sz w:val="18"/>
                <w:szCs w:val="18"/>
              </w:rPr>
              <w:t>评分标准</w:t>
            </w:r>
          </w:p>
        </w:tc>
        <w:tc>
          <w:tcPr>
            <w:tcW w:w="596" w:type="dxa"/>
            <w:tcBorders>
              <w:top w:val="single" w:color="auto" w:sz="8" w:space="0"/>
              <w:bottom w:val="single" w:color="auto" w:sz="8" w:space="0"/>
            </w:tcBorders>
            <w:noWrap w:val="0"/>
            <w:vAlign w:val="center"/>
          </w:tcPr>
          <w:p w14:paraId="6518D9C0">
            <w:pPr>
              <w:adjustRightInd w:val="0"/>
              <w:snapToGrid w:val="0"/>
              <w:jc w:val="center"/>
              <w:rPr>
                <w:rFonts w:ascii="宋体" w:hAnsi="宋体"/>
                <w:sz w:val="18"/>
                <w:szCs w:val="18"/>
              </w:rPr>
            </w:pPr>
            <w:r>
              <w:rPr>
                <w:rFonts w:ascii="宋体" w:hAnsi="宋体"/>
                <w:bCs/>
                <w:sz w:val="18"/>
                <w:szCs w:val="18"/>
              </w:rPr>
              <w:t>评定得分</w:t>
            </w:r>
          </w:p>
        </w:tc>
        <w:tc>
          <w:tcPr>
            <w:tcW w:w="1330" w:type="dxa"/>
            <w:tcBorders>
              <w:top w:val="single" w:color="auto" w:sz="8" w:space="0"/>
              <w:bottom w:val="single" w:color="auto" w:sz="8" w:space="0"/>
            </w:tcBorders>
            <w:noWrap w:val="0"/>
            <w:vAlign w:val="center"/>
          </w:tcPr>
          <w:p w14:paraId="67AD0BC1">
            <w:pPr>
              <w:adjustRightInd w:val="0"/>
              <w:snapToGrid w:val="0"/>
              <w:jc w:val="center"/>
              <w:rPr>
                <w:rFonts w:ascii="宋体" w:hAnsi="宋体"/>
                <w:sz w:val="18"/>
                <w:szCs w:val="18"/>
              </w:rPr>
            </w:pPr>
            <w:r>
              <w:rPr>
                <w:rFonts w:ascii="宋体" w:hAnsi="宋体"/>
                <w:bCs/>
                <w:sz w:val="18"/>
                <w:szCs w:val="18"/>
              </w:rPr>
              <w:t>扣分说明</w:t>
            </w:r>
          </w:p>
        </w:tc>
        <w:tc>
          <w:tcPr>
            <w:tcW w:w="1495" w:type="dxa"/>
            <w:tcBorders>
              <w:top w:val="single" w:color="auto" w:sz="8" w:space="0"/>
              <w:bottom w:val="single" w:color="auto" w:sz="8" w:space="0"/>
            </w:tcBorders>
            <w:noWrap w:val="0"/>
            <w:vAlign w:val="center"/>
          </w:tcPr>
          <w:p w14:paraId="5C239423">
            <w:pPr>
              <w:adjustRightInd w:val="0"/>
              <w:snapToGrid w:val="0"/>
              <w:jc w:val="center"/>
              <w:rPr>
                <w:rFonts w:ascii="宋体" w:hAnsi="宋体"/>
                <w:sz w:val="18"/>
                <w:szCs w:val="18"/>
              </w:rPr>
            </w:pPr>
            <w:r>
              <w:rPr>
                <w:rFonts w:ascii="宋体" w:hAnsi="宋体"/>
                <w:bCs/>
                <w:sz w:val="18"/>
                <w:szCs w:val="18"/>
              </w:rPr>
              <w:t>对应条款编号</w:t>
            </w:r>
          </w:p>
        </w:tc>
      </w:tr>
      <w:tr w14:paraId="595714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36" w:type="dxa"/>
            <w:tcBorders>
              <w:top w:val="single" w:color="auto" w:sz="8" w:space="0"/>
              <w:bottom w:val="single" w:color="auto" w:sz="8" w:space="0"/>
            </w:tcBorders>
            <w:noWrap w:val="0"/>
            <w:vAlign w:val="center"/>
          </w:tcPr>
          <w:p w14:paraId="1427064A">
            <w:pPr>
              <w:adjustRightInd w:val="0"/>
              <w:snapToGrid w:val="0"/>
              <w:jc w:val="center"/>
              <w:rPr>
                <w:rFonts w:hint="default" w:ascii="宋体" w:hAnsi="宋体" w:eastAsia="宋体"/>
                <w:bCs/>
                <w:sz w:val="18"/>
                <w:szCs w:val="18"/>
                <w:lang w:val="en-US" w:eastAsia="zh-CN"/>
              </w:rPr>
            </w:pPr>
          </w:p>
        </w:tc>
        <w:tc>
          <w:tcPr>
            <w:tcW w:w="6199" w:type="dxa"/>
            <w:tcBorders>
              <w:top w:val="single" w:color="auto" w:sz="8" w:space="0"/>
              <w:bottom w:val="single" w:color="auto" w:sz="8" w:space="0"/>
            </w:tcBorders>
            <w:noWrap w:val="0"/>
            <w:vAlign w:val="center"/>
          </w:tcPr>
          <w:p w14:paraId="5C43C989">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d）电动自行车停放场所的停车位应分组设置，每组长度不应大于20 m， 组与组之间应设置高度不低于1.5 m的隔墙分隔，隔墙的耐火极限不应低于 1.00 h；</w:t>
            </w:r>
          </w:p>
          <w:p w14:paraId="411064F0">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e）电动自行车停放场所应配置灭火器；</w:t>
            </w:r>
          </w:p>
          <w:p w14:paraId="401A6871">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f）电动自行车充电区域应采用专用充电设施；</w:t>
            </w:r>
          </w:p>
          <w:p w14:paraId="6B69FEAC">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g）电动自行车充电设施应具备充满自动断电、充电异常自动断电、电池故障自动断电、过载保护、短路保护、剩余电流保护、充电故障报警、功率监测、高温报警等功能并应符合现行有关电动自行车集中充电设施设备技术的要求；</w:t>
            </w:r>
          </w:p>
          <w:p w14:paraId="626DB391">
            <w:pPr>
              <w:adjustRightInd w:val="0"/>
              <w:snapToGrid w:val="0"/>
              <w:ind w:firstLine="0" w:firstLineChars="0"/>
              <w:jc w:val="left"/>
              <w:rPr>
                <w:rFonts w:hint="eastAsia" w:ascii="宋体" w:hAnsi="宋体" w:cs="宋体"/>
                <w:sz w:val="18"/>
                <w:szCs w:val="18"/>
                <w:lang w:val="en-US" w:eastAsia="zh-CN"/>
              </w:rPr>
            </w:pPr>
            <w:r>
              <w:rPr>
                <w:rFonts w:hint="eastAsia" w:ascii="宋体" w:hAnsi="宋体" w:cs="宋体"/>
                <w:sz w:val="18"/>
                <w:szCs w:val="18"/>
                <w:lang w:val="en-US" w:eastAsia="zh-CN"/>
              </w:rPr>
              <w:t>h）电动自行车的充电设施应设置专用配电箱，进线为专用回路并设置专用计量装置。每一分支回路连接的充电插座不应超过5个，并应具备过载、保护、短路保护、剩余电流保护功能。插座应选用不低于10A带保护门的插座。电动自行车停车场内充电插座的间距不应小于 600mm；</w:t>
            </w:r>
          </w:p>
          <w:p w14:paraId="7BB04ABF">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i）电动自行车停放场所的充电设施应具备防撞功能；</w:t>
            </w:r>
          </w:p>
          <w:p w14:paraId="7FBFBAFB">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j）室外电动自行车停放场所的充电设施应具备防水、防尘等防护功能，防护等级不应低于IP55；</w:t>
            </w:r>
          </w:p>
          <w:p w14:paraId="1AE2E008">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k）配电线路应采用金属穿管或金属槽盒敷设；</w:t>
            </w:r>
          </w:p>
          <w:p w14:paraId="557A8A55">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l）电动自行车停放场所应设置电气火灾监控系统，并反馈至消防控制室或有人值守的值班室；</w:t>
            </w:r>
          </w:p>
          <w:p w14:paraId="5C4BF102">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m）电动自行车停放场所应设置视频监控系统；</w:t>
            </w:r>
          </w:p>
          <w:p w14:paraId="6C008F48">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n）电动自行车充电时，充电器应远离可燃物，不得放置在电动自行车坐垫等可燃物上，并确保通风、散热；</w:t>
            </w:r>
          </w:p>
          <w:p w14:paraId="29CEA7A2">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o）配电箱、插座、明敷的电气线路1m范围内不应有可燃物；</w:t>
            </w:r>
          </w:p>
          <w:p w14:paraId="39C943F1">
            <w:pPr>
              <w:adjustRightInd w:val="0"/>
              <w:snapToGrid w:val="0"/>
              <w:ind w:firstLine="0" w:firstLineChars="0"/>
              <w:jc w:val="left"/>
              <w:rPr>
                <w:rFonts w:hint="eastAsia" w:ascii="宋体" w:hAnsi="宋体" w:cs="宋体"/>
                <w:sz w:val="18"/>
                <w:szCs w:val="18"/>
                <w:lang w:val="en-US" w:eastAsia="zh-CN"/>
              </w:rPr>
            </w:pPr>
            <w:r>
              <w:rPr>
                <w:rFonts w:hint="eastAsia" w:ascii="宋体" w:hAnsi="宋体" w:cs="宋体"/>
                <w:sz w:val="18"/>
                <w:szCs w:val="18"/>
                <w:lang w:val="en-US" w:eastAsia="zh-CN"/>
              </w:rPr>
              <w:t>p）电动自行车停放、充电场所应通风良好。</w:t>
            </w:r>
          </w:p>
        </w:tc>
        <w:tc>
          <w:tcPr>
            <w:tcW w:w="596" w:type="dxa"/>
            <w:tcBorders>
              <w:top w:val="single" w:color="auto" w:sz="8" w:space="0"/>
              <w:bottom w:val="single" w:color="auto" w:sz="8" w:space="0"/>
            </w:tcBorders>
            <w:noWrap w:val="0"/>
            <w:vAlign w:val="center"/>
          </w:tcPr>
          <w:p w14:paraId="5E116D8C">
            <w:pPr>
              <w:adjustRightInd w:val="0"/>
              <w:snapToGrid w:val="0"/>
              <w:jc w:val="center"/>
              <w:rPr>
                <w:rFonts w:ascii="宋体" w:hAnsi="宋体"/>
                <w:bCs/>
                <w:sz w:val="18"/>
                <w:szCs w:val="18"/>
              </w:rPr>
            </w:pPr>
          </w:p>
        </w:tc>
        <w:tc>
          <w:tcPr>
            <w:tcW w:w="596" w:type="dxa"/>
            <w:tcBorders>
              <w:top w:val="single" w:color="auto" w:sz="8" w:space="0"/>
              <w:bottom w:val="single" w:color="auto" w:sz="8" w:space="0"/>
            </w:tcBorders>
            <w:noWrap w:val="0"/>
            <w:vAlign w:val="center"/>
          </w:tcPr>
          <w:p w14:paraId="53F88CC8">
            <w:pPr>
              <w:adjustRightInd w:val="0"/>
              <w:snapToGrid w:val="0"/>
              <w:jc w:val="center"/>
              <w:rPr>
                <w:rFonts w:ascii="宋体" w:hAnsi="宋体"/>
                <w:bCs/>
                <w:sz w:val="18"/>
                <w:szCs w:val="18"/>
              </w:rPr>
            </w:pPr>
          </w:p>
        </w:tc>
        <w:tc>
          <w:tcPr>
            <w:tcW w:w="645" w:type="dxa"/>
            <w:tcBorders>
              <w:top w:val="single" w:color="auto" w:sz="8" w:space="0"/>
              <w:bottom w:val="single" w:color="auto" w:sz="8" w:space="0"/>
            </w:tcBorders>
            <w:noWrap w:val="0"/>
            <w:vAlign w:val="center"/>
          </w:tcPr>
          <w:p w14:paraId="2D961C67">
            <w:pPr>
              <w:adjustRightInd w:val="0"/>
              <w:snapToGrid w:val="0"/>
              <w:jc w:val="center"/>
              <w:rPr>
                <w:rFonts w:hint="default" w:ascii="宋体" w:hAnsi="宋体" w:eastAsia="宋体"/>
                <w:bCs/>
                <w:sz w:val="18"/>
                <w:szCs w:val="18"/>
                <w:lang w:val="en-US" w:eastAsia="zh-CN"/>
              </w:rPr>
            </w:pPr>
          </w:p>
        </w:tc>
        <w:tc>
          <w:tcPr>
            <w:tcW w:w="2960" w:type="dxa"/>
            <w:tcBorders>
              <w:top w:val="single" w:color="auto" w:sz="8" w:space="0"/>
              <w:bottom w:val="single" w:color="auto" w:sz="8" w:space="0"/>
            </w:tcBorders>
            <w:noWrap w:val="0"/>
            <w:vAlign w:val="center"/>
          </w:tcPr>
          <w:p w14:paraId="34096242">
            <w:pPr>
              <w:adjustRightInd w:val="0"/>
              <w:snapToGrid w:val="0"/>
              <w:rPr>
                <w:rFonts w:ascii="宋体" w:hAnsi="宋体"/>
                <w:bCs/>
                <w:sz w:val="18"/>
                <w:szCs w:val="18"/>
              </w:rPr>
            </w:pPr>
          </w:p>
        </w:tc>
        <w:tc>
          <w:tcPr>
            <w:tcW w:w="596" w:type="dxa"/>
            <w:tcBorders>
              <w:top w:val="single" w:color="auto" w:sz="8" w:space="0"/>
              <w:bottom w:val="single" w:color="auto" w:sz="8" w:space="0"/>
            </w:tcBorders>
            <w:noWrap w:val="0"/>
            <w:vAlign w:val="center"/>
          </w:tcPr>
          <w:p w14:paraId="14EB2F7B">
            <w:pPr>
              <w:adjustRightInd w:val="0"/>
              <w:snapToGrid w:val="0"/>
              <w:jc w:val="center"/>
              <w:rPr>
                <w:rFonts w:ascii="宋体" w:hAnsi="宋体"/>
                <w:bCs/>
                <w:sz w:val="18"/>
                <w:szCs w:val="18"/>
              </w:rPr>
            </w:pPr>
          </w:p>
        </w:tc>
        <w:tc>
          <w:tcPr>
            <w:tcW w:w="1330" w:type="dxa"/>
            <w:tcBorders>
              <w:top w:val="single" w:color="auto" w:sz="8" w:space="0"/>
              <w:bottom w:val="single" w:color="auto" w:sz="8" w:space="0"/>
            </w:tcBorders>
            <w:noWrap w:val="0"/>
            <w:vAlign w:val="center"/>
          </w:tcPr>
          <w:p w14:paraId="1AC7A338">
            <w:pPr>
              <w:adjustRightInd w:val="0"/>
              <w:snapToGrid w:val="0"/>
              <w:jc w:val="center"/>
              <w:rPr>
                <w:rFonts w:ascii="宋体" w:hAnsi="宋体"/>
                <w:bCs/>
                <w:sz w:val="18"/>
                <w:szCs w:val="18"/>
              </w:rPr>
            </w:pPr>
          </w:p>
        </w:tc>
        <w:tc>
          <w:tcPr>
            <w:tcW w:w="1495" w:type="dxa"/>
            <w:tcBorders>
              <w:top w:val="single" w:color="auto" w:sz="8" w:space="0"/>
              <w:bottom w:val="single" w:color="auto" w:sz="8" w:space="0"/>
            </w:tcBorders>
            <w:noWrap w:val="0"/>
            <w:vAlign w:val="center"/>
          </w:tcPr>
          <w:p w14:paraId="3ADFA92D">
            <w:pPr>
              <w:adjustRightInd w:val="0"/>
              <w:snapToGrid w:val="0"/>
              <w:jc w:val="center"/>
              <w:rPr>
                <w:rFonts w:ascii="宋体" w:hAnsi="宋体"/>
                <w:bCs/>
                <w:sz w:val="18"/>
                <w:szCs w:val="18"/>
              </w:rPr>
            </w:pPr>
          </w:p>
        </w:tc>
      </w:tr>
      <w:tr w14:paraId="7C670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36" w:type="dxa"/>
            <w:tcBorders>
              <w:top w:val="single" w:color="auto" w:sz="8" w:space="0"/>
              <w:bottom w:val="single" w:color="auto" w:sz="8" w:space="0"/>
            </w:tcBorders>
            <w:shd w:val="clear" w:color="auto" w:fill="auto"/>
            <w:noWrap w:val="0"/>
            <w:vAlign w:val="center"/>
          </w:tcPr>
          <w:p w14:paraId="21367B27">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sz w:val="18"/>
                <w:szCs w:val="18"/>
              </w:rPr>
              <w:t>5.</w:t>
            </w:r>
            <w:r>
              <w:rPr>
                <w:rFonts w:hint="eastAsia" w:ascii="宋体" w:hAnsi="宋体"/>
                <w:sz w:val="18"/>
                <w:szCs w:val="18"/>
                <w:lang w:val="en-US" w:eastAsia="zh-CN"/>
              </w:rPr>
              <w:t>6.3</w:t>
            </w:r>
          </w:p>
        </w:tc>
        <w:tc>
          <w:tcPr>
            <w:tcW w:w="6199" w:type="dxa"/>
            <w:tcBorders>
              <w:top w:val="single" w:color="auto" w:sz="8" w:space="0"/>
            </w:tcBorders>
            <w:shd w:val="clear" w:color="auto" w:fill="auto"/>
            <w:noWrap w:val="0"/>
            <w:vAlign w:val="center"/>
          </w:tcPr>
          <w:p w14:paraId="6753849C">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电动汽车充电应符合下列要求：</w:t>
            </w:r>
          </w:p>
          <w:p w14:paraId="5FA52FD5">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a）不应靠近有潜在火灾或爆炸危险的地方；</w:t>
            </w:r>
          </w:p>
          <w:p w14:paraId="1EB8D578">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b）不应设在低洼和有可能积水的区域；</w:t>
            </w:r>
          </w:p>
          <w:p w14:paraId="645F3A47">
            <w:pPr>
              <w:adjustRightInd w:val="0"/>
              <w:snapToGrid w:val="0"/>
              <w:rPr>
                <w:rFonts w:hint="eastAsia" w:ascii="宋体" w:hAnsi="宋体" w:eastAsia="宋体" w:cs="Times New Roman"/>
                <w:kern w:val="0"/>
                <w:sz w:val="18"/>
                <w:szCs w:val="18"/>
                <w:lang w:val="en-US" w:eastAsia="zh-CN" w:bidi="ar-SA"/>
              </w:rPr>
            </w:pPr>
            <w:r>
              <w:rPr>
                <w:rFonts w:hint="eastAsia" w:ascii="宋体" w:hAnsi="宋体" w:cs="宋体"/>
                <w:sz w:val="18"/>
                <w:szCs w:val="18"/>
                <w:lang w:val="en-US" w:eastAsia="zh-CN"/>
              </w:rPr>
              <w:t>c）充电停车区域应设置停车充电引导系统，引导系统包括入口指示标识、道路引导标识和停车充电标识，入口指示标识应设置在主要出入口附近，停车充电标识应在停车位地面和上方设置；</w:t>
            </w:r>
          </w:p>
        </w:tc>
        <w:tc>
          <w:tcPr>
            <w:tcW w:w="596" w:type="dxa"/>
            <w:tcBorders>
              <w:top w:val="single" w:color="auto" w:sz="8" w:space="0"/>
              <w:bottom w:val="single" w:color="auto" w:sz="8" w:space="0"/>
            </w:tcBorders>
            <w:shd w:val="clear" w:color="auto" w:fill="auto"/>
            <w:noWrap w:val="0"/>
            <w:vAlign w:val="center"/>
          </w:tcPr>
          <w:p w14:paraId="7CB828AB">
            <w:pPr>
              <w:adjustRightInd w:val="0"/>
              <w:snapToGrid w:val="0"/>
              <w:jc w:val="center"/>
              <w:rPr>
                <w:rFonts w:ascii="宋体" w:hAnsi="宋体" w:eastAsia="宋体" w:cs="Times New Roman"/>
                <w:bCs/>
                <w:kern w:val="2"/>
                <w:sz w:val="18"/>
                <w:szCs w:val="18"/>
                <w:lang w:val="en-US" w:eastAsia="zh-CN" w:bidi="ar-SA"/>
              </w:rPr>
            </w:pPr>
          </w:p>
        </w:tc>
        <w:tc>
          <w:tcPr>
            <w:tcW w:w="596" w:type="dxa"/>
            <w:tcBorders>
              <w:top w:val="single" w:color="auto" w:sz="8" w:space="0"/>
              <w:bottom w:val="single" w:color="auto" w:sz="8" w:space="0"/>
            </w:tcBorders>
            <w:shd w:val="clear" w:color="auto" w:fill="auto"/>
            <w:noWrap w:val="0"/>
            <w:vAlign w:val="center"/>
          </w:tcPr>
          <w:p w14:paraId="5EFA99FC">
            <w:pPr>
              <w:adjustRightInd w:val="0"/>
              <w:snapToGrid w:val="0"/>
              <w:jc w:val="center"/>
              <w:rPr>
                <w:rFonts w:ascii="宋体" w:hAnsi="宋体" w:eastAsia="宋体" w:cs="Times New Roman"/>
                <w:bCs/>
                <w:kern w:val="2"/>
                <w:sz w:val="18"/>
                <w:szCs w:val="18"/>
                <w:lang w:val="en-US" w:eastAsia="zh-CN" w:bidi="ar-SA"/>
              </w:rPr>
            </w:pPr>
          </w:p>
        </w:tc>
        <w:tc>
          <w:tcPr>
            <w:tcW w:w="645" w:type="dxa"/>
            <w:tcBorders>
              <w:top w:val="single" w:color="auto" w:sz="8" w:space="0"/>
              <w:bottom w:val="single" w:color="auto" w:sz="8" w:space="0"/>
            </w:tcBorders>
            <w:shd w:val="clear" w:color="auto" w:fill="auto"/>
            <w:noWrap w:val="0"/>
            <w:vAlign w:val="center"/>
          </w:tcPr>
          <w:p w14:paraId="5A713C44">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5</w:t>
            </w:r>
          </w:p>
        </w:tc>
        <w:tc>
          <w:tcPr>
            <w:tcW w:w="2960" w:type="dxa"/>
            <w:tcBorders>
              <w:top w:val="single" w:color="auto" w:sz="8" w:space="0"/>
              <w:bottom w:val="single" w:color="auto" w:sz="8" w:space="0"/>
            </w:tcBorders>
            <w:shd w:val="clear" w:color="auto" w:fill="auto"/>
            <w:noWrap w:val="0"/>
            <w:vAlign w:val="center"/>
          </w:tcPr>
          <w:p w14:paraId="3575F9B0">
            <w:pPr>
              <w:adjustRightInd w:val="0"/>
              <w:snapToGrid w:val="0"/>
              <w:rPr>
                <w:rFonts w:hint="eastAsia" w:ascii="宋体" w:hAnsi="宋体" w:eastAsia="宋体" w:cs="Times New Roman"/>
                <w:bCs/>
                <w:kern w:val="2"/>
                <w:sz w:val="18"/>
                <w:szCs w:val="18"/>
                <w:lang w:val="en-US" w:eastAsia="zh-CN" w:bidi="ar-SA"/>
              </w:rPr>
            </w:pPr>
            <w:r>
              <w:rPr>
                <w:rFonts w:ascii="宋体" w:hAnsi="宋体"/>
                <w:bCs/>
                <w:sz w:val="18"/>
                <w:szCs w:val="18"/>
              </w:rPr>
              <w:t>一</w:t>
            </w:r>
            <w:r>
              <w:rPr>
                <w:rFonts w:hint="eastAsia" w:ascii="宋体" w:hAnsi="宋体"/>
                <w:sz w:val="18"/>
                <w:szCs w:val="18"/>
              </w:rPr>
              <w:t>处</w:t>
            </w:r>
            <w:r>
              <w:rPr>
                <w:rFonts w:ascii="宋体" w:hAnsi="宋体"/>
                <w:bCs/>
                <w:sz w:val="18"/>
                <w:szCs w:val="18"/>
              </w:rPr>
              <w:t>不符合</w:t>
            </w:r>
            <w:r>
              <w:rPr>
                <w:rFonts w:hint="eastAsia" w:ascii="宋体" w:hAnsi="宋体"/>
                <w:bCs/>
                <w:sz w:val="18"/>
                <w:szCs w:val="18"/>
              </w:rPr>
              <w:t>扣</w:t>
            </w:r>
            <w:r>
              <w:rPr>
                <w:rFonts w:hint="eastAsia" w:ascii="宋体" w:hAnsi="宋体"/>
                <w:bCs/>
                <w:sz w:val="18"/>
                <w:szCs w:val="18"/>
                <w:lang w:val="en-US" w:eastAsia="zh-CN"/>
              </w:rPr>
              <w:t>2</w:t>
            </w:r>
            <w:r>
              <w:rPr>
                <w:rFonts w:hint="eastAsia" w:ascii="宋体" w:hAnsi="宋体"/>
                <w:bCs/>
                <w:sz w:val="18"/>
                <w:szCs w:val="18"/>
              </w:rPr>
              <w:t>分。</w:t>
            </w:r>
          </w:p>
        </w:tc>
        <w:tc>
          <w:tcPr>
            <w:tcW w:w="596" w:type="dxa"/>
            <w:tcBorders>
              <w:top w:val="single" w:color="auto" w:sz="8" w:space="0"/>
              <w:bottom w:val="single" w:color="auto" w:sz="8" w:space="0"/>
            </w:tcBorders>
            <w:shd w:val="clear" w:color="auto" w:fill="auto"/>
            <w:noWrap w:val="0"/>
            <w:vAlign w:val="center"/>
          </w:tcPr>
          <w:p w14:paraId="67ABE8E3">
            <w:pPr>
              <w:adjustRightInd w:val="0"/>
              <w:snapToGrid w:val="0"/>
              <w:jc w:val="center"/>
              <w:rPr>
                <w:rFonts w:ascii="宋体" w:hAnsi="宋体" w:eastAsia="宋体" w:cs="Times New Roman"/>
                <w:bCs/>
                <w:kern w:val="2"/>
                <w:sz w:val="18"/>
                <w:szCs w:val="18"/>
                <w:lang w:val="en-US" w:eastAsia="zh-CN" w:bidi="ar-SA"/>
              </w:rPr>
            </w:pPr>
          </w:p>
        </w:tc>
        <w:tc>
          <w:tcPr>
            <w:tcW w:w="1330" w:type="dxa"/>
            <w:tcBorders>
              <w:top w:val="single" w:color="auto" w:sz="8" w:space="0"/>
              <w:bottom w:val="single" w:color="auto" w:sz="8" w:space="0"/>
            </w:tcBorders>
            <w:shd w:val="clear" w:color="auto" w:fill="auto"/>
            <w:noWrap w:val="0"/>
            <w:vAlign w:val="center"/>
          </w:tcPr>
          <w:p w14:paraId="1895EA0F">
            <w:pPr>
              <w:adjustRightInd w:val="0"/>
              <w:snapToGrid w:val="0"/>
              <w:jc w:val="center"/>
              <w:rPr>
                <w:rFonts w:ascii="宋体" w:hAnsi="宋体" w:eastAsia="宋体" w:cs="Times New Roman"/>
                <w:bCs/>
                <w:kern w:val="2"/>
                <w:sz w:val="18"/>
                <w:szCs w:val="18"/>
                <w:lang w:val="en-US" w:eastAsia="zh-CN" w:bidi="ar-SA"/>
              </w:rPr>
            </w:pPr>
          </w:p>
        </w:tc>
        <w:tc>
          <w:tcPr>
            <w:tcW w:w="1495" w:type="dxa"/>
            <w:tcBorders>
              <w:top w:val="single" w:color="auto" w:sz="8" w:space="0"/>
              <w:bottom w:val="single" w:color="auto" w:sz="8" w:space="0"/>
            </w:tcBorders>
            <w:shd w:val="clear" w:color="auto" w:fill="auto"/>
            <w:noWrap w:val="0"/>
            <w:vAlign w:val="center"/>
          </w:tcPr>
          <w:p w14:paraId="207F720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4.5</w:t>
            </w:r>
            <w:r>
              <w:rPr>
                <w:rFonts w:ascii="宋体" w:hAnsi="宋体"/>
                <w:bCs/>
                <w:sz w:val="18"/>
                <w:szCs w:val="18"/>
              </w:rPr>
              <w:t>.</w:t>
            </w:r>
            <w:r>
              <w:rPr>
                <w:rFonts w:hint="eastAsia" w:ascii="宋体" w:hAnsi="宋体"/>
                <w:bCs/>
                <w:sz w:val="18"/>
                <w:szCs w:val="18"/>
                <w:lang w:val="en-US" w:eastAsia="zh-CN"/>
              </w:rPr>
              <w:t>6.3</w:t>
            </w:r>
          </w:p>
        </w:tc>
      </w:tr>
    </w:tbl>
    <w:p w14:paraId="23D2970A">
      <w:pPr>
        <w:pStyle w:val="168"/>
        <w:widowControl/>
        <w:numPr>
          <w:ilvl w:val="0"/>
          <w:numId w:val="0"/>
        </w:numPr>
        <w:spacing w:before="156" w:after="156"/>
        <w:ind w:left="567" w:hanging="567"/>
        <w:jc w:val="both"/>
      </w:pPr>
    </w:p>
    <w:p w14:paraId="6E367B14">
      <w:pPr>
        <w:pStyle w:val="168"/>
        <w:widowControl/>
        <w:numPr>
          <w:ilvl w:val="0"/>
          <w:numId w:val="0"/>
        </w:numPr>
        <w:spacing w:before="156" w:after="156"/>
        <w:ind w:left="567" w:hanging="567"/>
      </w:pP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6322"/>
        <w:gridCol w:w="605"/>
        <w:gridCol w:w="605"/>
        <w:gridCol w:w="654"/>
        <w:gridCol w:w="3018"/>
        <w:gridCol w:w="605"/>
        <w:gridCol w:w="1373"/>
        <w:gridCol w:w="1311"/>
      </w:tblGrid>
      <w:tr w14:paraId="46E58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8" w:space="0"/>
              <w:bottom w:val="single" w:color="auto" w:sz="8" w:space="0"/>
            </w:tcBorders>
            <w:noWrap w:val="0"/>
            <w:vAlign w:val="center"/>
          </w:tcPr>
          <w:p w14:paraId="37572855">
            <w:pPr>
              <w:adjustRightInd w:val="0"/>
              <w:snapToGrid w:val="0"/>
              <w:jc w:val="center"/>
              <w:rPr>
                <w:rFonts w:ascii="宋体" w:hAnsi="宋体"/>
                <w:sz w:val="18"/>
                <w:szCs w:val="18"/>
              </w:rPr>
            </w:pPr>
            <w:r>
              <w:rPr>
                <w:rFonts w:ascii="宋体" w:hAnsi="宋体"/>
                <w:bCs/>
                <w:sz w:val="18"/>
                <w:szCs w:val="18"/>
              </w:rPr>
              <w:t>序号</w:t>
            </w:r>
          </w:p>
        </w:tc>
        <w:tc>
          <w:tcPr>
            <w:tcW w:w="6322" w:type="dxa"/>
            <w:tcBorders>
              <w:top w:val="single" w:color="auto" w:sz="8" w:space="0"/>
              <w:bottom w:val="single" w:color="auto" w:sz="8" w:space="0"/>
            </w:tcBorders>
            <w:noWrap w:val="0"/>
            <w:vAlign w:val="center"/>
          </w:tcPr>
          <w:p w14:paraId="455CA96D">
            <w:pPr>
              <w:adjustRightInd w:val="0"/>
              <w:snapToGrid w:val="0"/>
              <w:jc w:val="center"/>
              <w:rPr>
                <w:rFonts w:ascii="宋体" w:hAnsi="宋体"/>
                <w:sz w:val="18"/>
                <w:szCs w:val="18"/>
              </w:rPr>
            </w:pPr>
            <w:r>
              <w:rPr>
                <w:rFonts w:ascii="宋体" w:hAnsi="宋体"/>
                <w:bCs/>
                <w:sz w:val="18"/>
                <w:szCs w:val="18"/>
              </w:rPr>
              <w:t>评定内容</w:t>
            </w:r>
          </w:p>
        </w:tc>
        <w:tc>
          <w:tcPr>
            <w:tcW w:w="605" w:type="dxa"/>
            <w:tcBorders>
              <w:top w:val="single" w:color="auto" w:sz="8" w:space="0"/>
              <w:bottom w:val="single" w:color="auto" w:sz="8" w:space="0"/>
            </w:tcBorders>
            <w:noWrap w:val="0"/>
            <w:vAlign w:val="center"/>
          </w:tcPr>
          <w:p w14:paraId="52CFB0BA">
            <w:pPr>
              <w:adjustRightInd w:val="0"/>
              <w:snapToGrid w:val="0"/>
              <w:jc w:val="center"/>
              <w:rPr>
                <w:rFonts w:ascii="宋体" w:hAnsi="宋体"/>
                <w:sz w:val="18"/>
                <w:szCs w:val="18"/>
              </w:rPr>
            </w:pPr>
            <w:r>
              <w:rPr>
                <w:rFonts w:ascii="宋体" w:hAnsi="宋体"/>
                <w:bCs/>
                <w:sz w:val="18"/>
                <w:szCs w:val="18"/>
              </w:rPr>
              <w:t>评定要素分值</w:t>
            </w:r>
          </w:p>
        </w:tc>
        <w:tc>
          <w:tcPr>
            <w:tcW w:w="605" w:type="dxa"/>
            <w:tcBorders>
              <w:top w:val="single" w:color="auto" w:sz="8" w:space="0"/>
              <w:bottom w:val="single" w:color="auto" w:sz="8" w:space="0"/>
            </w:tcBorders>
            <w:noWrap w:val="0"/>
            <w:vAlign w:val="center"/>
          </w:tcPr>
          <w:p w14:paraId="23EA40CC">
            <w:pPr>
              <w:adjustRightInd w:val="0"/>
              <w:snapToGrid w:val="0"/>
              <w:jc w:val="center"/>
              <w:rPr>
                <w:rFonts w:ascii="宋体" w:hAnsi="宋体"/>
                <w:sz w:val="18"/>
                <w:szCs w:val="18"/>
              </w:rPr>
            </w:pPr>
            <w:r>
              <w:rPr>
                <w:rFonts w:ascii="宋体" w:hAnsi="宋体"/>
                <w:bCs/>
                <w:sz w:val="18"/>
                <w:szCs w:val="18"/>
              </w:rPr>
              <w:t>评定细项分值</w:t>
            </w:r>
          </w:p>
        </w:tc>
        <w:tc>
          <w:tcPr>
            <w:tcW w:w="654" w:type="dxa"/>
            <w:tcBorders>
              <w:top w:val="single" w:color="auto" w:sz="8" w:space="0"/>
              <w:bottom w:val="single" w:color="auto" w:sz="8" w:space="0"/>
            </w:tcBorders>
            <w:noWrap w:val="0"/>
            <w:vAlign w:val="center"/>
          </w:tcPr>
          <w:p w14:paraId="292989FA">
            <w:pPr>
              <w:adjustRightInd w:val="0"/>
              <w:snapToGrid w:val="0"/>
              <w:jc w:val="center"/>
              <w:rPr>
                <w:rFonts w:ascii="宋体" w:hAnsi="宋体"/>
                <w:sz w:val="18"/>
                <w:szCs w:val="18"/>
              </w:rPr>
            </w:pPr>
            <w:r>
              <w:rPr>
                <w:rFonts w:ascii="宋体" w:hAnsi="宋体"/>
                <w:bCs/>
                <w:sz w:val="18"/>
                <w:szCs w:val="18"/>
              </w:rPr>
              <w:t>评定条款分值</w:t>
            </w:r>
          </w:p>
        </w:tc>
        <w:tc>
          <w:tcPr>
            <w:tcW w:w="3018" w:type="dxa"/>
            <w:tcBorders>
              <w:top w:val="single" w:color="auto" w:sz="8" w:space="0"/>
              <w:bottom w:val="single" w:color="auto" w:sz="8" w:space="0"/>
            </w:tcBorders>
            <w:noWrap w:val="0"/>
            <w:vAlign w:val="center"/>
          </w:tcPr>
          <w:p w14:paraId="15907310">
            <w:pPr>
              <w:adjustRightInd w:val="0"/>
              <w:snapToGrid w:val="0"/>
              <w:jc w:val="center"/>
              <w:rPr>
                <w:rFonts w:ascii="宋体" w:hAnsi="宋体"/>
                <w:sz w:val="18"/>
                <w:szCs w:val="18"/>
              </w:rPr>
            </w:pPr>
            <w:r>
              <w:rPr>
                <w:rFonts w:ascii="宋体" w:hAnsi="宋体"/>
                <w:bCs/>
                <w:sz w:val="18"/>
                <w:szCs w:val="18"/>
              </w:rPr>
              <w:t>评分标准</w:t>
            </w:r>
          </w:p>
        </w:tc>
        <w:tc>
          <w:tcPr>
            <w:tcW w:w="605" w:type="dxa"/>
            <w:tcBorders>
              <w:top w:val="single" w:color="auto" w:sz="8" w:space="0"/>
              <w:bottom w:val="single" w:color="auto" w:sz="8" w:space="0"/>
            </w:tcBorders>
            <w:noWrap w:val="0"/>
            <w:vAlign w:val="center"/>
          </w:tcPr>
          <w:p w14:paraId="47598167">
            <w:pPr>
              <w:adjustRightInd w:val="0"/>
              <w:snapToGrid w:val="0"/>
              <w:jc w:val="center"/>
              <w:rPr>
                <w:rFonts w:ascii="宋体" w:hAnsi="宋体"/>
                <w:sz w:val="18"/>
                <w:szCs w:val="18"/>
              </w:rPr>
            </w:pPr>
            <w:r>
              <w:rPr>
                <w:rFonts w:ascii="宋体" w:hAnsi="宋体"/>
                <w:bCs/>
                <w:sz w:val="18"/>
                <w:szCs w:val="18"/>
              </w:rPr>
              <w:t>评定得分</w:t>
            </w:r>
          </w:p>
        </w:tc>
        <w:tc>
          <w:tcPr>
            <w:tcW w:w="1373" w:type="dxa"/>
            <w:tcBorders>
              <w:top w:val="single" w:color="auto" w:sz="8" w:space="0"/>
              <w:bottom w:val="single" w:color="auto" w:sz="8" w:space="0"/>
            </w:tcBorders>
            <w:noWrap w:val="0"/>
            <w:vAlign w:val="center"/>
          </w:tcPr>
          <w:p w14:paraId="0C5AFB50">
            <w:pPr>
              <w:adjustRightInd w:val="0"/>
              <w:snapToGrid w:val="0"/>
              <w:jc w:val="center"/>
              <w:rPr>
                <w:rFonts w:ascii="宋体" w:hAnsi="宋体"/>
                <w:sz w:val="18"/>
                <w:szCs w:val="18"/>
              </w:rPr>
            </w:pPr>
            <w:r>
              <w:rPr>
                <w:rFonts w:ascii="宋体" w:hAnsi="宋体"/>
                <w:bCs/>
                <w:sz w:val="18"/>
                <w:szCs w:val="18"/>
              </w:rPr>
              <w:t>扣分说明</w:t>
            </w:r>
          </w:p>
        </w:tc>
        <w:tc>
          <w:tcPr>
            <w:tcW w:w="1311" w:type="dxa"/>
            <w:tcBorders>
              <w:top w:val="single" w:color="auto" w:sz="8" w:space="0"/>
              <w:bottom w:val="single" w:color="auto" w:sz="8" w:space="0"/>
            </w:tcBorders>
            <w:noWrap w:val="0"/>
            <w:vAlign w:val="center"/>
          </w:tcPr>
          <w:p w14:paraId="4486966D">
            <w:pPr>
              <w:adjustRightInd w:val="0"/>
              <w:snapToGrid w:val="0"/>
              <w:jc w:val="center"/>
              <w:rPr>
                <w:rFonts w:ascii="宋体" w:hAnsi="宋体"/>
                <w:sz w:val="18"/>
                <w:szCs w:val="18"/>
              </w:rPr>
            </w:pPr>
            <w:r>
              <w:rPr>
                <w:rFonts w:ascii="宋体" w:hAnsi="宋体"/>
                <w:bCs/>
                <w:sz w:val="18"/>
                <w:szCs w:val="18"/>
              </w:rPr>
              <w:t>对应条款编号</w:t>
            </w:r>
          </w:p>
        </w:tc>
      </w:tr>
      <w:tr w14:paraId="279A15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8" w:space="0"/>
              <w:bottom w:val="single" w:color="auto" w:sz="8" w:space="0"/>
            </w:tcBorders>
            <w:shd w:val="clear" w:color="auto" w:fill="auto"/>
            <w:noWrap w:val="0"/>
            <w:vAlign w:val="center"/>
          </w:tcPr>
          <w:p w14:paraId="5A12257B">
            <w:pPr>
              <w:adjustRightInd w:val="0"/>
              <w:snapToGrid w:val="0"/>
              <w:jc w:val="center"/>
              <w:rPr>
                <w:rFonts w:hint="default" w:ascii="宋体" w:hAnsi="宋体" w:eastAsia="宋体" w:cs="Times New Roman"/>
                <w:bCs/>
                <w:kern w:val="2"/>
                <w:sz w:val="18"/>
                <w:szCs w:val="18"/>
                <w:lang w:val="en-US" w:eastAsia="zh-CN" w:bidi="ar-SA"/>
              </w:rPr>
            </w:pPr>
          </w:p>
        </w:tc>
        <w:tc>
          <w:tcPr>
            <w:tcW w:w="6322" w:type="dxa"/>
            <w:tcBorders>
              <w:top w:val="single" w:color="auto" w:sz="8" w:space="0"/>
              <w:bottom w:val="single" w:color="auto" w:sz="8" w:space="0"/>
            </w:tcBorders>
            <w:shd w:val="clear" w:color="auto" w:fill="auto"/>
            <w:noWrap w:val="0"/>
            <w:vAlign w:val="center"/>
          </w:tcPr>
          <w:p w14:paraId="775752BA">
            <w:pPr>
              <w:adjustRightInd w:val="0"/>
              <w:snapToGrid w:val="0"/>
              <w:rPr>
                <w:rFonts w:hint="eastAsia" w:ascii="宋体" w:hAnsi="宋体" w:cs="宋体"/>
                <w:sz w:val="18"/>
                <w:szCs w:val="18"/>
                <w:lang w:val="en-US" w:eastAsia="zh-CN"/>
              </w:rPr>
            </w:pPr>
            <w:r>
              <w:rPr>
                <w:rFonts w:hint="eastAsia" w:ascii="宋体" w:hAnsi="宋体" w:cs="宋体"/>
                <w:sz w:val="18"/>
                <w:szCs w:val="18"/>
                <w:lang w:val="en-US" w:eastAsia="zh-CN"/>
              </w:rPr>
              <w:t>d）应具有剩余电流保护功能，其剩余电流保护额定动作电流不大于30 mA，动作时间不大于0.1 s；</w:t>
            </w:r>
          </w:p>
          <w:p w14:paraId="511A1517">
            <w:pPr>
              <w:widowControl/>
              <w:tabs>
                <w:tab w:val="center" w:pos="4201"/>
                <w:tab w:val="right" w:leader="dot" w:pos="9298"/>
              </w:tabs>
              <w:autoSpaceDE w:val="0"/>
              <w:autoSpaceDN w:val="0"/>
              <w:snapToGrid w:val="0"/>
              <w:ind w:right="34" w:rightChars="0"/>
              <w:rPr>
                <w:rFonts w:hint="eastAsia" w:ascii="宋体" w:hAnsi="宋体" w:eastAsia="宋体" w:cs="Times New Roman"/>
                <w:kern w:val="0"/>
                <w:sz w:val="18"/>
                <w:szCs w:val="18"/>
                <w:lang w:val="en-US" w:eastAsia="zh-CN" w:bidi="ar-SA"/>
              </w:rPr>
            </w:pPr>
            <w:r>
              <w:rPr>
                <w:rFonts w:hint="eastAsia" w:ascii="宋体" w:hAnsi="宋体" w:cs="宋体"/>
                <w:sz w:val="18"/>
                <w:szCs w:val="18"/>
                <w:lang w:val="en-US" w:eastAsia="zh-CN"/>
              </w:rPr>
              <w:t>e）充电设施电气设备的工作接地、保护接地、防雷接地共用一套接地装置，共用接地装置的接地电阻不大于4 Ω。</w:t>
            </w:r>
          </w:p>
        </w:tc>
        <w:tc>
          <w:tcPr>
            <w:tcW w:w="605" w:type="dxa"/>
            <w:tcBorders>
              <w:top w:val="single" w:color="auto" w:sz="8" w:space="0"/>
              <w:bottom w:val="single" w:color="auto" w:sz="8" w:space="0"/>
            </w:tcBorders>
            <w:shd w:val="clear" w:color="auto" w:fill="auto"/>
            <w:noWrap w:val="0"/>
            <w:vAlign w:val="center"/>
          </w:tcPr>
          <w:p w14:paraId="17C8C67B">
            <w:pPr>
              <w:adjustRightInd w:val="0"/>
              <w:snapToGrid w:val="0"/>
              <w:jc w:val="center"/>
              <w:rPr>
                <w:rFonts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shd w:val="clear" w:color="auto" w:fill="auto"/>
            <w:noWrap w:val="0"/>
            <w:vAlign w:val="center"/>
          </w:tcPr>
          <w:p w14:paraId="386C6C09">
            <w:pPr>
              <w:adjustRightInd w:val="0"/>
              <w:snapToGrid w:val="0"/>
              <w:jc w:val="center"/>
              <w:rPr>
                <w:rFonts w:ascii="宋体" w:hAnsi="宋体" w:eastAsia="宋体" w:cs="Times New Roman"/>
                <w:bCs/>
                <w:kern w:val="2"/>
                <w:sz w:val="18"/>
                <w:szCs w:val="18"/>
                <w:lang w:val="en-US" w:eastAsia="zh-CN" w:bidi="ar-SA"/>
              </w:rPr>
            </w:pPr>
          </w:p>
        </w:tc>
        <w:tc>
          <w:tcPr>
            <w:tcW w:w="654" w:type="dxa"/>
            <w:tcBorders>
              <w:top w:val="single" w:color="auto" w:sz="8" w:space="0"/>
              <w:bottom w:val="single" w:color="auto" w:sz="8" w:space="0"/>
            </w:tcBorders>
            <w:shd w:val="clear" w:color="auto" w:fill="auto"/>
            <w:noWrap w:val="0"/>
            <w:vAlign w:val="center"/>
          </w:tcPr>
          <w:p w14:paraId="6470B308">
            <w:pPr>
              <w:adjustRightInd w:val="0"/>
              <w:snapToGrid w:val="0"/>
              <w:jc w:val="center"/>
              <w:rPr>
                <w:rFonts w:hint="eastAsia" w:ascii="宋体" w:hAnsi="宋体" w:eastAsia="宋体" w:cs="Times New Roman"/>
                <w:bCs/>
                <w:kern w:val="2"/>
                <w:sz w:val="18"/>
                <w:szCs w:val="18"/>
                <w:lang w:val="en-US" w:eastAsia="zh-CN" w:bidi="ar-SA"/>
              </w:rPr>
            </w:pPr>
          </w:p>
        </w:tc>
        <w:tc>
          <w:tcPr>
            <w:tcW w:w="3018" w:type="dxa"/>
            <w:tcBorders>
              <w:top w:val="single" w:color="auto" w:sz="8" w:space="0"/>
              <w:bottom w:val="single" w:color="auto" w:sz="8" w:space="0"/>
            </w:tcBorders>
            <w:shd w:val="clear" w:color="auto" w:fill="auto"/>
            <w:noWrap w:val="0"/>
            <w:vAlign w:val="center"/>
          </w:tcPr>
          <w:p w14:paraId="7530C2A0">
            <w:pPr>
              <w:adjustRightInd w:val="0"/>
              <w:snapToGrid w:val="0"/>
              <w:rPr>
                <w:rFonts w:hint="eastAsia" w:ascii="宋体" w:hAnsi="宋体" w:eastAsia="宋体" w:cs="Times New Roman"/>
                <w:bCs/>
                <w:kern w:val="2"/>
                <w:sz w:val="18"/>
                <w:szCs w:val="18"/>
                <w:lang w:val="en-US" w:eastAsia="zh-CN" w:bidi="ar-SA"/>
              </w:rPr>
            </w:pPr>
          </w:p>
        </w:tc>
        <w:tc>
          <w:tcPr>
            <w:tcW w:w="605" w:type="dxa"/>
            <w:tcBorders>
              <w:top w:val="single" w:color="auto" w:sz="8" w:space="0"/>
              <w:bottom w:val="single" w:color="auto" w:sz="8" w:space="0"/>
            </w:tcBorders>
            <w:shd w:val="clear" w:color="auto" w:fill="auto"/>
            <w:noWrap w:val="0"/>
            <w:vAlign w:val="center"/>
          </w:tcPr>
          <w:p w14:paraId="1CF60F12">
            <w:pPr>
              <w:adjustRightInd w:val="0"/>
              <w:snapToGrid w:val="0"/>
              <w:jc w:val="center"/>
              <w:rPr>
                <w:rFonts w:ascii="宋体" w:hAnsi="宋体" w:eastAsia="宋体" w:cs="Times New Roman"/>
                <w:bCs/>
                <w:kern w:val="2"/>
                <w:sz w:val="18"/>
                <w:szCs w:val="18"/>
                <w:lang w:val="en-US" w:eastAsia="zh-CN" w:bidi="ar-SA"/>
              </w:rPr>
            </w:pPr>
          </w:p>
        </w:tc>
        <w:tc>
          <w:tcPr>
            <w:tcW w:w="1373" w:type="dxa"/>
            <w:tcBorders>
              <w:top w:val="single" w:color="auto" w:sz="8" w:space="0"/>
              <w:bottom w:val="single" w:color="auto" w:sz="8" w:space="0"/>
            </w:tcBorders>
            <w:shd w:val="clear" w:color="auto" w:fill="auto"/>
            <w:noWrap w:val="0"/>
            <w:vAlign w:val="center"/>
          </w:tcPr>
          <w:p w14:paraId="4CDC31AD">
            <w:pPr>
              <w:adjustRightInd w:val="0"/>
              <w:snapToGrid w:val="0"/>
              <w:jc w:val="center"/>
              <w:rPr>
                <w:rFonts w:ascii="宋体" w:hAnsi="宋体" w:eastAsia="宋体" w:cs="Times New Roman"/>
                <w:bCs/>
                <w:kern w:val="2"/>
                <w:sz w:val="18"/>
                <w:szCs w:val="18"/>
                <w:lang w:val="en-US" w:eastAsia="zh-CN" w:bidi="ar-SA"/>
              </w:rPr>
            </w:pPr>
          </w:p>
        </w:tc>
        <w:tc>
          <w:tcPr>
            <w:tcW w:w="1311" w:type="dxa"/>
            <w:tcBorders>
              <w:top w:val="single" w:color="auto" w:sz="8" w:space="0"/>
              <w:bottom w:val="single" w:color="auto" w:sz="8" w:space="0"/>
            </w:tcBorders>
            <w:shd w:val="clear" w:color="auto" w:fill="auto"/>
            <w:noWrap w:val="0"/>
            <w:vAlign w:val="center"/>
          </w:tcPr>
          <w:p w14:paraId="0AB8159C">
            <w:pPr>
              <w:adjustRightInd w:val="0"/>
              <w:snapToGrid w:val="0"/>
              <w:jc w:val="center"/>
              <w:rPr>
                <w:rFonts w:hint="eastAsia" w:ascii="宋体" w:hAnsi="宋体" w:eastAsia="宋体" w:cs="Times New Roman"/>
                <w:bCs/>
                <w:kern w:val="2"/>
                <w:sz w:val="18"/>
                <w:szCs w:val="18"/>
                <w:lang w:val="en-US" w:eastAsia="zh-CN" w:bidi="ar-SA"/>
              </w:rPr>
            </w:pPr>
          </w:p>
        </w:tc>
      </w:tr>
      <w:tr w14:paraId="48D52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8" w:space="0"/>
              <w:bottom w:val="single" w:color="auto" w:sz="8" w:space="0"/>
            </w:tcBorders>
            <w:noWrap w:val="0"/>
            <w:vAlign w:val="center"/>
          </w:tcPr>
          <w:p w14:paraId="1F3DBF5D">
            <w:pPr>
              <w:ind w:right="-250" w:firstLine="180" w:firstLineChars="100"/>
              <w:rPr>
                <w:rFonts w:hint="eastAsia" w:ascii="宋体" w:hAnsi="宋体" w:eastAsia="宋体" w:cs="宋体"/>
                <w:sz w:val="18"/>
                <w:szCs w:val="18"/>
                <w:lang w:eastAsia="zh-CN"/>
              </w:rPr>
            </w:pPr>
            <w:r>
              <w:rPr>
                <w:rFonts w:hint="eastAsia" w:ascii="宋体" w:hAnsi="宋体"/>
                <w:sz w:val="18"/>
                <w:szCs w:val="18"/>
              </w:rPr>
              <w:t>5.</w:t>
            </w:r>
            <w:r>
              <w:rPr>
                <w:rFonts w:hint="eastAsia" w:ascii="宋体" w:hAnsi="宋体"/>
                <w:sz w:val="18"/>
                <w:szCs w:val="18"/>
                <w:lang w:val="en-US" w:eastAsia="zh-CN"/>
              </w:rPr>
              <w:t>7</w:t>
            </w:r>
          </w:p>
        </w:tc>
        <w:tc>
          <w:tcPr>
            <w:tcW w:w="6322" w:type="dxa"/>
            <w:tcBorders>
              <w:top w:val="single" w:color="auto" w:sz="8" w:space="0"/>
              <w:bottom w:val="single" w:color="auto" w:sz="8" w:space="0"/>
            </w:tcBorders>
            <w:noWrap w:val="0"/>
            <w:vAlign w:val="top"/>
          </w:tcPr>
          <w:p w14:paraId="0B269CD9">
            <w:pPr>
              <w:widowControl/>
              <w:tabs>
                <w:tab w:val="center" w:pos="4201"/>
                <w:tab w:val="right" w:leader="dot" w:pos="9298"/>
              </w:tabs>
              <w:autoSpaceDE w:val="0"/>
              <w:autoSpaceDN w:val="0"/>
              <w:ind w:right="34"/>
              <w:rPr>
                <w:rFonts w:ascii="宋体" w:hAnsi="宋体"/>
                <w:kern w:val="0"/>
                <w:sz w:val="18"/>
                <w:szCs w:val="18"/>
              </w:rPr>
            </w:pPr>
            <w:r>
              <w:rPr>
                <w:rFonts w:hint="eastAsia" w:ascii="宋体" w:hAnsi="宋体"/>
                <w:sz w:val="18"/>
                <w:szCs w:val="18"/>
              </w:rPr>
              <w:t>绿化</w:t>
            </w:r>
          </w:p>
        </w:tc>
        <w:tc>
          <w:tcPr>
            <w:tcW w:w="605" w:type="dxa"/>
            <w:tcBorders>
              <w:top w:val="single" w:color="auto" w:sz="8" w:space="0"/>
              <w:bottom w:val="single" w:color="auto" w:sz="8" w:space="0"/>
            </w:tcBorders>
            <w:noWrap w:val="0"/>
            <w:vAlign w:val="top"/>
          </w:tcPr>
          <w:p w14:paraId="52455921">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top"/>
          </w:tcPr>
          <w:p w14:paraId="1B4B4F42">
            <w:pPr>
              <w:ind w:left="-249" w:leftChars="-119"/>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 xml:space="preserve">  10</w:t>
            </w:r>
          </w:p>
        </w:tc>
        <w:tc>
          <w:tcPr>
            <w:tcW w:w="654" w:type="dxa"/>
            <w:tcBorders>
              <w:top w:val="single" w:color="auto" w:sz="8" w:space="0"/>
              <w:bottom w:val="single" w:color="auto" w:sz="8" w:space="0"/>
            </w:tcBorders>
            <w:noWrap w:val="0"/>
            <w:vAlign w:val="center"/>
          </w:tcPr>
          <w:p w14:paraId="328803D7">
            <w:pPr>
              <w:ind w:firstLine="180" w:firstLineChars="100"/>
              <w:rPr>
                <w:rFonts w:ascii="宋体" w:hAnsi="宋体" w:cs="宋体"/>
                <w:sz w:val="18"/>
                <w:szCs w:val="18"/>
              </w:rPr>
            </w:pPr>
          </w:p>
        </w:tc>
        <w:tc>
          <w:tcPr>
            <w:tcW w:w="3018" w:type="dxa"/>
            <w:tcBorders>
              <w:top w:val="single" w:color="auto" w:sz="8" w:space="0"/>
              <w:bottom w:val="single" w:color="auto" w:sz="8" w:space="0"/>
            </w:tcBorders>
            <w:noWrap w:val="0"/>
            <w:vAlign w:val="center"/>
          </w:tcPr>
          <w:p w14:paraId="35B471CF">
            <w:pPr>
              <w:jc w:val="left"/>
              <w:rPr>
                <w:rFonts w:ascii="宋体" w:hAnsi="宋体" w:cs="宋体"/>
                <w:sz w:val="18"/>
                <w:szCs w:val="18"/>
              </w:rPr>
            </w:pPr>
          </w:p>
        </w:tc>
        <w:tc>
          <w:tcPr>
            <w:tcW w:w="605" w:type="dxa"/>
            <w:tcBorders>
              <w:top w:val="single" w:color="auto" w:sz="8" w:space="0"/>
              <w:bottom w:val="single" w:color="auto" w:sz="8" w:space="0"/>
            </w:tcBorders>
            <w:noWrap w:val="0"/>
            <w:vAlign w:val="top"/>
          </w:tcPr>
          <w:p w14:paraId="132BE4F6">
            <w:pPr>
              <w:jc w:val="center"/>
              <w:rPr>
                <w:rFonts w:ascii="宋体" w:hAnsi="宋体" w:cs="宋体"/>
                <w:sz w:val="18"/>
                <w:szCs w:val="18"/>
              </w:rPr>
            </w:pPr>
          </w:p>
        </w:tc>
        <w:tc>
          <w:tcPr>
            <w:tcW w:w="1373" w:type="dxa"/>
            <w:tcBorders>
              <w:top w:val="single" w:color="auto" w:sz="8" w:space="0"/>
              <w:bottom w:val="single" w:color="auto" w:sz="8" w:space="0"/>
            </w:tcBorders>
            <w:noWrap w:val="0"/>
            <w:vAlign w:val="top"/>
          </w:tcPr>
          <w:p w14:paraId="147CA833">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0449070F">
            <w:pPr>
              <w:jc w:val="center"/>
              <w:rPr>
                <w:rFonts w:hint="eastAsia" w:ascii="宋体" w:hAnsi="宋体" w:eastAsia="宋体" w:cs="宋体"/>
                <w:sz w:val="18"/>
                <w:szCs w:val="18"/>
                <w:lang w:eastAsia="zh-CN"/>
              </w:rPr>
            </w:pPr>
            <w:r>
              <w:rPr>
                <w:rFonts w:hint="eastAsia" w:ascii="宋体" w:hAnsi="宋体" w:cs="宋体"/>
                <w:sz w:val="18"/>
                <w:szCs w:val="18"/>
                <w:lang w:eastAsia="zh-CN"/>
              </w:rPr>
              <w:t>4.5</w:t>
            </w:r>
            <w:r>
              <w:rPr>
                <w:rFonts w:ascii="宋体" w:hAnsi="宋体" w:cs="宋体"/>
                <w:sz w:val="18"/>
                <w:szCs w:val="18"/>
              </w:rPr>
              <w:t>.</w:t>
            </w:r>
            <w:r>
              <w:rPr>
                <w:rFonts w:hint="eastAsia" w:ascii="宋体" w:hAnsi="宋体" w:cs="宋体"/>
                <w:sz w:val="18"/>
                <w:szCs w:val="18"/>
                <w:lang w:val="en-US" w:eastAsia="zh-CN"/>
              </w:rPr>
              <w:t>7</w:t>
            </w:r>
          </w:p>
        </w:tc>
      </w:tr>
      <w:tr w14:paraId="04782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60" w:type="dxa"/>
            <w:tcBorders>
              <w:top w:val="single" w:color="auto" w:sz="8" w:space="0"/>
              <w:bottom w:val="single" w:color="auto" w:sz="8" w:space="0"/>
            </w:tcBorders>
            <w:noWrap w:val="0"/>
            <w:vAlign w:val="center"/>
          </w:tcPr>
          <w:p w14:paraId="101D660C">
            <w:pPr>
              <w:ind w:right="-250" w:firstLine="90" w:firstLineChars="50"/>
              <w:rPr>
                <w:rFonts w:ascii="宋体" w:hAnsi="宋体" w:cs="宋体"/>
                <w:sz w:val="18"/>
                <w:szCs w:val="18"/>
              </w:rPr>
            </w:pPr>
            <w:r>
              <w:rPr>
                <w:rFonts w:hint="eastAsia" w:ascii="宋体" w:hAnsi="宋体"/>
                <w:sz w:val="18"/>
                <w:szCs w:val="18"/>
              </w:rPr>
              <w:t>5.</w:t>
            </w:r>
            <w:r>
              <w:rPr>
                <w:rFonts w:hint="eastAsia" w:ascii="宋体" w:hAnsi="宋体"/>
                <w:sz w:val="18"/>
                <w:szCs w:val="18"/>
                <w:lang w:val="en-US" w:eastAsia="zh-CN"/>
              </w:rPr>
              <w:t>7</w:t>
            </w:r>
            <w:r>
              <w:rPr>
                <w:rFonts w:hint="eastAsia" w:ascii="宋体" w:hAnsi="宋体"/>
                <w:sz w:val="18"/>
                <w:szCs w:val="18"/>
              </w:rPr>
              <w:t>.1</w:t>
            </w:r>
          </w:p>
        </w:tc>
        <w:tc>
          <w:tcPr>
            <w:tcW w:w="6322" w:type="dxa"/>
            <w:tcBorders>
              <w:top w:val="single" w:color="auto" w:sz="8" w:space="0"/>
              <w:bottom w:val="single" w:color="auto" w:sz="8" w:space="0"/>
            </w:tcBorders>
            <w:noWrap w:val="0"/>
            <w:vAlign w:val="center"/>
          </w:tcPr>
          <w:p w14:paraId="1AAFFB39">
            <w:pPr>
              <w:adjustRightInd w:val="0"/>
              <w:snapToGrid w:val="0"/>
              <w:jc w:val="left"/>
              <w:rPr>
                <w:rFonts w:ascii="宋体" w:hAnsi="宋体"/>
                <w:sz w:val="18"/>
                <w:szCs w:val="18"/>
              </w:rPr>
            </w:pPr>
            <w:r>
              <w:rPr>
                <w:rFonts w:hint="eastAsia" w:ascii="宋体" w:hAnsi="宋体"/>
                <w:sz w:val="18"/>
                <w:szCs w:val="18"/>
              </w:rPr>
              <w:t>绿化机械转动部位的皮带轮、齿轮、链轮与链条、联轴器等应加防护罩或防护盖。</w:t>
            </w:r>
          </w:p>
        </w:tc>
        <w:tc>
          <w:tcPr>
            <w:tcW w:w="605" w:type="dxa"/>
            <w:tcBorders>
              <w:top w:val="single" w:color="auto" w:sz="8" w:space="0"/>
              <w:bottom w:val="single" w:color="auto" w:sz="8" w:space="0"/>
            </w:tcBorders>
            <w:noWrap w:val="0"/>
            <w:vAlign w:val="center"/>
          </w:tcPr>
          <w:p w14:paraId="08BDE50E">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center"/>
          </w:tcPr>
          <w:p w14:paraId="6DCE1B9F">
            <w:pPr>
              <w:ind w:left="-249" w:leftChars="-119"/>
              <w:jc w:val="center"/>
              <w:rPr>
                <w:rFonts w:ascii="宋体" w:hAnsi="宋体" w:cs="宋体"/>
                <w:sz w:val="18"/>
                <w:szCs w:val="18"/>
              </w:rPr>
            </w:pPr>
          </w:p>
        </w:tc>
        <w:tc>
          <w:tcPr>
            <w:tcW w:w="654" w:type="dxa"/>
            <w:tcBorders>
              <w:top w:val="single" w:color="auto" w:sz="8" w:space="0"/>
              <w:bottom w:val="single" w:color="auto" w:sz="8" w:space="0"/>
            </w:tcBorders>
            <w:noWrap w:val="0"/>
            <w:vAlign w:val="center"/>
          </w:tcPr>
          <w:p w14:paraId="3FC9F85B">
            <w:pPr>
              <w:ind w:firstLine="180" w:firstLineChars="100"/>
              <w:rPr>
                <w:rFonts w:hint="eastAsia" w:ascii="宋体" w:hAnsi="宋体" w:eastAsia="宋体" w:cs="宋体"/>
                <w:sz w:val="18"/>
                <w:szCs w:val="18"/>
                <w:lang w:eastAsia="zh-CN"/>
              </w:rPr>
            </w:pPr>
            <w:r>
              <w:rPr>
                <w:rFonts w:hint="eastAsia" w:ascii="宋体" w:hAnsi="宋体" w:cs="宋体"/>
                <w:sz w:val="18"/>
                <w:szCs w:val="18"/>
                <w:lang w:val="en-US" w:eastAsia="zh-CN"/>
              </w:rPr>
              <w:t>5</w:t>
            </w:r>
          </w:p>
        </w:tc>
        <w:tc>
          <w:tcPr>
            <w:tcW w:w="3018" w:type="dxa"/>
            <w:tcBorders>
              <w:top w:val="single" w:color="auto" w:sz="8" w:space="0"/>
              <w:bottom w:val="single" w:color="auto" w:sz="8" w:space="0"/>
            </w:tcBorders>
            <w:noWrap w:val="0"/>
            <w:vAlign w:val="center"/>
          </w:tcPr>
          <w:p w14:paraId="0ADC2FEE">
            <w:pPr>
              <w:jc w:val="left"/>
              <w:rPr>
                <w:rFonts w:ascii="宋体" w:hAnsi="宋体" w:cs="宋体"/>
                <w:sz w:val="18"/>
                <w:szCs w:val="18"/>
              </w:rPr>
            </w:pPr>
            <w:r>
              <w:rPr>
                <w:rFonts w:hint="eastAsia" w:ascii="宋体" w:hAnsi="宋体" w:cs="宋体"/>
                <w:sz w:val="18"/>
                <w:szCs w:val="18"/>
              </w:rPr>
              <w:t>一</w:t>
            </w:r>
            <w:r>
              <w:rPr>
                <w:rFonts w:hint="eastAsia" w:ascii="宋体" w:hAnsi="宋体"/>
                <w:sz w:val="18"/>
                <w:szCs w:val="18"/>
              </w:rPr>
              <w:t>处</w:t>
            </w:r>
            <w:r>
              <w:rPr>
                <w:rFonts w:hint="eastAsia" w:ascii="宋体" w:hAnsi="宋体" w:cs="宋体"/>
                <w:sz w:val="18"/>
                <w:szCs w:val="18"/>
              </w:rPr>
              <w:t>不符合扣2分。</w:t>
            </w:r>
          </w:p>
        </w:tc>
        <w:tc>
          <w:tcPr>
            <w:tcW w:w="605" w:type="dxa"/>
            <w:tcBorders>
              <w:top w:val="single" w:color="auto" w:sz="8" w:space="0"/>
              <w:bottom w:val="single" w:color="auto" w:sz="8" w:space="0"/>
            </w:tcBorders>
            <w:noWrap w:val="0"/>
            <w:vAlign w:val="center"/>
          </w:tcPr>
          <w:p w14:paraId="1FEA6314">
            <w:pPr>
              <w:jc w:val="center"/>
              <w:rPr>
                <w:rFonts w:ascii="宋体" w:hAnsi="宋体" w:cs="宋体"/>
                <w:sz w:val="18"/>
                <w:szCs w:val="18"/>
              </w:rPr>
            </w:pPr>
          </w:p>
        </w:tc>
        <w:tc>
          <w:tcPr>
            <w:tcW w:w="1373" w:type="dxa"/>
            <w:tcBorders>
              <w:top w:val="single" w:color="auto" w:sz="8" w:space="0"/>
              <w:bottom w:val="single" w:color="auto" w:sz="8" w:space="0"/>
            </w:tcBorders>
            <w:noWrap w:val="0"/>
            <w:vAlign w:val="center"/>
          </w:tcPr>
          <w:p w14:paraId="4FE713E4">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472974D5">
            <w:pPr>
              <w:jc w:val="center"/>
              <w:rPr>
                <w:rFonts w:ascii="宋体" w:hAnsi="宋体" w:cs="宋体"/>
                <w:sz w:val="18"/>
                <w:szCs w:val="18"/>
              </w:rPr>
            </w:pPr>
            <w:r>
              <w:rPr>
                <w:rFonts w:hint="eastAsia" w:ascii="宋体" w:hAnsi="宋体" w:cs="宋体"/>
                <w:sz w:val="18"/>
                <w:szCs w:val="18"/>
                <w:lang w:eastAsia="zh-CN"/>
              </w:rPr>
              <w:t>4.5</w:t>
            </w:r>
            <w:r>
              <w:rPr>
                <w:rFonts w:ascii="宋体" w:hAnsi="宋体" w:cs="宋体"/>
                <w:sz w:val="18"/>
                <w:szCs w:val="18"/>
              </w:rPr>
              <w:t>.</w:t>
            </w:r>
            <w:r>
              <w:rPr>
                <w:rFonts w:hint="eastAsia" w:ascii="宋体" w:hAnsi="宋体" w:cs="宋体"/>
                <w:sz w:val="18"/>
                <w:szCs w:val="18"/>
                <w:lang w:val="en-US" w:eastAsia="zh-CN"/>
              </w:rPr>
              <w:t>7</w:t>
            </w:r>
            <w:r>
              <w:rPr>
                <w:rFonts w:ascii="宋体" w:hAnsi="宋体" w:cs="宋体"/>
                <w:sz w:val="18"/>
                <w:szCs w:val="18"/>
              </w:rPr>
              <w:t>.1</w:t>
            </w:r>
          </w:p>
        </w:tc>
      </w:tr>
      <w:tr w14:paraId="24FFE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noWrap w:val="0"/>
            <w:vAlign w:val="center"/>
          </w:tcPr>
          <w:p w14:paraId="68E450CD">
            <w:pPr>
              <w:ind w:right="-250" w:firstLine="90" w:firstLineChars="50"/>
              <w:rPr>
                <w:rFonts w:hint="eastAsia" w:ascii="宋体" w:hAnsi="宋体" w:eastAsia="宋体"/>
                <w:sz w:val="18"/>
                <w:szCs w:val="18"/>
                <w:lang w:val="en-US" w:eastAsia="zh-CN"/>
              </w:rPr>
            </w:pPr>
            <w:r>
              <w:rPr>
                <w:rFonts w:hint="eastAsia" w:ascii="宋体" w:hAnsi="宋体"/>
                <w:sz w:val="18"/>
                <w:szCs w:val="18"/>
              </w:rPr>
              <w:t>5.</w:t>
            </w:r>
            <w:r>
              <w:rPr>
                <w:rFonts w:hint="eastAsia" w:ascii="宋体" w:hAnsi="宋体"/>
                <w:sz w:val="18"/>
                <w:szCs w:val="18"/>
                <w:lang w:val="en-US" w:eastAsia="zh-CN"/>
              </w:rPr>
              <w:t>7</w:t>
            </w:r>
            <w:r>
              <w:rPr>
                <w:rFonts w:hint="eastAsia" w:ascii="宋体" w:hAnsi="宋体"/>
                <w:sz w:val="18"/>
                <w:szCs w:val="18"/>
              </w:rPr>
              <w:t>.</w:t>
            </w:r>
            <w:r>
              <w:rPr>
                <w:rFonts w:hint="eastAsia" w:ascii="宋体" w:hAnsi="宋体"/>
                <w:sz w:val="18"/>
                <w:szCs w:val="18"/>
                <w:lang w:val="en-US" w:eastAsia="zh-CN"/>
              </w:rPr>
              <w:t>2</w:t>
            </w:r>
          </w:p>
        </w:tc>
        <w:tc>
          <w:tcPr>
            <w:tcW w:w="6322" w:type="dxa"/>
            <w:tcBorders>
              <w:top w:val="single" w:color="auto" w:sz="8" w:space="0"/>
              <w:bottom w:val="single" w:color="auto" w:sz="8" w:space="0"/>
            </w:tcBorders>
            <w:noWrap w:val="0"/>
            <w:vAlign w:val="center"/>
          </w:tcPr>
          <w:p w14:paraId="5F468DB1">
            <w:pPr>
              <w:adjustRightInd w:val="0"/>
              <w:snapToGrid w:val="0"/>
              <w:jc w:val="left"/>
              <w:rPr>
                <w:rFonts w:hint="eastAsia" w:ascii="宋体" w:hAnsi="宋体"/>
                <w:sz w:val="18"/>
                <w:szCs w:val="18"/>
              </w:rPr>
            </w:pPr>
            <w:r>
              <w:rPr>
                <w:rFonts w:hint="eastAsia" w:ascii="宋体" w:hAnsi="宋体"/>
                <w:sz w:val="18"/>
                <w:szCs w:val="18"/>
              </w:rPr>
              <w:t>农药储存、使用应符合下列要求：</w:t>
            </w:r>
          </w:p>
          <w:p w14:paraId="7E33CA0C">
            <w:pPr>
              <w:adjustRightInd w:val="0"/>
              <w:snapToGrid w:val="0"/>
              <w:jc w:val="left"/>
              <w:rPr>
                <w:rFonts w:hint="eastAsia" w:ascii="宋体" w:hAnsi="宋体"/>
                <w:sz w:val="18"/>
                <w:szCs w:val="18"/>
              </w:rPr>
            </w:pPr>
            <w:r>
              <w:rPr>
                <w:rFonts w:hint="eastAsia" w:ascii="宋体" w:hAnsi="宋体"/>
                <w:sz w:val="18"/>
                <w:szCs w:val="18"/>
              </w:rPr>
              <w:t>a)不应选用国家禁止生产、使用农药；</w:t>
            </w:r>
          </w:p>
          <w:p w14:paraId="60885B0F">
            <w:pPr>
              <w:adjustRightInd w:val="0"/>
              <w:snapToGrid w:val="0"/>
              <w:jc w:val="left"/>
              <w:rPr>
                <w:rFonts w:hint="eastAsia" w:ascii="宋体" w:hAnsi="宋体"/>
                <w:sz w:val="18"/>
                <w:szCs w:val="18"/>
              </w:rPr>
            </w:pPr>
            <w:r>
              <w:rPr>
                <w:rFonts w:hint="eastAsia" w:ascii="宋体" w:hAnsi="宋体"/>
                <w:sz w:val="18"/>
                <w:szCs w:val="18"/>
              </w:rPr>
              <w:t>b)农药保管人员应经过专业培训，掌握农药基本知识和安全知识；</w:t>
            </w:r>
          </w:p>
          <w:p w14:paraId="76D9E24C">
            <w:pPr>
              <w:adjustRightInd w:val="0"/>
              <w:snapToGrid w:val="0"/>
              <w:jc w:val="left"/>
              <w:rPr>
                <w:rFonts w:hint="eastAsia" w:ascii="宋体" w:hAnsi="宋体"/>
                <w:sz w:val="18"/>
                <w:szCs w:val="18"/>
              </w:rPr>
            </w:pPr>
            <w:r>
              <w:rPr>
                <w:rFonts w:hint="eastAsia" w:ascii="宋体" w:hAnsi="宋体"/>
                <w:sz w:val="18"/>
                <w:szCs w:val="18"/>
              </w:rPr>
              <w:t>c)专用库房应与水源分开，库房应具备地面平整、不渗漏、结构完整、干燥、明亮、通风良好等条件，地面、天花板应采用耐化学腐蚀材料，易清洗；</w:t>
            </w:r>
          </w:p>
          <w:p w14:paraId="4B65720C">
            <w:pPr>
              <w:adjustRightInd w:val="0"/>
              <w:snapToGrid w:val="0"/>
              <w:jc w:val="left"/>
              <w:rPr>
                <w:rFonts w:hint="eastAsia" w:ascii="宋体" w:hAnsi="宋体"/>
                <w:sz w:val="18"/>
                <w:szCs w:val="18"/>
              </w:rPr>
            </w:pPr>
            <w:r>
              <w:rPr>
                <w:rFonts w:hint="eastAsia" w:ascii="宋体" w:hAnsi="宋体"/>
                <w:sz w:val="18"/>
                <w:szCs w:val="18"/>
              </w:rPr>
              <w:t>d)不应使用地下室作为农药库房使用；</w:t>
            </w:r>
          </w:p>
          <w:p w14:paraId="68B973D5">
            <w:pPr>
              <w:adjustRightInd w:val="0"/>
              <w:snapToGrid w:val="0"/>
              <w:jc w:val="left"/>
              <w:rPr>
                <w:rFonts w:hint="eastAsia" w:ascii="宋体" w:hAnsi="宋体"/>
                <w:sz w:val="18"/>
                <w:szCs w:val="18"/>
              </w:rPr>
            </w:pPr>
            <w:r>
              <w:rPr>
                <w:rFonts w:hint="eastAsia" w:ascii="宋体" w:hAnsi="宋体"/>
                <w:sz w:val="18"/>
                <w:szCs w:val="18"/>
              </w:rPr>
              <w:t>e)农药库房内应设置隔离工作间，配备消防器材和急救药箱；</w:t>
            </w:r>
          </w:p>
          <w:p w14:paraId="07D96F98">
            <w:pPr>
              <w:adjustRightInd w:val="0"/>
              <w:snapToGrid w:val="0"/>
              <w:jc w:val="left"/>
              <w:rPr>
                <w:rFonts w:hint="eastAsia" w:ascii="宋体" w:hAnsi="宋体"/>
                <w:sz w:val="18"/>
                <w:szCs w:val="18"/>
              </w:rPr>
            </w:pPr>
            <w:r>
              <w:rPr>
                <w:rFonts w:hint="eastAsia" w:ascii="宋体" w:hAnsi="宋体"/>
                <w:sz w:val="18"/>
                <w:szCs w:val="18"/>
              </w:rPr>
              <w:t>f)库房内应有良好的通风设备；</w:t>
            </w:r>
          </w:p>
          <w:p w14:paraId="217C2137">
            <w:pPr>
              <w:adjustRightInd w:val="0"/>
              <w:snapToGrid w:val="0"/>
              <w:jc w:val="left"/>
              <w:rPr>
                <w:rFonts w:hint="eastAsia" w:ascii="宋体" w:hAnsi="宋体"/>
                <w:sz w:val="18"/>
                <w:szCs w:val="18"/>
              </w:rPr>
            </w:pPr>
            <w:r>
              <w:rPr>
                <w:rFonts w:hint="eastAsia" w:ascii="宋体" w:hAnsi="宋体"/>
                <w:sz w:val="18"/>
                <w:szCs w:val="18"/>
              </w:rPr>
              <w:t>g)库房内应设置警告牌；</w:t>
            </w:r>
          </w:p>
          <w:p w14:paraId="6CECE8F0">
            <w:pPr>
              <w:adjustRightInd w:val="0"/>
              <w:snapToGrid w:val="0"/>
              <w:jc w:val="left"/>
              <w:rPr>
                <w:rFonts w:hint="eastAsia" w:ascii="宋体" w:hAnsi="宋体"/>
                <w:sz w:val="18"/>
                <w:szCs w:val="18"/>
              </w:rPr>
            </w:pPr>
            <w:r>
              <w:rPr>
                <w:rFonts w:hint="eastAsia" w:ascii="宋体" w:hAnsi="宋体"/>
                <w:sz w:val="18"/>
                <w:szCs w:val="18"/>
              </w:rPr>
              <w:t>h)存放的农药应有完整无损的内外包装和标志；</w:t>
            </w:r>
          </w:p>
          <w:p w14:paraId="194FB2FD">
            <w:pPr>
              <w:adjustRightInd w:val="0"/>
              <w:snapToGrid w:val="0"/>
              <w:jc w:val="left"/>
              <w:rPr>
                <w:rFonts w:hint="eastAsia" w:ascii="宋体" w:hAnsi="宋体"/>
                <w:sz w:val="18"/>
                <w:szCs w:val="18"/>
              </w:rPr>
            </w:pPr>
            <w:r>
              <w:rPr>
                <w:rFonts w:hint="eastAsia" w:ascii="宋体" w:hAnsi="宋体"/>
                <w:sz w:val="18"/>
                <w:szCs w:val="18"/>
              </w:rPr>
              <w:t>i)库房内农药堆放应合理，应离开电源，避免阳光直射，码垛稳固；</w:t>
            </w:r>
          </w:p>
          <w:p w14:paraId="13F9437D">
            <w:pPr>
              <w:adjustRightInd w:val="0"/>
              <w:snapToGrid w:val="0"/>
              <w:jc w:val="left"/>
              <w:rPr>
                <w:rFonts w:hint="eastAsia" w:ascii="宋体" w:hAnsi="宋体"/>
                <w:sz w:val="18"/>
                <w:szCs w:val="18"/>
              </w:rPr>
            </w:pPr>
            <w:r>
              <w:rPr>
                <w:rFonts w:hint="eastAsia" w:ascii="宋体" w:hAnsi="宋体"/>
                <w:sz w:val="18"/>
                <w:szCs w:val="18"/>
              </w:rPr>
              <w:t>j)不同种类的农药应分开存放；</w:t>
            </w:r>
          </w:p>
          <w:p w14:paraId="6287A743">
            <w:pPr>
              <w:adjustRightInd w:val="0"/>
              <w:snapToGrid w:val="0"/>
              <w:jc w:val="left"/>
              <w:rPr>
                <w:rFonts w:hint="eastAsia" w:ascii="宋体" w:hAnsi="宋体"/>
                <w:sz w:val="18"/>
                <w:szCs w:val="18"/>
              </w:rPr>
            </w:pPr>
            <w:r>
              <w:rPr>
                <w:rFonts w:hint="eastAsia" w:ascii="宋体" w:hAnsi="宋体"/>
                <w:sz w:val="18"/>
                <w:szCs w:val="18"/>
              </w:rPr>
              <w:t>k)不同包装农药应分类存放，应有防渗防潮垫；</w:t>
            </w:r>
          </w:p>
          <w:p w14:paraId="4B9A2C63">
            <w:pPr>
              <w:adjustRightInd w:val="0"/>
              <w:snapToGrid w:val="0"/>
              <w:jc w:val="left"/>
              <w:rPr>
                <w:rFonts w:hint="eastAsia" w:ascii="宋体" w:hAnsi="宋体"/>
                <w:sz w:val="18"/>
                <w:szCs w:val="18"/>
                <w:lang w:val="en-US" w:eastAsia="zh-CN"/>
              </w:rPr>
            </w:pPr>
            <w:r>
              <w:rPr>
                <w:rFonts w:hint="eastAsia" w:ascii="宋体" w:hAnsi="宋体"/>
                <w:sz w:val="18"/>
                <w:szCs w:val="18"/>
              </w:rPr>
              <w:t>l)施药场所应备有足够的水、清洗剂、毛巾、急救药品及必要修理工具，且方便易得。</w:t>
            </w:r>
          </w:p>
        </w:tc>
        <w:tc>
          <w:tcPr>
            <w:tcW w:w="605" w:type="dxa"/>
            <w:tcBorders>
              <w:top w:val="single" w:color="auto" w:sz="8" w:space="0"/>
              <w:bottom w:val="single" w:color="auto" w:sz="8" w:space="0"/>
            </w:tcBorders>
            <w:noWrap w:val="0"/>
            <w:vAlign w:val="center"/>
          </w:tcPr>
          <w:p w14:paraId="42D49766">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center"/>
          </w:tcPr>
          <w:p w14:paraId="4FC8B65B">
            <w:pPr>
              <w:ind w:left="-249" w:leftChars="-119"/>
              <w:jc w:val="center"/>
              <w:rPr>
                <w:rFonts w:ascii="宋体" w:hAnsi="宋体" w:cs="宋体"/>
                <w:sz w:val="18"/>
                <w:szCs w:val="18"/>
              </w:rPr>
            </w:pPr>
          </w:p>
        </w:tc>
        <w:tc>
          <w:tcPr>
            <w:tcW w:w="654" w:type="dxa"/>
            <w:tcBorders>
              <w:top w:val="single" w:color="auto" w:sz="8" w:space="0"/>
              <w:bottom w:val="single" w:color="auto" w:sz="8" w:space="0"/>
            </w:tcBorders>
            <w:noWrap w:val="0"/>
            <w:vAlign w:val="center"/>
          </w:tcPr>
          <w:p w14:paraId="24064295">
            <w:pPr>
              <w:ind w:firstLine="180" w:firstLineChars="100"/>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3018" w:type="dxa"/>
            <w:tcBorders>
              <w:top w:val="single" w:color="auto" w:sz="8" w:space="0"/>
              <w:bottom w:val="single" w:color="auto" w:sz="8" w:space="0"/>
            </w:tcBorders>
            <w:noWrap w:val="0"/>
            <w:vAlign w:val="center"/>
          </w:tcPr>
          <w:p w14:paraId="6C512CEA">
            <w:pPr>
              <w:jc w:val="left"/>
              <w:rPr>
                <w:rFonts w:hint="eastAsia" w:ascii="宋体" w:hAnsi="宋体" w:cs="宋体"/>
                <w:sz w:val="18"/>
                <w:szCs w:val="18"/>
              </w:rPr>
            </w:pPr>
            <w:r>
              <w:rPr>
                <w:rFonts w:hint="eastAsia" w:ascii="宋体" w:hAnsi="宋体" w:cs="宋体"/>
                <w:sz w:val="18"/>
                <w:szCs w:val="18"/>
              </w:rPr>
              <w:t>一</w:t>
            </w:r>
            <w:r>
              <w:rPr>
                <w:rFonts w:hint="eastAsia" w:ascii="宋体" w:hAnsi="宋体"/>
                <w:sz w:val="18"/>
                <w:szCs w:val="18"/>
              </w:rPr>
              <w:t>处</w:t>
            </w:r>
            <w:r>
              <w:rPr>
                <w:rFonts w:hint="eastAsia" w:ascii="宋体" w:hAnsi="宋体" w:cs="宋体"/>
                <w:sz w:val="18"/>
                <w:szCs w:val="18"/>
              </w:rPr>
              <w:t>不符合扣2分。</w:t>
            </w:r>
          </w:p>
        </w:tc>
        <w:tc>
          <w:tcPr>
            <w:tcW w:w="605" w:type="dxa"/>
            <w:tcBorders>
              <w:top w:val="single" w:color="auto" w:sz="8" w:space="0"/>
              <w:bottom w:val="single" w:color="auto" w:sz="8" w:space="0"/>
            </w:tcBorders>
            <w:noWrap w:val="0"/>
            <w:vAlign w:val="center"/>
          </w:tcPr>
          <w:p w14:paraId="7BF40911">
            <w:pPr>
              <w:jc w:val="center"/>
              <w:rPr>
                <w:rFonts w:ascii="宋体" w:hAnsi="宋体" w:cs="宋体"/>
                <w:sz w:val="18"/>
                <w:szCs w:val="18"/>
              </w:rPr>
            </w:pPr>
          </w:p>
        </w:tc>
        <w:tc>
          <w:tcPr>
            <w:tcW w:w="1373" w:type="dxa"/>
            <w:tcBorders>
              <w:top w:val="single" w:color="auto" w:sz="8" w:space="0"/>
              <w:bottom w:val="single" w:color="auto" w:sz="8" w:space="0"/>
            </w:tcBorders>
            <w:noWrap w:val="0"/>
            <w:vAlign w:val="center"/>
          </w:tcPr>
          <w:p w14:paraId="3C01AAB6">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559F3CE7">
            <w:pPr>
              <w:jc w:val="center"/>
              <w:rPr>
                <w:rFonts w:ascii="宋体" w:hAnsi="宋体" w:cs="宋体"/>
                <w:sz w:val="18"/>
                <w:szCs w:val="18"/>
              </w:rPr>
            </w:pPr>
            <w:r>
              <w:rPr>
                <w:rFonts w:hint="eastAsia" w:ascii="宋体" w:hAnsi="宋体" w:cs="宋体"/>
                <w:sz w:val="18"/>
                <w:szCs w:val="18"/>
                <w:lang w:eastAsia="zh-CN"/>
              </w:rPr>
              <w:t>4.5</w:t>
            </w:r>
            <w:r>
              <w:rPr>
                <w:rFonts w:ascii="宋体" w:hAnsi="宋体" w:cs="宋体"/>
                <w:sz w:val="18"/>
                <w:szCs w:val="18"/>
              </w:rPr>
              <w:t>.</w:t>
            </w:r>
            <w:r>
              <w:rPr>
                <w:rFonts w:hint="eastAsia" w:ascii="宋体" w:hAnsi="宋体" w:cs="宋体"/>
                <w:sz w:val="18"/>
                <w:szCs w:val="18"/>
                <w:lang w:val="en-US" w:eastAsia="zh-CN"/>
              </w:rPr>
              <w:t>7</w:t>
            </w:r>
            <w:r>
              <w:rPr>
                <w:rFonts w:ascii="宋体" w:hAnsi="宋体" w:cs="宋体"/>
                <w:sz w:val="18"/>
                <w:szCs w:val="18"/>
              </w:rPr>
              <w:t>.</w:t>
            </w:r>
            <w:r>
              <w:rPr>
                <w:rFonts w:hint="eastAsia" w:ascii="宋体" w:hAnsi="宋体" w:cs="宋体"/>
                <w:sz w:val="18"/>
                <w:szCs w:val="18"/>
              </w:rPr>
              <w:t>2</w:t>
            </w:r>
          </w:p>
        </w:tc>
      </w:tr>
      <w:tr w14:paraId="6A1693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shd w:val="clear"/>
            <w:noWrap w:val="0"/>
            <w:vAlign w:val="center"/>
          </w:tcPr>
          <w:p w14:paraId="1C89C909">
            <w:pPr>
              <w:ind w:right="-250" w:rightChars="0" w:firstLine="180" w:firstLineChars="10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5.8</w:t>
            </w:r>
          </w:p>
        </w:tc>
        <w:tc>
          <w:tcPr>
            <w:tcW w:w="6322" w:type="dxa"/>
            <w:tcBorders>
              <w:top w:val="single" w:color="auto" w:sz="8" w:space="0"/>
              <w:bottom w:val="single" w:color="auto" w:sz="8" w:space="0"/>
            </w:tcBorders>
            <w:shd w:val="clear"/>
            <w:noWrap w:val="0"/>
            <w:vAlign w:val="center"/>
          </w:tcPr>
          <w:p w14:paraId="273417AB">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污水处理系统</w:t>
            </w:r>
          </w:p>
        </w:tc>
        <w:tc>
          <w:tcPr>
            <w:tcW w:w="605" w:type="dxa"/>
            <w:tcBorders>
              <w:top w:val="single" w:color="auto" w:sz="8" w:space="0"/>
              <w:bottom w:val="single" w:color="auto" w:sz="8" w:space="0"/>
            </w:tcBorders>
            <w:shd w:val="clear"/>
            <w:noWrap w:val="0"/>
            <w:vAlign w:val="center"/>
          </w:tcPr>
          <w:p w14:paraId="50838185">
            <w:pPr>
              <w:ind w:left="-249" w:leftChars="-119"/>
              <w:jc w:val="center"/>
              <w:rPr>
                <w:rFonts w:ascii="宋体" w:hAnsi="宋体" w:eastAsia="宋体" w:cs="宋体"/>
                <w:kern w:val="2"/>
                <w:sz w:val="18"/>
                <w:szCs w:val="18"/>
                <w:lang w:val="en-US" w:eastAsia="zh-CN" w:bidi="ar-SA"/>
              </w:rPr>
            </w:pPr>
          </w:p>
        </w:tc>
        <w:tc>
          <w:tcPr>
            <w:tcW w:w="605" w:type="dxa"/>
            <w:tcBorders>
              <w:top w:val="single" w:color="auto" w:sz="8" w:space="0"/>
              <w:bottom w:val="single" w:color="auto" w:sz="8" w:space="0"/>
            </w:tcBorders>
            <w:shd w:val="clear"/>
            <w:noWrap w:val="0"/>
            <w:vAlign w:val="center"/>
          </w:tcPr>
          <w:p w14:paraId="34DEF2FB">
            <w:pPr>
              <w:ind w:left="0" w:leftChars="0"/>
              <w:jc w:val="center"/>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654" w:type="dxa"/>
            <w:tcBorders>
              <w:top w:val="single" w:color="auto" w:sz="8" w:space="0"/>
              <w:bottom w:val="single" w:color="auto" w:sz="8" w:space="0"/>
            </w:tcBorders>
            <w:shd w:val="clear"/>
            <w:noWrap w:val="0"/>
            <w:vAlign w:val="center"/>
          </w:tcPr>
          <w:p w14:paraId="27AEDFBE">
            <w:pPr>
              <w:ind w:firstLine="180" w:firstLineChars="100"/>
              <w:rPr>
                <w:rFonts w:hint="eastAsia" w:ascii="宋体" w:hAnsi="宋体" w:eastAsia="宋体" w:cs="宋体"/>
                <w:kern w:val="2"/>
                <w:sz w:val="18"/>
                <w:szCs w:val="18"/>
                <w:lang w:val="en-US" w:eastAsia="zh-CN" w:bidi="ar-SA"/>
              </w:rPr>
            </w:pPr>
          </w:p>
        </w:tc>
        <w:tc>
          <w:tcPr>
            <w:tcW w:w="3018" w:type="dxa"/>
            <w:tcBorders>
              <w:top w:val="single" w:color="auto" w:sz="8" w:space="0"/>
              <w:bottom w:val="single" w:color="auto" w:sz="8" w:space="0"/>
            </w:tcBorders>
            <w:shd w:val="clear"/>
            <w:noWrap w:val="0"/>
            <w:vAlign w:val="center"/>
          </w:tcPr>
          <w:p w14:paraId="4B373A39">
            <w:pPr>
              <w:jc w:val="left"/>
              <w:rPr>
                <w:rFonts w:hint="eastAsia" w:ascii="宋体" w:hAnsi="宋体" w:eastAsia="宋体" w:cs="宋体"/>
                <w:kern w:val="2"/>
                <w:sz w:val="18"/>
                <w:szCs w:val="18"/>
                <w:lang w:val="en-US" w:eastAsia="zh-CN" w:bidi="ar-SA"/>
              </w:rPr>
            </w:pPr>
          </w:p>
        </w:tc>
        <w:tc>
          <w:tcPr>
            <w:tcW w:w="605" w:type="dxa"/>
            <w:tcBorders>
              <w:top w:val="single" w:color="auto" w:sz="8" w:space="0"/>
              <w:bottom w:val="single" w:color="auto" w:sz="8" w:space="0"/>
            </w:tcBorders>
            <w:shd w:val="clear"/>
            <w:noWrap w:val="0"/>
            <w:vAlign w:val="center"/>
          </w:tcPr>
          <w:p w14:paraId="62E8739B">
            <w:pPr>
              <w:jc w:val="center"/>
              <w:rPr>
                <w:rFonts w:ascii="宋体" w:hAnsi="宋体" w:eastAsia="宋体" w:cs="宋体"/>
                <w:kern w:val="2"/>
                <w:sz w:val="18"/>
                <w:szCs w:val="18"/>
                <w:lang w:val="en-US" w:eastAsia="zh-CN" w:bidi="ar-SA"/>
              </w:rPr>
            </w:pPr>
          </w:p>
        </w:tc>
        <w:tc>
          <w:tcPr>
            <w:tcW w:w="1373" w:type="dxa"/>
            <w:tcBorders>
              <w:top w:val="single" w:color="auto" w:sz="8" w:space="0"/>
              <w:bottom w:val="single" w:color="auto" w:sz="8" w:space="0"/>
            </w:tcBorders>
            <w:shd w:val="clear"/>
            <w:noWrap w:val="0"/>
            <w:vAlign w:val="center"/>
          </w:tcPr>
          <w:p w14:paraId="0B440F58">
            <w:pPr>
              <w:jc w:val="left"/>
              <w:rPr>
                <w:rFonts w:ascii="宋体" w:hAnsi="宋体" w:eastAsia="宋体" w:cs="宋体"/>
                <w:kern w:val="2"/>
                <w:sz w:val="18"/>
                <w:szCs w:val="18"/>
                <w:lang w:val="en-US" w:eastAsia="zh-CN" w:bidi="ar-SA"/>
              </w:rPr>
            </w:pPr>
          </w:p>
        </w:tc>
        <w:tc>
          <w:tcPr>
            <w:tcW w:w="1311" w:type="dxa"/>
            <w:tcBorders>
              <w:top w:val="single" w:color="auto" w:sz="8" w:space="0"/>
              <w:bottom w:val="single" w:color="auto" w:sz="8" w:space="0"/>
            </w:tcBorders>
            <w:shd w:val="clear"/>
            <w:noWrap w:val="0"/>
            <w:vAlign w:val="center"/>
          </w:tcPr>
          <w:p w14:paraId="5AA95D52">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4.5.8</w:t>
            </w:r>
          </w:p>
        </w:tc>
      </w:tr>
      <w:tr w14:paraId="62329A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shd w:val="clear"/>
            <w:noWrap w:val="0"/>
            <w:vAlign w:val="center"/>
          </w:tcPr>
          <w:p w14:paraId="702C43DF">
            <w:pPr>
              <w:ind w:right="-250" w:rightChars="0" w:firstLine="90" w:firstLineChars="5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5.8.1</w:t>
            </w:r>
          </w:p>
        </w:tc>
        <w:tc>
          <w:tcPr>
            <w:tcW w:w="6322" w:type="dxa"/>
            <w:tcBorders>
              <w:top w:val="single" w:color="auto" w:sz="8" w:space="0"/>
            </w:tcBorders>
            <w:shd w:val="clear"/>
            <w:noWrap w:val="0"/>
            <w:vAlign w:val="center"/>
          </w:tcPr>
          <w:p w14:paraId="7A98A021">
            <w:pPr>
              <w:adjustRightInd w:val="0"/>
              <w:snapToGrid w:val="0"/>
              <w:jc w:val="left"/>
              <w:rPr>
                <w:rFonts w:hint="default" w:ascii="宋体" w:hAnsi="宋体"/>
                <w:sz w:val="18"/>
                <w:szCs w:val="18"/>
                <w:lang w:val="en-US" w:eastAsia="zh-CN"/>
              </w:rPr>
            </w:pPr>
            <w:r>
              <w:rPr>
                <w:rFonts w:hint="eastAsia" w:ascii="宋体" w:hAnsi="宋体"/>
                <w:sz w:val="18"/>
                <w:szCs w:val="18"/>
                <w:lang w:val="en-US" w:eastAsia="zh-CN"/>
              </w:rPr>
              <w:t>污水处理系统应符合下列要求：</w:t>
            </w:r>
          </w:p>
          <w:p w14:paraId="4AA00B12">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a）设备中皮带、齿轮、联轴器等传动部分应设有防护罩；</w:t>
            </w:r>
          </w:p>
          <w:p w14:paraId="18B09C0B">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b）设备在运转时可能产生可燃性气体的，排气管（孔）末(外)端应设置防火装置，主机及附件应使用防爆型设施；</w:t>
            </w:r>
          </w:p>
          <w:p w14:paraId="1FF7594C">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c）设备危险部分应设有明显警示标志；</w:t>
            </w:r>
          </w:p>
        </w:tc>
        <w:tc>
          <w:tcPr>
            <w:tcW w:w="605" w:type="dxa"/>
            <w:tcBorders>
              <w:top w:val="single" w:color="auto" w:sz="8" w:space="0"/>
              <w:bottom w:val="single" w:color="auto" w:sz="8" w:space="0"/>
            </w:tcBorders>
            <w:shd w:val="clear"/>
            <w:noWrap w:val="0"/>
            <w:vAlign w:val="center"/>
          </w:tcPr>
          <w:p w14:paraId="2E751E7E">
            <w:pPr>
              <w:ind w:left="-249" w:leftChars="-119"/>
              <w:jc w:val="center"/>
              <w:rPr>
                <w:rFonts w:ascii="宋体" w:hAnsi="宋体" w:eastAsia="宋体" w:cs="宋体"/>
                <w:kern w:val="2"/>
                <w:sz w:val="18"/>
                <w:szCs w:val="18"/>
                <w:lang w:val="en-US" w:eastAsia="zh-CN" w:bidi="ar-SA"/>
              </w:rPr>
            </w:pPr>
          </w:p>
        </w:tc>
        <w:tc>
          <w:tcPr>
            <w:tcW w:w="605" w:type="dxa"/>
            <w:tcBorders>
              <w:top w:val="single" w:color="auto" w:sz="8" w:space="0"/>
              <w:bottom w:val="single" w:color="auto" w:sz="8" w:space="0"/>
            </w:tcBorders>
            <w:shd w:val="clear"/>
            <w:noWrap w:val="0"/>
            <w:vAlign w:val="center"/>
          </w:tcPr>
          <w:p w14:paraId="2F4390A3">
            <w:pPr>
              <w:ind w:left="0" w:leftChars="0"/>
              <w:jc w:val="both"/>
              <w:rPr>
                <w:rFonts w:ascii="宋体" w:hAnsi="宋体" w:eastAsia="宋体" w:cs="宋体"/>
                <w:kern w:val="2"/>
                <w:sz w:val="18"/>
                <w:szCs w:val="18"/>
                <w:lang w:val="en-US" w:eastAsia="zh-CN" w:bidi="ar-SA"/>
              </w:rPr>
            </w:pPr>
          </w:p>
        </w:tc>
        <w:tc>
          <w:tcPr>
            <w:tcW w:w="654" w:type="dxa"/>
            <w:tcBorders>
              <w:top w:val="single" w:color="auto" w:sz="8" w:space="0"/>
              <w:bottom w:val="single" w:color="auto" w:sz="8" w:space="0"/>
            </w:tcBorders>
            <w:shd w:val="clear"/>
            <w:noWrap w:val="0"/>
            <w:vAlign w:val="center"/>
          </w:tcPr>
          <w:p w14:paraId="30F1A11C">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5</w:t>
            </w:r>
          </w:p>
        </w:tc>
        <w:tc>
          <w:tcPr>
            <w:tcW w:w="3018" w:type="dxa"/>
            <w:tcBorders>
              <w:top w:val="single" w:color="auto" w:sz="8" w:space="0"/>
              <w:bottom w:val="single" w:color="auto" w:sz="8" w:space="0"/>
            </w:tcBorders>
            <w:shd w:val="clear"/>
            <w:noWrap w:val="0"/>
            <w:vAlign w:val="center"/>
          </w:tcPr>
          <w:p w14:paraId="444EC6A5">
            <w:pPr>
              <w:jc w:val="left"/>
              <w:rPr>
                <w:rFonts w:hint="eastAsia" w:ascii="宋体" w:hAnsi="宋体" w:eastAsia="宋体" w:cs="宋体"/>
                <w:kern w:val="2"/>
                <w:sz w:val="18"/>
                <w:szCs w:val="18"/>
                <w:lang w:val="en-US" w:eastAsia="zh-CN" w:bidi="ar-SA"/>
              </w:rPr>
            </w:pPr>
          </w:p>
        </w:tc>
        <w:tc>
          <w:tcPr>
            <w:tcW w:w="605" w:type="dxa"/>
            <w:tcBorders>
              <w:top w:val="single" w:color="auto" w:sz="8" w:space="0"/>
              <w:bottom w:val="single" w:color="auto" w:sz="8" w:space="0"/>
            </w:tcBorders>
            <w:shd w:val="clear"/>
            <w:noWrap w:val="0"/>
            <w:vAlign w:val="center"/>
          </w:tcPr>
          <w:p w14:paraId="6A5499E6">
            <w:pPr>
              <w:jc w:val="center"/>
              <w:rPr>
                <w:rFonts w:ascii="宋体" w:hAnsi="宋体" w:eastAsia="宋体" w:cs="宋体"/>
                <w:kern w:val="2"/>
                <w:sz w:val="18"/>
                <w:szCs w:val="18"/>
                <w:lang w:val="en-US" w:eastAsia="zh-CN" w:bidi="ar-SA"/>
              </w:rPr>
            </w:pPr>
          </w:p>
        </w:tc>
        <w:tc>
          <w:tcPr>
            <w:tcW w:w="1373" w:type="dxa"/>
            <w:tcBorders>
              <w:top w:val="single" w:color="auto" w:sz="8" w:space="0"/>
              <w:bottom w:val="single" w:color="auto" w:sz="8" w:space="0"/>
            </w:tcBorders>
            <w:shd w:val="clear"/>
            <w:noWrap w:val="0"/>
            <w:vAlign w:val="center"/>
          </w:tcPr>
          <w:p w14:paraId="51A99D2D">
            <w:pPr>
              <w:jc w:val="left"/>
              <w:rPr>
                <w:rFonts w:ascii="宋体" w:hAnsi="宋体" w:eastAsia="宋体" w:cs="宋体"/>
                <w:kern w:val="2"/>
                <w:sz w:val="18"/>
                <w:szCs w:val="18"/>
                <w:lang w:val="en-US" w:eastAsia="zh-CN" w:bidi="ar-SA"/>
              </w:rPr>
            </w:pPr>
          </w:p>
        </w:tc>
        <w:tc>
          <w:tcPr>
            <w:tcW w:w="1311" w:type="dxa"/>
            <w:tcBorders>
              <w:top w:val="single" w:color="auto" w:sz="8" w:space="0"/>
              <w:bottom w:val="single" w:color="auto" w:sz="8" w:space="0"/>
            </w:tcBorders>
            <w:shd w:val="clear"/>
            <w:noWrap w:val="0"/>
            <w:vAlign w:val="center"/>
          </w:tcPr>
          <w:p w14:paraId="523730AB">
            <w:pPr>
              <w:jc w:val="center"/>
              <w:rPr>
                <w:rFonts w:hint="eastAsia" w:ascii="宋体" w:hAnsi="宋体" w:cs="宋体"/>
                <w:sz w:val="18"/>
                <w:szCs w:val="18"/>
                <w:lang w:val="en-US" w:eastAsia="zh-CN"/>
              </w:rPr>
            </w:pPr>
            <w:r>
              <w:rPr>
                <w:rFonts w:hint="eastAsia" w:ascii="宋体" w:hAnsi="宋体" w:cs="宋体"/>
                <w:sz w:val="18"/>
                <w:szCs w:val="18"/>
                <w:lang w:val="en-US" w:eastAsia="zh-CN"/>
              </w:rPr>
              <w:t>4.5.8.1</w:t>
            </w:r>
          </w:p>
          <w:p w14:paraId="42D10580">
            <w:pPr>
              <w:jc w:val="center"/>
              <w:rPr>
                <w:rFonts w:hint="eastAsia" w:ascii="宋体" w:hAnsi="宋体" w:cs="宋体"/>
                <w:sz w:val="18"/>
                <w:szCs w:val="18"/>
                <w:lang w:val="en-US" w:eastAsia="zh-CN"/>
              </w:rPr>
            </w:pPr>
            <w:r>
              <w:rPr>
                <w:rFonts w:hint="eastAsia" w:ascii="宋体" w:hAnsi="宋体" w:cs="宋体"/>
                <w:sz w:val="18"/>
                <w:szCs w:val="18"/>
                <w:lang w:val="en-US" w:eastAsia="zh-CN"/>
              </w:rPr>
              <w:t>4.5.8.2</w:t>
            </w:r>
          </w:p>
          <w:p w14:paraId="75500E72">
            <w:pPr>
              <w:jc w:val="center"/>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4.5.8.3</w:t>
            </w:r>
          </w:p>
        </w:tc>
      </w:tr>
    </w:tbl>
    <w:p w14:paraId="4516B360">
      <w:pPr>
        <w:rPr>
          <w:rFonts w:hint="eastAsia"/>
        </w:rPr>
      </w:pPr>
      <w:r>
        <w:rPr>
          <w:rFonts w:hint="eastAsia"/>
        </w:rPr>
        <w:br w:type="page"/>
      </w:r>
    </w:p>
    <w:p w14:paraId="498965C7">
      <w:pPr>
        <w:pStyle w:val="168"/>
        <w:widowControl/>
        <w:numPr>
          <w:ilvl w:val="0"/>
          <w:numId w:val="0"/>
        </w:numPr>
        <w:spacing w:before="156" w:after="156"/>
        <w:ind w:left="567" w:hanging="567"/>
      </w:pPr>
      <w:r>
        <w:rPr>
          <w:rFonts w:hint="eastAsia"/>
        </w:rPr>
        <w:t>表F.1 公用辅助用房及设备设施要素的安全生产等级评定细则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0"/>
        <w:gridCol w:w="6322"/>
        <w:gridCol w:w="605"/>
        <w:gridCol w:w="605"/>
        <w:gridCol w:w="654"/>
        <w:gridCol w:w="3018"/>
        <w:gridCol w:w="605"/>
        <w:gridCol w:w="1373"/>
        <w:gridCol w:w="1311"/>
      </w:tblGrid>
      <w:tr w14:paraId="52919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8" w:space="0"/>
              <w:bottom w:val="single" w:color="auto" w:sz="8" w:space="0"/>
            </w:tcBorders>
            <w:noWrap w:val="0"/>
            <w:vAlign w:val="center"/>
          </w:tcPr>
          <w:p w14:paraId="57D2195B">
            <w:pPr>
              <w:adjustRightInd w:val="0"/>
              <w:snapToGrid w:val="0"/>
              <w:jc w:val="center"/>
              <w:rPr>
                <w:rFonts w:ascii="宋体" w:hAnsi="宋体"/>
                <w:sz w:val="18"/>
                <w:szCs w:val="18"/>
              </w:rPr>
            </w:pPr>
            <w:r>
              <w:rPr>
                <w:rFonts w:ascii="宋体" w:hAnsi="宋体"/>
                <w:bCs/>
                <w:sz w:val="18"/>
                <w:szCs w:val="18"/>
              </w:rPr>
              <w:t>序号</w:t>
            </w:r>
          </w:p>
        </w:tc>
        <w:tc>
          <w:tcPr>
            <w:tcW w:w="6322" w:type="dxa"/>
            <w:tcBorders>
              <w:top w:val="single" w:color="auto" w:sz="8" w:space="0"/>
              <w:bottom w:val="single" w:color="auto" w:sz="8" w:space="0"/>
            </w:tcBorders>
            <w:noWrap w:val="0"/>
            <w:vAlign w:val="center"/>
          </w:tcPr>
          <w:p w14:paraId="1CA219E2">
            <w:pPr>
              <w:adjustRightInd w:val="0"/>
              <w:snapToGrid w:val="0"/>
              <w:jc w:val="center"/>
              <w:rPr>
                <w:rFonts w:ascii="宋体" w:hAnsi="宋体"/>
                <w:sz w:val="18"/>
                <w:szCs w:val="18"/>
              </w:rPr>
            </w:pPr>
            <w:r>
              <w:rPr>
                <w:rFonts w:ascii="宋体" w:hAnsi="宋体"/>
                <w:bCs/>
                <w:sz w:val="18"/>
                <w:szCs w:val="18"/>
              </w:rPr>
              <w:t>评定内容</w:t>
            </w:r>
          </w:p>
        </w:tc>
        <w:tc>
          <w:tcPr>
            <w:tcW w:w="605" w:type="dxa"/>
            <w:tcBorders>
              <w:top w:val="single" w:color="auto" w:sz="8" w:space="0"/>
              <w:bottom w:val="single" w:color="auto" w:sz="8" w:space="0"/>
            </w:tcBorders>
            <w:noWrap w:val="0"/>
            <w:vAlign w:val="center"/>
          </w:tcPr>
          <w:p w14:paraId="475ABF5A">
            <w:pPr>
              <w:adjustRightInd w:val="0"/>
              <w:snapToGrid w:val="0"/>
              <w:jc w:val="center"/>
              <w:rPr>
                <w:rFonts w:ascii="宋体" w:hAnsi="宋体"/>
                <w:sz w:val="18"/>
                <w:szCs w:val="18"/>
              </w:rPr>
            </w:pPr>
            <w:r>
              <w:rPr>
                <w:rFonts w:ascii="宋体" w:hAnsi="宋体"/>
                <w:bCs/>
                <w:sz w:val="18"/>
                <w:szCs w:val="18"/>
              </w:rPr>
              <w:t>评定要素分值</w:t>
            </w:r>
          </w:p>
        </w:tc>
        <w:tc>
          <w:tcPr>
            <w:tcW w:w="605" w:type="dxa"/>
            <w:tcBorders>
              <w:top w:val="single" w:color="auto" w:sz="8" w:space="0"/>
              <w:bottom w:val="single" w:color="auto" w:sz="8" w:space="0"/>
            </w:tcBorders>
            <w:noWrap w:val="0"/>
            <w:vAlign w:val="center"/>
          </w:tcPr>
          <w:p w14:paraId="48AC0D6B">
            <w:pPr>
              <w:adjustRightInd w:val="0"/>
              <w:snapToGrid w:val="0"/>
              <w:jc w:val="center"/>
              <w:rPr>
                <w:rFonts w:ascii="宋体" w:hAnsi="宋体"/>
                <w:sz w:val="18"/>
                <w:szCs w:val="18"/>
              </w:rPr>
            </w:pPr>
            <w:r>
              <w:rPr>
                <w:rFonts w:ascii="宋体" w:hAnsi="宋体"/>
                <w:bCs/>
                <w:sz w:val="18"/>
                <w:szCs w:val="18"/>
              </w:rPr>
              <w:t>评定细项分值</w:t>
            </w:r>
          </w:p>
        </w:tc>
        <w:tc>
          <w:tcPr>
            <w:tcW w:w="654" w:type="dxa"/>
            <w:tcBorders>
              <w:top w:val="single" w:color="auto" w:sz="8" w:space="0"/>
              <w:bottom w:val="single" w:color="auto" w:sz="8" w:space="0"/>
            </w:tcBorders>
            <w:noWrap w:val="0"/>
            <w:vAlign w:val="center"/>
          </w:tcPr>
          <w:p w14:paraId="153C833E">
            <w:pPr>
              <w:adjustRightInd w:val="0"/>
              <w:snapToGrid w:val="0"/>
              <w:jc w:val="center"/>
              <w:rPr>
                <w:rFonts w:ascii="宋体" w:hAnsi="宋体"/>
                <w:sz w:val="18"/>
                <w:szCs w:val="18"/>
              </w:rPr>
            </w:pPr>
            <w:r>
              <w:rPr>
                <w:rFonts w:ascii="宋体" w:hAnsi="宋体"/>
                <w:bCs/>
                <w:sz w:val="18"/>
                <w:szCs w:val="18"/>
              </w:rPr>
              <w:t>评定条款分值</w:t>
            </w:r>
          </w:p>
        </w:tc>
        <w:tc>
          <w:tcPr>
            <w:tcW w:w="3018" w:type="dxa"/>
            <w:tcBorders>
              <w:top w:val="single" w:color="auto" w:sz="8" w:space="0"/>
              <w:bottom w:val="single" w:color="auto" w:sz="8" w:space="0"/>
            </w:tcBorders>
            <w:noWrap w:val="0"/>
            <w:vAlign w:val="center"/>
          </w:tcPr>
          <w:p w14:paraId="6D31847B">
            <w:pPr>
              <w:adjustRightInd w:val="0"/>
              <w:snapToGrid w:val="0"/>
              <w:jc w:val="center"/>
              <w:rPr>
                <w:rFonts w:ascii="宋体" w:hAnsi="宋体"/>
                <w:sz w:val="18"/>
                <w:szCs w:val="18"/>
              </w:rPr>
            </w:pPr>
            <w:r>
              <w:rPr>
                <w:rFonts w:ascii="宋体" w:hAnsi="宋体"/>
                <w:bCs/>
                <w:sz w:val="18"/>
                <w:szCs w:val="18"/>
              </w:rPr>
              <w:t>评分标准</w:t>
            </w:r>
          </w:p>
        </w:tc>
        <w:tc>
          <w:tcPr>
            <w:tcW w:w="605" w:type="dxa"/>
            <w:tcBorders>
              <w:top w:val="single" w:color="auto" w:sz="8" w:space="0"/>
              <w:bottom w:val="single" w:color="auto" w:sz="8" w:space="0"/>
            </w:tcBorders>
            <w:noWrap w:val="0"/>
            <w:vAlign w:val="center"/>
          </w:tcPr>
          <w:p w14:paraId="31A04E81">
            <w:pPr>
              <w:adjustRightInd w:val="0"/>
              <w:snapToGrid w:val="0"/>
              <w:jc w:val="center"/>
              <w:rPr>
                <w:rFonts w:ascii="宋体" w:hAnsi="宋体"/>
                <w:sz w:val="18"/>
                <w:szCs w:val="18"/>
              </w:rPr>
            </w:pPr>
            <w:r>
              <w:rPr>
                <w:rFonts w:ascii="宋体" w:hAnsi="宋体"/>
                <w:bCs/>
                <w:sz w:val="18"/>
                <w:szCs w:val="18"/>
              </w:rPr>
              <w:t>评定得分</w:t>
            </w:r>
          </w:p>
        </w:tc>
        <w:tc>
          <w:tcPr>
            <w:tcW w:w="1373" w:type="dxa"/>
            <w:tcBorders>
              <w:top w:val="single" w:color="auto" w:sz="8" w:space="0"/>
              <w:bottom w:val="single" w:color="auto" w:sz="8" w:space="0"/>
            </w:tcBorders>
            <w:noWrap w:val="0"/>
            <w:vAlign w:val="center"/>
          </w:tcPr>
          <w:p w14:paraId="084BD5E1">
            <w:pPr>
              <w:adjustRightInd w:val="0"/>
              <w:snapToGrid w:val="0"/>
              <w:jc w:val="center"/>
              <w:rPr>
                <w:rFonts w:ascii="宋体" w:hAnsi="宋体"/>
                <w:sz w:val="18"/>
                <w:szCs w:val="18"/>
              </w:rPr>
            </w:pPr>
            <w:r>
              <w:rPr>
                <w:rFonts w:ascii="宋体" w:hAnsi="宋体"/>
                <w:bCs/>
                <w:sz w:val="18"/>
                <w:szCs w:val="18"/>
              </w:rPr>
              <w:t>扣分说明</w:t>
            </w:r>
          </w:p>
        </w:tc>
        <w:tc>
          <w:tcPr>
            <w:tcW w:w="1311" w:type="dxa"/>
            <w:tcBorders>
              <w:top w:val="single" w:color="auto" w:sz="8" w:space="0"/>
              <w:bottom w:val="single" w:color="auto" w:sz="8" w:space="0"/>
            </w:tcBorders>
            <w:noWrap w:val="0"/>
            <w:vAlign w:val="center"/>
          </w:tcPr>
          <w:p w14:paraId="7996BD72">
            <w:pPr>
              <w:adjustRightInd w:val="0"/>
              <w:snapToGrid w:val="0"/>
              <w:jc w:val="center"/>
              <w:rPr>
                <w:rFonts w:ascii="宋体" w:hAnsi="宋体"/>
                <w:sz w:val="18"/>
                <w:szCs w:val="18"/>
              </w:rPr>
            </w:pPr>
            <w:r>
              <w:rPr>
                <w:rFonts w:ascii="宋体" w:hAnsi="宋体"/>
                <w:bCs/>
                <w:sz w:val="18"/>
                <w:szCs w:val="18"/>
              </w:rPr>
              <w:t>对应条款编号</w:t>
            </w:r>
          </w:p>
        </w:tc>
      </w:tr>
      <w:tr w14:paraId="2E3EA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noWrap w:val="0"/>
            <w:vAlign w:val="center"/>
          </w:tcPr>
          <w:p w14:paraId="7436B397">
            <w:pPr>
              <w:ind w:right="-250" w:firstLine="180" w:firstLineChars="100"/>
              <w:rPr>
                <w:rFonts w:hint="default" w:ascii="宋体" w:hAnsi="宋体" w:eastAsia="宋体"/>
                <w:sz w:val="18"/>
                <w:szCs w:val="18"/>
                <w:lang w:val="en-US" w:eastAsia="zh-CN"/>
              </w:rPr>
            </w:pPr>
          </w:p>
        </w:tc>
        <w:tc>
          <w:tcPr>
            <w:tcW w:w="6322" w:type="dxa"/>
            <w:tcBorders>
              <w:top w:val="single" w:color="auto" w:sz="8" w:space="0"/>
              <w:bottom w:val="single" w:color="auto" w:sz="8" w:space="0"/>
            </w:tcBorders>
            <w:noWrap w:val="0"/>
            <w:vAlign w:val="center"/>
          </w:tcPr>
          <w:p w14:paraId="6348E514">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d）净化池应配备防坠落网或救生设备；</w:t>
            </w:r>
          </w:p>
          <w:p w14:paraId="42B0800E">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e）室内的处理装置区域应设置局部通风，气浮池应设置排气设施；</w:t>
            </w:r>
          </w:p>
          <w:p w14:paraId="36A054B5">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f）污水处理池的四周应设置防护栏，防护栏应完好；池周边应设置无关人员不应入内等安全警示标志；有台阶或可能导致人员跌落的部位，应设置防止跌落的安全警示标志；</w:t>
            </w:r>
          </w:p>
          <w:p w14:paraId="06079E97">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g）维修作业时应穿戴一次性衣服，防护罩、防护手套等防护用品，在加药药设施旁边还应设置洗眼液等防护设施。</w:t>
            </w:r>
          </w:p>
        </w:tc>
        <w:tc>
          <w:tcPr>
            <w:tcW w:w="605" w:type="dxa"/>
            <w:tcBorders>
              <w:top w:val="single" w:color="auto" w:sz="8" w:space="0"/>
              <w:bottom w:val="single" w:color="auto" w:sz="8" w:space="0"/>
            </w:tcBorders>
            <w:noWrap w:val="0"/>
            <w:vAlign w:val="center"/>
          </w:tcPr>
          <w:p w14:paraId="2197C0A7">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center"/>
          </w:tcPr>
          <w:p w14:paraId="194E04C4">
            <w:pPr>
              <w:ind w:left="0" w:leftChars="0"/>
              <w:jc w:val="center"/>
              <w:rPr>
                <w:rFonts w:hint="default" w:ascii="宋体" w:hAnsi="宋体" w:eastAsia="宋体" w:cs="宋体"/>
                <w:sz w:val="18"/>
                <w:szCs w:val="18"/>
                <w:lang w:val="en-US" w:eastAsia="zh-CN"/>
              </w:rPr>
            </w:pPr>
          </w:p>
        </w:tc>
        <w:tc>
          <w:tcPr>
            <w:tcW w:w="654" w:type="dxa"/>
            <w:tcBorders>
              <w:top w:val="single" w:color="auto" w:sz="8" w:space="0"/>
              <w:bottom w:val="single" w:color="auto" w:sz="8" w:space="0"/>
            </w:tcBorders>
            <w:noWrap w:val="0"/>
            <w:vAlign w:val="center"/>
          </w:tcPr>
          <w:p w14:paraId="7F2DB66A">
            <w:pPr>
              <w:ind w:firstLine="180" w:firstLineChars="100"/>
              <w:rPr>
                <w:rFonts w:hint="eastAsia" w:ascii="宋体" w:hAnsi="宋体" w:cs="宋体"/>
                <w:sz w:val="18"/>
                <w:szCs w:val="18"/>
              </w:rPr>
            </w:pPr>
          </w:p>
        </w:tc>
        <w:tc>
          <w:tcPr>
            <w:tcW w:w="3018" w:type="dxa"/>
            <w:tcBorders>
              <w:top w:val="single" w:color="auto" w:sz="8" w:space="0"/>
              <w:bottom w:val="single" w:color="auto" w:sz="8" w:space="0"/>
            </w:tcBorders>
            <w:noWrap w:val="0"/>
            <w:vAlign w:val="center"/>
          </w:tcPr>
          <w:p w14:paraId="54E0163E">
            <w:pPr>
              <w:jc w:val="left"/>
              <w:rPr>
                <w:rFonts w:hint="eastAsia" w:ascii="宋体" w:hAnsi="宋体" w:cs="宋体"/>
                <w:sz w:val="18"/>
                <w:szCs w:val="18"/>
              </w:rPr>
            </w:pPr>
          </w:p>
        </w:tc>
        <w:tc>
          <w:tcPr>
            <w:tcW w:w="605" w:type="dxa"/>
            <w:tcBorders>
              <w:top w:val="single" w:color="auto" w:sz="8" w:space="0"/>
              <w:bottom w:val="single" w:color="auto" w:sz="8" w:space="0"/>
            </w:tcBorders>
            <w:noWrap w:val="0"/>
            <w:vAlign w:val="center"/>
          </w:tcPr>
          <w:p w14:paraId="002BD73F">
            <w:pPr>
              <w:jc w:val="center"/>
              <w:rPr>
                <w:rFonts w:ascii="宋体" w:hAnsi="宋体" w:cs="宋体"/>
                <w:sz w:val="18"/>
                <w:szCs w:val="18"/>
              </w:rPr>
            </w:pPr>
          </w:p>
        </w:tc>
        <w:tc>
          <w:tcPr>
            <w:tcW w:w="1373" w:type="dxa"/>
            <w:tcBorders>
              <w:top w:val="single" w:color="auto" w:sz="8" w:space="0"/>
              <w:bottom w:val="single" w:color="auto" w:sz="8" w:space="0"/>
            </w:tcBorders>
            <w:noWrap w:val="0"/>
            <w:vAlign w:val="center"/>
          </w:tcPr>
          <w:p w14:paraId="596957D9">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46988DD7">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4.5.8.4</w:t>
            </w:r>
          </w:p>
        </w:tc>
      </w:tr>
      <w:tr w14:paraId="6CD02E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noWrap w:val="0"/>
            <w:vAlign w:val="center"/>
          </w:tcPr>
          <w:p w14:paraId="65169E6B">
            <w:pPr>
              <w:ind w:right="0" w:firstLine="90" w:firstLineChars="50"/>
              <w:jc w:val="center"/>
              <w:rPr>
                <w:rFonts w:hint="default" w:ascii="宋体" w:hAnsi="宋体"/>
                <w:sz w:val="18"/>
                <w:szCs w:val="18"/>
                <w:lang w:val="en-US" w:eastAsia="zh-CN"/>
              </w:rPr>
            </w:pPr>
            <w:r>
              <w:rPr>
                <w:rFonts w:hint="eastAsia" w:ascii="宋体" w:hAnsi="宋体"/>
                <w:sz w:val="18"/>
                <w:szCs w:val="18"/>
                <w:lang w:val="en-US" w:eastAsia="zh-CN"/>
              </w:rPr>
              <w:t>5.9</w:t>
            </w:r>
          </w:p>
        </w:tc>
        <w:tc>
          <w:tcPr>
            <w:tcW w:w="6322" w:type="dxa"/>
            <w:tcBorders>
              <w:top w:val="single" w:color="auto" w:sz="8" w:space="0"/>
              <w:bottom w:val="single" w:color="auto" w:sz="8" w:space="0"/>
            </w:tcBorders>
            <w:noWrap w:val="0"/>
            <w:vAlign w:val="center"/>
          </w:tcPr>
          <w:p w14:paraId="30DF5350">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视频监控</w:t>
            </w:r>
          </w:p>
        </w:tc>
        <w:tc>
          <w:tcPr>
            <w:tcW w:w="605" w:type="dxa"/>
            <w:tcBorders>
              <w:top w:val="single" w:color="auto" w:sz="8" w:space="0"/>
              <w:bottom w:val="single" w:color="auto" w:sz="8" w:space="0"/>
            </w:tcBorders>
            <w:noWrap w:val="0"/>
            <w:vAlign w:val="center"/>
          </w:tcPr>
          <w:p w14:paraId="1885380A">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center"/>
          </w:tcPr>
          <w:p w14:paraId="6A063E3C">
            <w:pPr>
              <w:ind w:left="0" w:leftChars="0"/>
              <w:jc w:val="both"/>
              <w:rPr>
                <w:rFonts w:ascii="宋体" w:hAnsi="宋体" w:cs="宋体"/>
                <w:sz w:val="18"/>
                <w:szCs w:val="18"/>
              </w:rPr>
            </w:pPr>
          </w:p>
        </w:tc>
        <w:tc>
          <w:tcPr>
            <w:tcW w:w="654" w:type="dxa"/>
            <w:tcBorders>
              <w:top w:val="single" w:color="auto" w:sz="8" w:space="0"/>
              <w:bottom w:val="single" w:color="auto" w:sz="8" w:space="0"/>
            </w:tcBorders>
            <w:noWrap w:val="0"/>
            <w:vAlign w:val="center"/>
          </w:tcPr>
          <w:p w14:paraId="23B58B0A">
            <w:pPr>
              <w:ind w:firstLine="180" w:firstLineChars="100"/>
              <w:rPr>
                <w:rFonts w:hint="eastAsia" w:ascii="宋体" w:hAnsi="宋体" w:cs="宋体"/>
                <w:sz w:val="18"/>
                <w:szCs w:val="18"/>
                <w:lang w:val="en-US" w:eastAsia="zh-CN"/>
              </w:rPr>
            </w:pPr>
          </w:p>
        </w:tc>
        <w:tc>
          <w:tcPr>
            <w:tcW w:w="3018" w:type="dxa"/>
            <w:tcBorders>
              <w:top w:val="single" w:color="auto" w:sz="8" w:space="0"/>
              <w:bottom w:val="single" w:color="auto" w:sz="8" w:space="0"/>
            </w:tcBorders>
            <w:noWrap w:val="0"/>
            <w:vAlign w:val="center"/>
          </w:tcPr>
          <w:p w14:paraId="4DDCF7DA">
            <w:pPr>
              <w:jc w:val="left"/>
              <w:rPr>
                <w:rFonts w:hint="eastAsia" w:ascii="宋体" w:hAnsi="宋体" w:cs="宋体"/>
                <w:sz w:val="18"/>
                <w:szCs w:val="18"/>
              </w:rPr>
            </w:pPr>
          </w:p>
        </w:tc>
        <w:tc>
          <w:tcPr>
            <w:tcW w:w="605" w:type="dxa"/>
            <w:tcBorders>
              <w:top w:val="single" w:color="auto" w:sz="8" w:space="0"/>
              <w:bottom w:val="single" w:color="auto" w:sz="8" w:space="0"/>
            </w:tcBorders>
            <w:noWrap w:val="0"/>
            <w:vAlign w:val="center"/>
          </w:tcPr>
          <w:p w14:paraId="2C2870C4">
            <w:pPr>
              <w:jc w:val="center"/>
              <w:rPr>
                <w:rFonts w:ascii="宋体" w:hAnsi="宋体" w:cs="宋体"/>
                <w:sz w:val="18"/>
                <w:szCs w:val="18"/>
              </w:rPr>
            </w:pPr>
          </w:p>
        </w:tc>
        <w:tc>
          <w:tcPr>
            <w:tcW w:w="1373" w:type="dxa"/>
            <w:tcBorders>
              <w:top w:val="single" w:color="auto" w:sz="8" w:space="0"/>
              <w:bottom w:val="single" w:color="auto" w:sz="8" w:space="0"/>
            </w:tcBorders>
            <w:noWrap w:val="0"/>
            <w:vAlign w:val="center"/>
          </w:tcPr>
          <w:p w14:paraId="12EC46E7">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752C9A2B">
            <w:pPr>
              <w:jc w:val="center"/>
              <w:rPr>
                <w:rFonts w:hint="default" w:ascii="宋体" w:hAnsi="宋体" w:cs="宋体"/>
                <w:sz w:val="18"/>
                <w:szCs w:val="18"/>
                <w:lang w:val="en-US" w:eastAsia="zh-CN"/>
              </w:rPr>
            </w:pPr>
            <w:r>
              <w:rPr>
                <w:rFonts w:hint="eastAsia" w:ascii="宋体" w:hAnsi="宋体" w:cs="宋体"/>
                <w:sz w:val="18"/>
                <w:szCs w:val="18"/>
                <w:lang w:val="en-US" w:eastAsia="zh-CN"/>
              </w:rPr>
              <w:t>5.9</w:t>
            </w:r>
          </w:p>
        </w:tc>
      </w:tr>
      <w:tr w14:paraId="1B9362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60" w:type="dxa"/>
            <w:tcBorders>
              <w:top w:val="single" w:color="auto" w:sz="8" w:space="0"/>
              <w:bottom w:val="single" w:color="auto" w:sz="8" w:space="0"/>
            </w:tcBorders>
            <w:noWrap w:val="0"/>
            <w:vAlign w:val="center"/>
          </w:tcPr>
          <w:p w14:paraId="49462FD7">
            <w:pPr>
              <w:ind w:right="0" w:firstLine="90" w:firstLineChars="50"/>
              <w:jc w:val="center"/>
              <w:rPr>
                <w:rFonts w:hint="default" w:ascii="宋体" w:hAnsi="宋体"/>
                <w:sz w:val="18"/>
                <w:szCs w:val="18"/>
                <w:lang w:val="en-US" w:eastAsia="zh-CN"/>
              </w:rPr>
            </w:pPr>
            <w:r>
              <w:rPr>
                <w:rFonts w:hint="eastAsia" w:ascii="宋体" w:hAnsi="宋体"/>
                <w:sz w:val="18"/>
                <w:szCs w:val="18"/>
                <w:lang w:val="en-US" w:eastAsia="zh-CN"/>
              </w:rPr>
              <w:t>5.9.1</w:t>
            </w:r>
          </w:p>
        </w:tc>
        <w:tc>
          <w:tcPr>
            <w:tcW w:w="6322" w:type="dxa"/>
            <w:tcBorders>
              <w:top w:val="single" w:color="auto" w:sz="8" w:space="0"/>
              <w:bottom w:val="single" w:color="auto" w:sz="8" w:space="0"/>
            </w:tcBorders>
            <w:noWrap w:val="0"/>
            <w:vAlign w:val="center"/>
          </w:tcPr>
          <w:p w14:paraId="6BEACFCC">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应设置视频监控系统，并符合下列要求：</w:t>
            </w:r>
          </w:p>
          <w:p w14:paraId="760F3A58">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a)景区出口处和相关人员密集场所，重要物资储存部位等要害部位，历史文物、古迹和重要文化场所和其他安全风险较大的场所应设置监视摄像头；</w:t>
            </w:r>
          </w:p>
          <w:p w14:paraId="319189AE">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b)应定期对各部位设置的摄像头进行保养、检查；</w:t>
            </w:r>
          </w:p>
          <w:p w14:paraId="1418B35E">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c)视频监控系统终端应设置在控制室内，对监视图像进行24 h监视，录像资料应保存至少30 d备查；</w:t>
            </w:r>
          </w:p>
          <w:p w14:paraId="5A0415E3">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d)建立视频监控系统设置清单或图表，标明位置、种类和功能、检查检测周期和结果等；</w:t>
            </w:r>
          </w:p>
          <w:p w14:paraId="4DA7CA30">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e)视频监控系统的主电源应采用消防电源；</w:t>
            </w:r>
          </w:p>
          <w:p w14:paraId="6CEAEB4F">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f)设置监视摄像头的部位，应设置标识。</w:t>
            </w:r>
          </w:p>
        </w:tc>
        <w:tc>
          <w:tcPr>
            <w:tcW w:w="605" w:type="dxa"/>
            <w:tcBorders>
              <w:top w:val="single" w:color="auto" w:sz="8" w:space="0"/>
              <w:bottom w:val="single" w:color="auto" w:sz="8" w:space="0"/>
            </w:tcBorders>
            <w:noWrap w:val="0"/>
            <w:vAlign w:val="center"/>
          </w:tcPr>
          <w:p w14:paraId="6994D049">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center"/>
          </w:tcPr>
          <w:p w14:paraId="21A38455">
            <w:pPr>
              <w:ind w:left="0" w:leftChars="0"/>
              <w:jc w:val="both"/>
              <w:rPr>
                <w:rFonts w:ascii="宋体" w:hAnsi="宋体" w:cs="宋体"/>
                <w:sz w:val="18"/>
                <w:szCs w:val="18"/>
              </w:rPr>
            </w:pPr>
          </w:p>
        </w:tc>
        <w:tc>
          <w:tcPr>
            <w:tcW w:w="654" w:type="dxa"/>
            <w:tcBorders>
              <w:top w:val="single" w:color="auto" w:sz="8" w:space="0"/>
              <w:bottom w:val="single" w:color="auto" w:sz="8" w:space="0"/>
            </w:tcBorders>
            <w:noWrap w:val="0"/>
            <w:vAlign w:val="center"/>
          </w:tcPr>
          <w:p w14:paraId="6C54A2A9">
            <w:pPr>
              <w:ind w:firstLine="180" w:firstLineChars="100"/>
              <w:rPr>
                <w:rFonts w:hint="eastAsia" w:ascii="宋体" w:hAnsi="宋体" w:cs="宋体"/>
                <w:sz w:val="18"/>
                <w:szCs w:val="18"/>
                <w:lang w:val="en-US" w:eastAsia="zh-CN"/>
              </w:rPr>
            </w:pPr>
          </w:p>
        </w:tc>
        <w:tc>
          <w:tcPr>
            <w:tcW w:w="3018" w:type="dxa"/>
            <w:tcBorders>
              <w:top w:val="single" w:color="auto" w:sz="8" w:space="0"/>
              <w:bottom w:val="single" w:color="auto" w:sz="8" w:space="0"/>
            </w:tcBorders>
            <w:noWrap w:val="0"/>
            <w:vAlign w:val="center"/>
          </w:tcPr>
          <w:p w14:paraId="4EE759FE">
            <w:pPr>
              <w:jc w:val="left"/>
              <w:rPr>
                <w:rFonts w:hint="eastAsia" w:ascii="宋体" w:hAnsi="宋体" w:cs="宋体"/>
                <w:sz w:val="18"/>
                <w:szCs w:val="18"/>
              </w:rPr>
            </w:pPr>
          </w:p>
        </w:tc>
        <w:tc>
          <w:tcPr>
            <w:tcW w:w="605" w:type="dxa"/>
            <w:tcBorders>
              <w:top w:val="single" w:color="auto" w:sz="8" w:space="0"/>
              <w:bottom w:val="single" w:color="auto" w:sz="8" w:space="0"/>
            </w:tcBorders>
            <w:noWrap w:val="0"/>
            <w:vAlign w:val="center"/>
          </w:tcPr>
          <w:p w14:paraId="1C70DA19">
            <w:pPr>
              <w:jc w:val="center"/>
              <w:rPr>
                <w:rFonts w:ascii="宋体" w:hAnsi="宋体" w:cs="宋体"/>
                <w:sz w:val="18"/>
                <w:szCs w:val="18"/>
              </w:rPr>
            </w:pPr>
          </w:p>
        </w:tc>
        <w:tc>
          <w:tcPr>
            <w:tcW w:w="1373" w:type="dxa"/>
            <w:tcBorders>
              <w:top w:val="single" w:color="auto" w:sz="8" w:space="0"/>
              <w:bottom w:val="single" w:color="auto" w:sz="8" w:space="0"/>
            </w:tcBorders>
            <w:noWrap w:val="0"/>
            <w:vAlign w:val="center"/>
          </w:tcPr>
          <w:p w14:paraId="39E703B0">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0CE13621">
            <w:pPr>
              <w:jc w:val="center"/>
              <w:rPr>
                <w:rFonts w:hint="eastAsia" w:ascii="宋体" w:hAnsi="宋体" w:cs="宋体"/>
                <w:sz w:val="18"/>
                <w:szCs w:val="18"/>
                <w:lang w:val="en-US" w:eastAsia="zh-CN"/>
              </w:rPr>
            </w:pPr>
            <w:r>
              <w:rPr>
                <w:rFonts w:hint="eastAsia" w:ascii="宋体" w:hAnsi="宋体" w:cs="宋体"/>
                <w:sz w:val="18"/>
                <w:szCs w:val="18"/>
                <w:lang w:val="en-US" w:eastAsia="zh-CN"/>
              </w:rPr>
              <w:t>4.5.9.1</w:t>
            </w:r>
          </w:p>
          <w:p w14:paraId="527B353E">
            <w:pPr>
              <w:jc w:val="center"/>
              <w:rPr>
                <w:rFonts w:hint="eastAsia" w:ascii="宋体" w:hAnsi="宋体" w:cs="宋体"/>
                <w:sz w:val="18"/>
                <w:szCs w:val="18"/>
                <w:lang w:val="en-US" w:eastAsia="zh-CN"/>
              </w:rPr>
            </w:pPr>
            <w:r>
              <w:rPr>
                <w:rFonts w:hint="eastAsia" w:ascii="宋体" w:hAnsi="宋体" w:cs="宋体"/>
                <w:sz w:val="18"/>
                <w:szCs w:val="18"/>
                <w:lang w:val="en-US" w:eastAsia="zh-CN"/>
              </w:rPr>
              <w:t>4.5.9.2</w:t>
            </w:r>
          </w:p>
          <w:p w14:paraId="358E30C3">
            <w:pPr>
              <w:jc w:val="center"/>
              <w:rPr>
                <w:rFonts w:hint="eastAsia" w:ascii="宋体" w:hAnsi="宋体" w:cs="宋体"/>
                <w:sz w:val="18"/>
                <w:szCs w:val="18"/>
                <w:lang w:val="en-US" w:eastAsia="zh-CN"/>
              </w:rPr>
            </w:pPr>
            <w:r>
              <w:rPr>
                <w:rFonts w:hint="eastAsia" w:ascii="宋体" w:hAnsi="宋体" w:cs="宋体"/>
                <w:sz w:val="18"/>
                <w:szCs w:val="18"/>
                <w:lang w:val="en-US" w:eastAsia="zh-CN"/>
              </w:rPr>
              <w:t>4.5.9.3</w:t>
            </w:r>
          </w:p>
          <w:p w14:paraId="41AF7BB0">
            <w:pPr>
              <w:jc w:val="center"/>
              <w:rPr>
                <w:rFonts w:hint="eastAsia" w:ascii="宋体" w:hAnsi="宋体" w:cs="宋体"/>
                <w:sz w:val="18"/>
                <w:szCs w:val="18"/>
                <w:lang w:val="en-US" w:eastAsia="zh-CN"/>
              </w:rPr>
            </w:pPr>
            <w:r>
              <w:rPr>
                <w:rFonts w:hint="eastAsia" w:ascii="宋体" w:hAnsi="宋体" w:cs="宋体"/>
                <w:sz w:val="18"/>
                <w:szCs w:val="18"/>
                <w:lang w:val="en-US" w:eastAsia="zh-CN"/>
              </w:rPr>
              <w:t>4.5.9.4</w:t>
            </w:r>
          </w:p>
          <w:p w14:paraId="7052CC0B">
            <w:pPr>
              <w:jc w:val="center"/>
              <w:rPr>
                <w:rFonts w:hint="eastAsia" w:ascii="宋体" w:hAnsi="宋体" w:cs="宋体"/>
                <w:sz w:val="18"/>
                <w:szCs w:val="18"/>
                <w:lang w:val="en-US" w:eastAsia="zh-CN"/>
              </w:rPr>
            </w:pPr>
            <w:r>
              <w:rPr>
                <w:rFonts w:hint="eastAsia" w:ascii="宋体" w:hAnsi="宋体" w:cs="宋体"/>
                <w:sz w:val="18"/>
                <w:szCs w:val="18"/>
                <w:lang w:val="en-US" w:eastAsia="zh-CN"/>
              </w:rPr>
              <w:t>4.5.9.5</w:t>
            </w:r>
          </w:p>
          <w:p w14:paraId="57160C78">
            <w:pPr>
              <w:jc w:val="center"/>
              <w:rPr>
                <w:rFonts w:hint="default" w:ascii="宋体" w:hAnsi="宋体" w:cs="宋体"/>
                <w:sz w:val="18"/>
                <w:szCs w:val="18"/>
                <w:lang w:val="en-US" w:eastAsia="zh-CN"/>
              </w:rPr>
            </w:pPr>
            <w:r>
              <w:rPr>
                <w:rFonts w:hint="eastAsia" w:ascii="宋体" w:hAnsi="宋体" w:cs="宋体"/>
                <w:sz w:val="18"/>
                <w:szCs w:val="18"/>
                <w:lang w:val="en-US" w:eastAsia="zh-CN"/>
              </w:rPr>
              <w:t>4.5.9.6</w:t>
            </w:r>
          </w:p>
        </w:tc>
      </w:tr>
      <w:tr w14:paraId="0BF16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60" w:type="dxa"/>
            <w:tcBorders>
              <w:top w:val="single" w:color="auto" w:sz="8" w:space="0"/>
              <w:bottom w:val="single" w:color="auto" w:sz="8" w:space="0"/>
            </w:tcBorders>
            <w:noWrap w:val="0"/>
            <w:vAlign w:val="center"/>
          </w:tcPr>
          <w:p w14:paraId="1ED8304D">
            <w:pPr>
              <w:ind w:right="-250" w:firstLine="180" w:firstLineChars="100"/>
              <w:rPr>
                <w:rFonts w:hint="default" w:ascii="宋体" w:hAnsi="宋体" w:eastAsia="宋体"/>
                <w:sz w:val="18"/>
                <w:szCs w:val="18"/>
                <w:lang w:val="en-US" w:eastAsia="zh-CN"/>
              </w:rPr>
            </w:pPr>
            <w:r>
              <w:rPr>
                <w:rFonts w:hint="eastAsia" w:ascii="宋体"/>
                <w:kern w:val="0"/>
                <w:sz w:val="18"/>
                <w:szCs w:val="18"/>
              </w:rPr>
              <w:t>5.</w:t>
            </w:r>
            <w:r>
              <w:rPr>
                <w:rFonts w:hint="eastAsia" w:ascii="宋体"/>
                <w:kern w:val="0"/>
                <w:sz w:val="18"/>
                <w:szCs w:val="18"/>
                <w:lang w:val="en-US" w:eastAsia="zh-CN"/>
              </w:rPr>
              <w:t>10</w:t>
            </w:r>
          </w:p>
        </w:tc>
        <w:tc>
          <w:tcPr>
            <w:tcW w:w="6322" w:type="dxa"/>
            <w:tcBorders>
              <w:top w:val="single" w:color="auto" w:sz="8" w:space="0"/>
              <w:bottom w:val="single" w:color="auto" w:sz="8" w:space="0"/>
            </w:tcBorders>
            <w:noWrap w:val="0"/>
            <w:vAlign w:val="center"/>
          </w:tcPr>
          <w:p w14:paraId="38F257D6">
            <w:pPr>
              <w:adjustRightInd w:val="0"/>
              <w:snapToGrid w:val="0"/>
              <w:rPr>
                <w:rFonts w:ascii="宋体" w:hAnsi="宋体"/>
                <w:sz w:val="18"/>
                <w:szCs w:val="18"/>
              </w:rPr>
            </w:pPr>
            <w:r>
              <w:rPr>
                <w:rFonts w:hint="eastAsia" w:ascii="宋体" w:hAnsi="宋体"/>
                <w:sz w:val="18"/>
                <w:szCs w:val="18"/>
              </w:rPr>
              <w:t>其他设备</w:t>
            </w:r>
          </w:p>
        </w:tc>
        <w:tc>
          <w:tcPr>
            <w:tcW w:w="605" w:type="dxa"/>
            <w:tcBorders>
              <w:top w:val="single" w:color="auto" w:sz="8" w:space="0"/>
              <w:bottom w:val="single" w:color="auto" w:sz="8" w:space="0"/>
            </w:tcBorders>
            <w:noWrap w:val="0"/>
            <w:vAlign w:val="top"/>
          </w:tcPr>
          <w:p w14:paraId="19EF947F">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top"/>
          </w:tcPr>
          <w:p w14:paraId="05480F9F">
            <w:pPr>
              <w:ind w:left="0" w:leftChars="0"/>
              <w:jc w:val="center"/>
              <w:rPr>
                <w:rFonts w:ascii="宋体" w:hAnsi="宋体" w:cs="宋体"/>
                <w:sz w:val="18"/>
                <w:szCs w:val="18"/>
              </w:rPr>
            </w:pPr>
            <w:r>
              <w:rPr>
                <w:rFonts w:hint="eastAsia" w:ascii="宋体" w:hAnsi="宋体" w:cs="宋体"/>
                <w:sz w:val="18"/>
                <w:szCs w:val="18"/>
              </w:rPr>
              <w:t>5</w:t>
            </w:r>
          </w:p>
        </w:tc>
        <w:tc>
          <w:tcPr>
            <w:tcW w:w="654" w:type="dxa"/>
            <w:tcBorders>
              <w:top w:val="single" w:color="auto" w:sz="8" w:space="0"/>
              <w:bottom w:val="single" w:color="auto" w:sz="8" w:space="0"/>
            </w:tcBorders>
            <w:noWrap w:val="0"/>
            <w:vAlign w:val="center"/>
          </w:tcPr>
          <w:p w14:paraId="3272B978">
            <w:pPr>
              <w:ind w:firstLine="180" w:firstLineChars="100"/>
              <w:rPr>
                <w:rFonts w:ascii="宋体" w:hAnsi="宋体" w:cs="宋体"/>
                <w:sz w:val="18"/>
                <w:szCs w:val="18"/>
              </w:rPr>
            </w:pPr>
          </w:p>
        </w:tc>
        <w:tc>
          <w:tcPr>
            <w:tcW w:w="3018" w:type="dxa"/>
            <w:tcBorders>
              <w:top w:val="single" w:color="auto" w:sz="8" w:space="0"/>
              <w:bottom w:val="single" w:color="auto" w:sz="8" w:space="0"/>
            </w:tcBorders>
            <w:noWrap w:val="0"/>
            <w:vAlign w:val="center"/>
          </w:tcPr>
          <w:p w14:paraId="6E8B62BE">
            <w:pPr>
              <w:jc w:val="left"/>
              <w:rPr>
                <w:rFonts w:hint="eastAsia" w:ascii="宋体" w:hAnsi="宋体" w:cs="宋体"/>
                <w:sz w:val="18"/>
                <w:szCs w:val="18"/>
              </w:rPr>
            </w:pPr>
          </w:p>
        </w:tc>
        <w:tc>
          <w:tcPr>
            <w:tcW w:w="605" w:type="dxa"/>
            <w:tcBorders>
              <w:top w:val="single" w:color="auto" w:sz="8" w:space="0"/>
              <w:bottom w:val="single" w:color="auto" w:sz="8" w:space="0"/>
            </w:tcBorders>
            <w:noWrap w:val="0"/>
            <w:vAlign w:val="top"/>
          </w:tcPr>
          <w:p w14:paraId="2E05F809">
            <w:pPr>
              <w:jc w:val="center"/>
              <w:rPr>
                <w:rFonts w:ascii="宋体" w:hAnsi="宋体" w:cs="宋体"/>
                <w:sz w:val="18"/>
                <w:szCs w:val="18"/>
              </w:rPr>
            </w:pPr>
          </w:p>
        </w:tc>
        <w:tc>
          <w:tcPr>
            <w:tcW w:w="1373" w:type="dxa"/>
            <w:tcBorders>
              <w:top w:val="single" w:color="auto" w:sz="8" w:space="0"/>
              <w:bottom w:val="single" w:color="auto" w:sz="8" w:space="0"/>
            </w:tcBorders>
            <w:noWrap w:val="0"/>
            <w:vAlign w:val="top"/>
          </w:tcPr>
          <w:p w14:paraId="78BD0F57">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15C5C7C5">
            <w:pPr>
              <w:jc w:val="center"/>
              <w:rPr>
                <w:rFonts w:hint="eastAsia" w:ascii="宋体" w:hAnsi="宋体" w:eastAsia="宋体" w:cs="宋体"/>
                <w:sz w:val="18"/>
                <w:szCs w:val="18"/>
                <w:lang w:eastAsia="zh-CN"/>
              </w:rPr>
            </w:pPr>
            <w:r>
              <w:rPr>
                <w:rFonts w:hint="eastAsia" w:ascii="宋体" w:hAnsi="宋体" w:cs="宋体"/>
                <w:sz w:val="18"/>
                <w:szCs w:val="18"/>
                <w:lang w:eastAsia="zh-CN"/>
              </w:rPr>
              <w:t>4.5</w:t>
            </w:r>
            <w:r>
              <w:rPr>
                <w:rFonts w:ascii="宋体" w:hAnsi="宋体" w:cs="宋体"/>
                <w:sz w:val="18"/>
                <w:szCs w:val="18"/>
              </w:rPr>
              <w:t>.</w:t>
            </w:r>
            <w:r>
              <w:rPr>
                <w:rFonts w:hint="eastAsia" w:ascii="宋体" w:hAnsi="宋体" w:cs="宋体"/>
                <w:sz w:val="18"/>
                <w:szCs w:val="18"/>
                <w:lang w:val="en-US" w:eastAsia="zh-CN"/>
              </w:rPr>
              <w:t>9</w:t>
            </w:r>
          </w:p>
        </w:tc>
      </w:tr>
      <w:tr w14:paraId="241385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60" w:type="dxa"/>
            <w:tcBorders>
              <w:top w:val="single" w:color="auto" w:sz="8" w:space="0"/>
              <w:bottom w:val="single" w:color="auto" w:sz="8" w:space="0"/>
            </w:tcBorders>
            <w:noWrap w:val="0"/>
            <w:vAlign w:val="center"/>
          </w:tcPr>
          <w:p w14:paraId="79C41920">
            <w:pPr>
              <w:ind w:right="-250" w:firstLine="90" w:firstLineChars="50"/>
              <w:rPr>
                <w:rFonts w:hint="eastAsia" w:ascii="宋体" w:hAnsi="宋体"/>
                <w:kern w:val="0"/>
                <w:sz w:val="18"/>
                <w:szCs w:val="18"/>
              </w:rPr>
            </w:pPr>
            <w:r>
              <w:rPr>
                <w:rFonts w:hint="eastAsia" w:ascii="宋体"/>
                <w:kern w:val="0"/>
                <w:sz w:val="18"/>
                <w:szCs w:val="18"/>
              </w:rPr>
              <w:t>5.</w:t>
            </w:r>
            <w:r>
              <w:rPr>
                <w:rFonts w:hint="eastAsia" w:ascii="宋体"/>
                <w:kern w:val="0"/>
                <w:sz w:val="18"/>
                <w:szCs w:val="18"/>
                <w:lang w:val="en-US" w:eastAsia="zh-CN"/>
              </w:rPr>
              <w:t>10</w:t>
            </w:r>
            <w:r>
              <w:rPr>
                <w:rFonts w:hint="eastAsia" w:ascii="宋体"/>
                <w:kern w:val="0"/>
                <w:sz w:val="18"/>
                <w:szCs w:val="18"/>
              </w:rPr>
              <w:t>.1</w:t>
            </w:r>
          </w:p>
        </w:tc>
        <w:tc>
          <w:tcPr>
            <w:tcW w:w="6322" w:type="dxa"/>
            <w:tcBorders>
              <w:top w:val="single" w:color="auto" w:sz="8" w:space="0"/>
              <w:bottom w:val="single" w:color="auto" w:sz="8" w:space="0"/>
            </w:tcBorders>
            <w:noWrap w:val="0"/>
            <w:vAlign w:val="top"/>
          </w:tcPr>
          <w:p w14:paraId="77E69547">
            <w:pPr>
              <w:adjustRightInd w:val="0"/>
              <w:snapToGrid w:val="0"/>
              <w:jc w:val="left"/>
              <w:rPr>
                <w:rFonts w:hint="eastAsia" w:ascii="宋体" w:hAnsi="宋体"/>
                <w:sz w:val="18"/>
                <w:szCs w:val="18"/>
              </w:rPr>
            </w:pPr>
            <w:r>
              <w:rPr>
                <w:rFonts w:hint="eastAsia" w:ascii="宋体" w:hAnsi="宋体"/>
                <w:sz w:val="18"/>
                <w:szCs w:val="18"/>
              </w:rPr>
              <w:t>不属于特种设备的常压锅炉、小型储气罐、管道等设备分别参照锅炉、压力容器、压力管道等进行日常管理和定期检查，不需注册登记、定期检验，但设备的安全阀和压力表等安全附件应定期检测。</w:t>
            </w:r>
          </w:p>
        </w:tc>
        <w:tc>
          <w:tcPr>
            <w:tcW w:w="605" w:type="dxa"/>
            <w:tcBorders>
              <w:top w:val="single" w:color="auto" w:sz="8" w:space="0"/>
              <w:bottom w:val="single" w:color="auto" w:sz="8" w:space="0"/>
            </w:tcBorders>
            <w:noWrap w:val="0"/>
            <w:vAlign w:val="top"/>
          </w:tcPr>
          <w:p w14:paraId="20D8C1A5">
            <w:pPr>
              <w:ind w:left="-249" w:leftChars="-119"/>
              <w:jc w:val="center"/>
              <w:rPr>
                <w:rFonts w:ascii="宋体" w:hAnsi="宋体" w:cs="宋体"/>
                <w:sz w:val="18"/>
                <w:szCs w:val="18"/>
              </w:rPr>
            </w:pPr>
          </w:p>
        </w:tc>
        <w:tc>
          <w:tcPr>
            <w:tcW w:w="605" w:type="dxa"/>
            <w:tcBorders>
              <w:top w:val="single" w:color="auto" w:sz="8" w:space="0"/>
              <w:bottom w:val="single" w:color="auto" w:sz="8" w:space="0"/>
            </w:tcBorders>
            <w:noWrap w:val="0"/>
            <w:vAlign w:val="top"/>
          </w:tcPr>
          <w:p w14:paraId="42562B87">
            <w:pPr>
              <w:ind w:left="0" w:leftChars="0"/>
              <w:jc w:val="center"/>
              <w:rPr>
                <w:rFonts w:ascii="宋体" w:hAnsi="宋体" w:cs="宋体"/>
                <w:sz w:val="18"/>
                <w:szCs w:val="18"/>
              </w:rPr>
            </w:pPr>
          </w:p>
        </w:tc>
        <w:tc>
          <w:tcPr>
            <w:tcW w:w="654" w:type="dxa"/>
            <w:tcBorders>
              <w:top w:val="single" w:color="auto" w:sz="8" w:space="0"/>
              <w:bottom w:val="single" w:color="auto" w:sz="8" w:space="0"/>
            </w:tcBorders>
            <w:noWrap w:val="0"/>
            <w:vAlign w:val="center"/>
          </w:tcPr>
          <w:p w14:paraId="46ADFC39">
            <w:pPr>
              <w:ind w:firstLine="180" w:firstLineChars="100"/>
              <w:rPr>
                <w:rFonts w:hint="eastAsia" w:ascii="宋体" w:hAnsi="宋体" w:cs="宋体"/>
                <w:sz w:val="18"/>
                <w:szCs w:val="18"/>
              </w:rPr>
            </w:pPr>
            <w:r>
              <w:rPr>
                <w:rFonts w:hint="eastAsia" w:ascii="宋体" w:hAnsi="宋体" w:cs="宋体"/>
                <w:sz w:val="18"/>
                <w:szCs w:val="18"/>
              </w:rPr>
              <w:t>5</w:t>
            </w:r>
          </w:p>
        </w:tc>
        <w:tc>
          <w:tcPr>
            <w:tcW w:w="3018" w:type="dxa"/>
            <w:tcBorders>
              <w:top w:val="single" w:color="auto" w:sz="8" w:space="0"/>
              <w:bottom w:val="single" w:color="auto" w:sz="8" w:space="0"/>
            </w:tcBorders>
            <w:noWrap w:val="0"/>
            <w:vAlign w:val="center"/>
          </w:tcPr>
          <w:p w14:paraId="0ED8D1E9">
            <w:pPr>
              <w:jc w:val="left"/>
              <w:rPr>
                <w:rFonts w:ascii="宋体" w:hAnsi="宋体"/>
                <w:bCs/>
                <w:sz w:val="18"/>
                <w:szCs w:val="18"/>
              </w:rPr>
            </w:pPr>
            <w:r>
              <w:rPr>
                <w:rFonts w:hint="eastAsia" w:ascii="宋体" w:hAnsi="宋体" w:cs="宋体"/>
                <w:sz w:val="18"/>
                <w:szCs w:val="18"/>
              </w:rPr>
              <w:t>一</w:t>
            </w:r>
            <w:r>
              <w:rPr>
                <w:rFonts w:hint="eastAsia" w:ascii="宋体" w:hAnsi="宋体"/>
                <w:sz w:val="18"/>
                <w:szCs w:val="18"/>
              </w:rPr>
              <w:t>处</w:t>
            </w:r>
            <w:r>
              <w:rPr>
                <w:rFonts w:hint="eastAsia" w:ascii="宋体" w:hAnsi="宋体" w:cs="宋体"/>
                <w:sz w:val="18"/>
                <w:szCs w:val="18"/>
              </w:rPr>
              <w:t>不符合扣2分。</w:t>
            </w:r>
          </w:p>
        </w:tc>
        <w:tc>
          <w:tcPr>
            <w:tcW w:w="605" w:type="dxa"/>
            <w:tcBorders>
              <w:top w:val="single" w:color="auto" w:sz="8" w:space="0"/>
              <w:bottom w:val="single" w:color="auto" w:sz="8" w:space="0"/>
            </w:tcBorders>
            <w:noWrap w:val="0"/>
            <w:vAlign w:val="top"/>
          </w:tcPr>
          <w:p w14:paraId="497C2714">
            <w:pPr>
              <w:jc w:val="center"/>
              <w:rPr>
                <w:rFonts w:ascii="宋体" w:hAnsi="宋体" w:cs="宋体"/>
                <w:sz w:val="18"/>
                <w:szCs w:val="18"/>
              </w:rPr>
            </w:pPr>
          </w:p>
        </w:tc>
        <w:tc>
          <w:tcPr>
            <w:tcW w:w="1373" w:type="dxa"/>
            <w:tcBorders>
              <w:top w:val="single" w:color="auto" w:sz="8" w:space="0"/>
              <w:bottom w:val="single" w:color="auto" w:sz="8" w:space="0"/>
            </w:tcBorders>
            <w:noWrap w:val="0"/>
            <w:vAlign w:val="top"/>
          </w:tcPr>
          <w:p w14:paraId="4060E895">
            <w:pPr>
              <w:jc w:val="left"/>
              <w:rPr>
                <w:rFonts w:ascii="宋体" w:hAnsi="宋体" w:cs="宋体"/>
                <w:sz w:val="18"/>
                <w:szCs w:val="18"/>
              </w:rPr>
            </w:pPr>
          </w:p>
        </w:tc>
        <w:tc>
          <w:tcPr>
            <w:tcW w:w="1311" w:type="dxa"/>
            <w:tcBorders>
              <w:top w:val="single" w:color="auto" w:sz="8" w:space="0"/>
              <w:bottom w:val="single" w:color="auto" w:sz="8" w:space="0"/>
            </w:tcBorders>
            <w:noWrap w:val="0"/>
            <w:vAlign w:val="center"/>
          </w:tcPr>
          <w:p w14:paraId="2CB02169">
            <w:pPr>
              <w:jc w:val="center"/>
              <w:rPr>
                <w:rFonts w:hint="eastAsia" w:ascii="宋体" w:hAnsi="宋体" w:eastAsia="宋体" w:cs="宋体"/>
                <w:sz w:val="18"/>
                <w:szCs w:val="18"/>
                <w:lang w:eastAsia="zh-CN"/>
              </w:rPr>
            </w:pPr>
            <w:r>
              <w:rPr>
                <w:rFonts w:hint="eastAsia" w:ascii="宋体" w:hAnsi="宋体" w:cs="宋体"/>
                <w:sz w:val="18"/>
                <w:szCs w:val="18"/>
                <w:lang w:eastAsia="zh-CN"/>
              </w:rPr>
              <w:t>4.5</w:t>
            </w:r>
            <w:r>
              <w:rPr>
                <w:rFonts w:ascii="宋体" w:hAnsi="宋体" w:cs="宋体"/>
                <w:sz w:val="18"/>
                <w:szCs w:val="18"/>
              </w:rPr>
              <w:t>.</w:t>
            </w:r>
            <w:r>
              <w:rPr>
                <w:rFonts w:hint="eastAsia" w:ascii="宋体" w:hAnsi="宋体" w:cs="宋体"/>
                <w:sz w:val="18"/>
                <w:szCs w:val="18"/>
                <w:lang w:val="en-US" w:eastAsia="zh-CN"/>
              </w:rPr>
              <w:t>9</w:t>
            </w:r>
          </w:p>
        </w:tc>
      </w:tr>
    </w:tbl>
    <w:p w14:paraId="34E253EE">
      <w:pPr>
        <w:rPr>
          <w:rFonts w:hint="eastAsia" w:ascii="黑体" w:hAnsi="宋体" w:eastAsia="黑体" w:cs="宋体"/>
          <w:kern w:val="0"/>
          <w:szCs w:val="21"/>
        </w:rPr>
      </w:pPr>
      <w:r>
        <w:rPr>
          <w:rFonts w:hint="eastAsia" w:ascii="黑体" w:hAnsi="宋体" w:eastAsia="黑体" w:cs="宋体"/>
          <w:kern w:val="0"/>
          <w:szCs w:val="21"/>
        </w:rPr>
        <w:br w:type="page"/>
      </w:r>
    </w:p>
    <w:p w14:paraId="0ECC0617">
      <w:pPr>
        <w:adjustRightInd w:val="0"/>
        <w:snapToGrid w:val="0"/>
        <w:spacing w:line="360" w:lineRule="auto"/>
        <w:jc w:val="left"/>
        <w:textAlignment w:val="baseline"/>
        <w:rPr>
          <w:rFonts w:hint="eastAsia" w:ascii="宋体" w:hAnsi="宋体"/>
          <w:bCs/>
          <w:szCs w:val="21"/>
        </w:rPr>
      </w:pPr>
      <w:r>
        <w:rPr>
          <w:rFonts w:hint="eastAsia" w:ascii="黑体" w:hAnsi="宋体" w:eastAsia="黑体" w:cs="宋体"/>
          <w:kern w:val="0"/>
          <w:szCs w:val="21"/>
        </w:rPr>
        <w:t>F.</w:t>
      </w:r>
      <w:r>
        <w:rPr>
          <w:rFonts w:hint="eastAsia" w:ascii="黑体" w:hAnsi="宋体" w:eastAsia="黑体" w:cs="宋体"/>
          <w:kern w:val="0"/>
          <w:szCs w:val="21"/>
          <w:lang w:val="en-US" w:eastAsia="zh-CN"/>
        </w:rPr>
        <w:t>2</w:t>
      </w:r>
      <w:r>
        <w:rPr>
          <w:rFonts w:hint="eastAsia" w:ascii="黑体" w:hAnsi="宋体" w:eastAsia="黑体" w:cs="宋体"/>
          <w:kern w:val="0"/>
          <w:szCs w:val="21"/>
        </w:rPr>
        <w:t xml:space="preserve"> </w:t>
      </w:r>
      <w:r>
        <w:rPr>
          <w:rFonts w:hint="eastAsia" w:ascii="宋体" w:hAnsi="宋体" w:cs="宋体"/>
          <w:kern w:val="0"/>
          <w:szCs w:val="21"/>
        </w:rPr>
        <w:t xml:space="preserve"> 表</w:t>
      </w:r>
      <w:r>
        <w:rPr>
          <w:rFonts w:ascii="宋体" w:hAnsi="宋体" w:cs="宋体"/>
          <w:kern w:val="0"/>
          <w:szCs w:val="21"/>
        </w:rPr>
        <w:t>F.</w:t>
      </w:r>
      <w:r>
        <w:rPr>
          <w:rFonts w:hint="eastAsia" w:ascii="宋体" w:hAnsi="宋体" w:cs="宋体"/>
          <w:kern w:val="0"/>
          <w:szCs w:val="21"/>
          <w:lang w:val="en-US" w:eastAsia="zh-CN"/>
        </w:rPr>
        <w:t>2</w:t>
      </w:r>
      <w:r>
        <w:rPr>
          <w:rFonts w:hint="eastAsia" w:ascii="宋体" w:hAnsi="宋体" w:cs="宋体"/>
          <w:kern w:val="0"/>
          <w:szCs w:val="21"/>
        </w:rPr>
        <w:t>规定了手持电动工具</w:t>
      </w:r>
      <w:r>
        <w:rPr>
          <w:rFonts w:hint="eastAsia" w:ascii="宋体" w:hAnsi="宋体"/>
          <w:bCs/>
          <w:szCs w:val="21"/>
        </w:rPr>
        <w:t>绝缘电阻值。</w:t>
      </w:r>
    </w:p>
    <w:p w14:paraId="65F7AE59">
      <w:pPr>
        <w:pStyle w:val="168"/>
        <w:numPr>
          <w:numId w:val="0"/>
        </w:numPr>
        <w:spacing w:before="156" w:after="156"/>
        <w:ind w:left="6237" w:leftChars="0" w:hanging="567" w:firstLineChars="0"/>
        <w:jc w:val="both"/>
        <w:rPr>
          <w:rFonts w:hint="eastAsia" w:ascii="宋体" w:hAnsi="宋体"/>
          <w:bCs/>
        </w:rPr>
      </w:pPr>
      <w:r>
        <w:rPr>
          <w:rFonts w:hint="eastAsia" w:ascii="宋体" w:hAnsi="宋体" w:eastAsia="黑体" w:cs="Times New Roman"/>
          <w:bCs/>
          <w:kern w:val="2"/>
          <w:sz w:val="21"/>
          <w:szCs w:val="21"/>
          <w:lang w:val="en-US" w:eastAsia="zh-CN" w:bidi="ar-SA"/>
        </w:rPr>
        <w:t>表</w:t>
      </w:r>
      <w:r>
        <w:rPr>
          <w:rFonts w:hint="eastAsia" w:ascii="宋体" w:hAnsi="宋体" w:cs="Times New Roman"/>
          <w:bCs/>
          <w:kern w:val="2"/>
          <w:sz w:val="21"/>
          <w:szCs w:val="21"/>
          <w:lang w:val="en-US" w:eastAsia="zh-CN" w:bidi="ar-SA"/>
        </w:rPr>
        <w:t>F</w:t>
      </w:r>
      <w:r>
        <w:rPr>
          <w:rFonts w:hint="eastAsia" w:ascii="宋体" w:hAnsi="宋体" w:eastAsia="黑体" w:cs="Times New Roman"/>
          <w:bCs/>
          <w:kern w:val="2"/>
          <w:sz w:val="21"/>
          <w:szCs w:val="21"/>
          <w:lang w:val="en-US" w:eastAsia="zh-CN" w:bidi="ar-SA"/>
        </w:rPr>
        <w:t>.2　</w:t>
      </w:r>
      <w:r>
        <w:rPr>
          <w:rFonts w:hint="eastAsia"/>
          <w:kern w:val="0"/>
        </w:rPr>
        <w:t>手持电动工具绝缘电阻值</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2"/>
        <w:gridCol w:w="7348"/>
      </w:tblGrid>
      <w:tr w14:paraId="22F8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002" w:type="dxa"/>
            <w:vMerge w:val="restart"/>
            <w:noWrap w:val="0"/>
            <w:vAlign w:val="center"/>
          </w:tcPr>
          <w:p w14:paraId="6530A889">
            <w:pPr>
              <w:adjustRightInd w:val="0"/>
              <w:snapToGrid w:val="0"/>
              <w:jc w:val="center"/>
              <w:textAlignment w:val="baseline"/>
              <w:rPr>
                <w:rFonts w:hint="eastAsia" w:ascii="宋体" w:hAnsi="宋体"/>
                <w:bCs/>
                <w:sz w:val="18"/>
                <w:szCs w:val="18"/>
              </w:rPr>
            </w:pPr>
            <w:r>
              <w:rPr>
                <w:rFonts w:hint="eastAsia" w:ascii="宋体" w:hAnsi="宋体"/>
                <w:bCs/>
                <w:sz w:val="18"/>
                <w:szCs w:val="18"/>
              </w:rPr>
              <w:t>测量部位</w:t>
            </w:r>
          </w:p>
        </w:tc>
        <w:tc>
          <w:tcPr>
            <w:tcW w:w="7348" w:type="dxa"/>
            <w:noWrap w:val="0"/>
            <w:vAlign w:val="center"/>
          </w:tcPr>
          <w:p w14:paraId="0347E4C2">
            <w:pPr>
              <w:adjustRightInd w:val="0"/>
              <w:snapToGrid w:val="0"/>
              <w:jc w:val="center"/>
              <w:textAlignment w:val="baseline"/>
              <w:rPr>
                <w:rFonts w:hint="eastAsia" w:ascii="宋体" w:hAnsi="宋体"/>
                <w:bCs/>
                <w:sz w:val="18"/>
                <w:szCs w:val="18"/>
              </w:rPr>
            </w:pPr>
            <w:r>
              <w:rPr>
                <w:rFonts w:hint="eastAsia" w:ascii="宋体" w:hAnsi="宋体"/>
                <w:bCs/>
                <w:sz w:val="18"/>
                <w:szCs w:val="18"/>
                <w:lang w:val="en-US" w:eastAsia="zh-CN"/>
              </w:rPr>
              <w:t>绝缘电阻（MΩ）</w:t>
            </w:r>
          </w:p>
        </w:tc>
      </w:tr>
      <w:tr w14:paraId="3C2C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8002" w:type="dxa"/>
            <w:noWrap w:val="0"/>
            <w:vAlign w:val="center"/>
          </w:tcPr>
          <w:p w14:paraId="3B36CDC4">
            <w:pPr>
              <w:adjustRightInd w:val="0"/>
              <w:snapToGrid w:val="0"/>
              <w:jc w:val="both"/>
              <w:textAlignment w:val="baseline"/>
              <w:rPr>
                <w:rFonts w:hint="eastAsia" w:ascii="宋体" w:hAnsi="宋体" w:eastAsia="宋体"/>
                <w:bCs/>
                <w:sz w:val="18"/>
                <w:szCs w:val="18"/>
                <w:lang w:eastAsia="zh-CN"/>
              </w:rPr>
            </w:pPr>
            <w:r>
              <w:rPr>
                <w:rFonts w:hint="eastAsia" w:ascii="宋体" w:hAnsi="宋体"/>
                <w:bCs/>
                <w:sz w:val="18"/>
                <w:szCs w:val="18"/>
              </w:rPr>
              <w:t>带电部分与壳体之间</w:t>
            </w:r>
            <w:r>
              <w:rPr>
                <w:rFonts w:hint="eastAsia" w:ascii="宋体" w:hAnsi="宋体"/>
                <w:bCs/>
                <w:sz w:val="18"/>
                <w:szCs w:val="18"/>
                <w:lang w:eastAsia="zh-CN"/>
              </w:rPr>
              <w:t>：</w:t>
            </w:r>
          </w:p>
          <w:p w14:paraId="2908D91B">
            <w:pPr>
              <w:adjustRightInd w:val="0"/>
              <w:snapToGrid w:val="0"/>
              <w:jc w:val="center"/>
              <w:textAlignment w:val="baseline"/>
              <w:rPr>
                <w:rFonts w:hint="eastAsia" w:ascii="宋体" w:hAnsi="宋体"/>
                <w:bCs/>
                <w:sz w:val="18"/>
                <w:szCs w:val="18"/>
              </w:rPr>
            </w:pPr>
            <w:r>
              <w:rPr>
                <w:rFonts w:hint="eastAsia" w:ascii="宋体" w:hAnsi="宋体"/>
                <w:bCs/>
                <w:sz w:val="18"/>
                <w:szCs w:val="18"/>
              </w:rPr>
              <w:t>一基本绝缘</w:t>
            </w:r>
          </w:p>
          <w:p w14:paraId="4E28B339">
            <w:pPr>
              <w:adjustRightInd w:val="0"/>
              <w:snapToGrid w:val="0"/>
              <w:jc w:val="center"/>
              <w:textAlignment w:val="baseline"/>
              <w:rPr>
                <w:rFonts w:hint="eastAsia" w:ascii="宋体" w:hAnsi="宋体"/>
                <w:bCs/>
                <w:sz w:val="18"/>
                <w:szCs w:val="18"/>
              </w:rPr>
            </w:pPr>
            <w:r>
              <w:rPr>
                <w:rFonts w:hint="eastAsia" w:ascii="宋体" w:hAnsi="宋体"/>
                <w:bCs/>
                <w:sz w:val="18"/>
                <w:szCs w:val="18"/>
              </w:rPr>
              <w:t>一加强绝缘</w:t>
            </w:r>
          </w:p>
          <w:p w14:paraId="6E2D0B57">
            <w:pPr>
              <w:adjustRightInd w:val="0"/>
              <w:snapToGrid w:val="0"/>
              <w:jc w:val="center"/>
              <w:textAlignment w:val="baseline"/>
              <w:rPr>
                <w:rFonts w:hint="eastAsia" w:ascii="宋体" w:hAnsi="宋体"/>
                <w:bCs/>
                <w:sz w:val="18"/>
                <w:szCs w:val="18"/>
              </w:rPr>
            </w:pPr>
            <w:r>
              <w:rPr>
                <w:rFonts w:hint="eastAsia" w:ascii="宋体" w:hAnsi="宋体"/>
                <w:bCs/>
                <w:sz w:val="18"/>
                <w:szCs w:val="18"/>
              </w:rPr>
              <w:t>带电部分与Ⅱ类工具中仅用基本绝缘与带电部分隔离的金属零件之间</w:t>
            </w:r>
          </w:p>
          <w:p w14:paraId="0350B78C">
            <w:pPr>
              <w:adjustRightInd w:val="0"/>
              <w:snapToGrid w:val="0"/>
              <w:jc w:val="center"/>
              <w:textAlignment w:val="baseline"/>
              <w:rPr>
                <w:rFonts w:hint="eastAsia" w:ascii="宋体" w:hAnsi="宋体"/>
                <w:bCs/>
                <w:sz w:val="18"/>
                <w:szCs w:val="18"/>
              </w:rPr>
            </w:pPr>
            <w:r>
              <w:rPr>
                <w:rFonts w:hint="eastAsia" w:ascii="宋体" w:hAnsi="宋体"/>
                <w:bCs/>
                <w:sz w:val="18"/>
                <w:szCs w:val="18"/>
              </w:rPr>
              <w:t>Ⅱ类工具中仅用基本绝缘与带电部分隔离的金属零件与壳体之间</w:t>
            </w:r>
          </w:p>
        </w:tc>
        <w:tc>
          <w:tcPr>
            <w:tcW w:w="7348" w:type="dxa"/>
            <w:noWrap w:val="0"/>
            <w:vAlign w:val="center"/>
          </w:tcPr>
          <w:p w14:paraId="1CD2E8E8">
            <w:pPr>
              <w:adjustRightInd w:val="0"/>
              <w:snapToGrid w:val="0"/>
              <w:jc w:val="center"/>
              <w:textAlignment w:val="baseline"/>
              <w:rPr>
                <w:rFonts w:hint="eastAsia" w:ascii="宋体" w:hAnsi="宋体"/>
                <w:bCs/>
                <w:sz w:val="18"/>
                <w:szCs w:val="18"/>
              </w:rPr>
            </w:pPr>
          </w:p>
          <w:p w14:paraId="0D6885AD">
            <w:pPr>
              <w:adjustRightInd w:val="0"/>
              <w:snapToGrid w:val="0"/>
              <w:jc w:val="center"/>
              <w:textAlignment w:val="baseline"/>
              <w:rPr>
                <w:rFonts w:hint="eastAsia" w:ascii="宋体" w:hAnsi="宋体"/>
                <w:bCs/>
                <w:sz w:val="18"/>
                <w:szCs w:val="18"/>
              </w:rPr>
            </w:pPr>
            <w:r>
              <w:rPr>
                <w:rFonts w:hint="eastAsia" w:ascii="宋体" w:hAnsi="宋体"/>
                <w:bCs/>
                <w:sz w:val="18"/>
                <w:szCs w:val="18"/>
              </w:rPr>
              <w:t>2</w:t>
            </w:r>
          </w:p>
          <w:p w14:paraId="20A0F765">
            <w:pPr>
              <w:adjustRightInd w:val="0"/>
              <w:snapToGrid w:val="0"/>
              <w:jc w:val="center"/>
              <w:textAlignment w:val="baseline"/>
              <w:rPr>
                <w:rFonts w:hint="eastAsia" w:ascii="宋体" w:hAnsi="宋体"/>
                <w:bCs/>
                <w:sz w:val="18"/>
                <w:szCs w:val="18"/>
                <w:lang w:val="en-US" w:eastAsia="zh-CN"/>
              </w:rPr>
            </w:pPr>
            <w:r>
              <w:rPr>
                <w:rFonts w:hint="eastAsia" w:ascii="宋体" w:hAnsi="宋体"/>
                <w:bCs/>
                <w:sz w:val="18"/>
                <w:szCs w:val="18"/>
                <w:lang w:val="en-US" w:eastAsia="zh-CN"/>
              </w:rPr>
              <w:t>7</w:t>
            </w:r>
          </w:p>
          <w:p w14:paraId="5858AB71">
            <w:pPr>
              <w:adjustRightInd w:val="0"/>
              <w:snapToGrid w:val="0"/>
              <w:jc w:val="center"/>
              <w:textAlignment w:val="baseline"/>
              <w:rPr>
                <w:rFonts w:hint="eastAsia" w:ascii="宋体" w:hAnsi="宋体"/>
                <w:bCs/>
                <w:sz w:val="18"/>
                <w:szCs w:val="18"/>
                <w:lang w:val="en-US" w:eastAsia="zh-CN"/>
              </w:rPr>
            </w:pPr>
            <w:r>
              <w:rPr>
                <w:rFonts w:hint="eastAsia" w:ascii="宋体" w:hAnsi="宋体"/>
                <w:bCs/>
                <w:sz w:val="18"/>
                <w:szCs w:val="18"/>
                <w:lang w:val="en-US" w:eastAsia="zh-CN"/>
              </w:rPr>
              <w:t>2</w:t>
            </w:r>
          </w:p>
          <w:p w14:paraId="589F31EB">
            <w:pPr>
              <w:adjustRightInd w:val="0"/>
              <w:snapToGrid w:val="0"/>
              <w:jc w:val="center"/>
              <w:textAlignment w:val="baseline"/>
              <w:rPr>
                <w:rFonts w:hint="eastAsia" w:ascii="宋体" w:hAnsi="宋体"/>
                <w:bCs/>
                <w:sz w:val="18"/>
                <w:szCs w:val="18"/>
              </w:rPr>
            </w:pPr>
            <w:r>
              <w:rPr>
                <w:rFonts w:hint="eastAsia" w:ascii="宋体" w:hAnsi="宋体"/>
                <w:bCs/>
                <w:sz w:val="18"/>
                <w:szCs w:val="18"/>
                <w:lang w:val="en-US" w:eastAsia="zh-CN"/>
              </w:rPr>
              <w:t>5</w:t>
            </w:r>
          </w:p>
        </w:tc>
      </w:tr>
    </w:tbl>
    <w:p w14:paraId="20D3464C">
      <w:pPr>
        <w:pStyle w:val="208"/>
        <w:widowControl/>
        <w:spacing w:before="120" w:after="120" w:line="276" w:lineRule="auto"/>
        <w:ind w:firstLine="0" w:firstLineChars="0"/>
        <w:jc w:val="left"/>
        <w:rPr>
          <w:rFonts w:hint="eastAsia" w:ascii="宋体" w:hAnsi="宋体" w:cs="宋体"/>
          <w:kern w:val="0"/>
          <w:szCs w:val="24"/>
        </w:rPr>
      </w:pPr>
    </w:p>
    <w:p w14:paraId="424BF1C4">
      <w:pPr>
        <w:pStyle w:val="174"/>
        <w:rPr>
          <w:rFonts w:hint="eastAsia"/>
        </w:rPr>
      </w:pPr>
      <w:bookmarkStart w:id="549" w:name="_Toc4781"/>
      <w:bookmarkEnd w:id="549"/>
      <w:bookmarkStart w:id="550" w:name="_Toc4690"/>
      <w:bookmarkEnd w:id="550"/>
    </w:p>
    <w:p w14:paraId="6E8ADE88">
      <w:pPr>
        <w:pStyle w:val="167"/>
        <w:numPr>
          <w:numId w:val="0"/>
        </w:numPr>
        <w:tabs>
          <w:tab w:val="clear" w:pos="0"/>
        </w:tabs>
        <w:ind w:left="0" w:leftChars="0" w:hanging="425" w:firstLineChars="0"/>
        <w:rPr>
          <w:rFonts w:hint="eastAsia"/>
        </w:rPr>
      </w:pPr>
      <w:bookmarkStart w:id="551" w:name="_Toc29863"/>
      <w:bookmarkStart w:id="552" w:name="_Toc30800"/>
      <w:r>
        <w:rPr>
          <w:rFonts w:hint="eastAsia" w:ascii="Times New Roman" w:hAnsi="Times New Roman" w:eastAsia="宋体" w:cs="Times New Roman"/>
          <w:color w:val="FFFFFF"/>
          <w:kern w:val="2"/>
          <w:sz w:val="21"/>
          <w:szCs w:val="24"/>
          <w:lang w:val="en-US" w:eastAsia="zh-CN" w:bidi="ar-SA"/>
        </w:rPr>
        <w:t>F</w:t>
      </w:r>
      <w:bookmarkEnd w:id="551"/>
      <w:bookmarkEnd w:id="552"/>
    </w:p>
    <w:p w14:paraId="27E717A8">
      <w:pPr>
        <w:pStyle w:val="160"/>
        <w:rPr>
          <w:rFonts w:hint="eastAsia"/>
        </w:rPr>
      </w:pPr>
      <w:bookmarkStart w:id="553" w:name="_Toc13976"/>
      <w:bookmarkStart w:id="554" w:name="_Toc25046"/>
      <w:r>
        <w:br w:type="textWrapping"/>
      </w:r>
      <w:bookmarkStart w:id="555" w:name="_Toc484958282"/>
      <w:bookmarkStart w:id="556" w:name="_Toc498286358"/>
      <w:bookmarkStart w:id="557" w:name="_Toc484965776"/>
      <w:bookmarkStart w:id="558" w:name="_Toc504931853"/>
      <w:bookmarkStart w:id="559" w:name="_Toc484965506"/>
      <w:bookmarkStart w:id="560" w:name="_Toc482175060"/>
      <w:bookmarkStart w:id="561" w:name="_Toc482172283"/>
      <w:bookmarkStart w:id="562" w:name="_Toc504594728"/>
      <w:bookmarkStart w:id="563" w:name="_Toc484984815"/>
      <w:bookmarkStart w:id="564" w:name="_Toc486261043"/>
      <w:bookmarkStart w:id="565" w:name="_Toc498325687"/>
      <w:bookmarkStart w:id="566" w:name="_Toc498337282"/>
      <w:bookmarkStart w:id="567" w:name="_Toc482169121"/>
      <w:bookmarkStart w:id="568" w:name="_Toc482174638"/>
      <w:bookmarkStart w:id="569" w:name="_Toc498348147"/>
      <w:bookmarkStart w:id="570" w:name="_Toc482172342"/>
      <w:bookmarkStart w:id="571" w:name="_Toc482189187"/>
      <w:bookmarkStart w:id="572" w:name="_Toc482198499"/>
      <w:bookmarkStart w:id="573" w:name="_Toc482174154"/>
      <w:r>
        <w:rPr>
          <w:rFonts w:hint="eastAsia"/>
        </w:rPr>
        <w:t>（规范性附录）</w:t>
      </w:r>
      <w:r>
        <w:br w:type="textWrapping"/>
      </w:r>
      <w:r>
        <w:rPr>
          <w:rFonts w:hint="eastAsia"/>
        </w:rPr>
        <w:t>用电要素的安全生产等级评定细则</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21805866">
      <w:pPr>
        <w:pStyle w:val="36"/>
        <w:ind w:firstLine="0" w:firstLineChars="0"/>
        <w:rPr>
          <w:rFonts w:hint="eastAsia" w:hAnsi="宋体"/>
        </w:rPr>
      </w:pPr>
      <w:r>
        <w:rPr>
          <w:rFonts w:hint="eastAsia" w:ascii="黑体" w:hAnsi="黑体" w:eastAsia="黑体"/>
        </w:rPr>
        <w:t xml:space="preserve">G.1  </w:t>
      </w:r>
      <w:r>
        <w:rPr>
          <w:rFonts w:hint="eastAsia" w:hAnsi="宋体"/>
        </w:rPr>
        <w:t>表G.1给出了用电要素的安全生产等级评定细则，总分</w:t>
      </w:r>
      <w:r>
        <w:rPr>
          <w:rFonts w:hint="eastAsia" w:hAnsi="宋体"/>
          <w:lang w:val="en-US" w:eastAsia="zh-CN"/>
        </w:rPr>
        <w:t>9</w:t>
      </w:r>
      <w:r>
        <w:rPr>
          <w:rFonts w:hint="eastAsia" w:hAnsi="宋体"/>
        </w:rPr>
        <w:t>5分。</w:t>
      </w:r>
    </w:p>
    <w:p w14:paraId="15218DBF">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1"/>
        <w:gridCol w:w="6757"/>
        <w:gridCol w:w="633"/>
        <w:gridCol w:w="633"/>
        <w:gridCol w:w="602"/>
        <w:gridCol w:w="2113"/>
        <w:gridCol w:w="633"/>
        <w:gridCol w:w="1747"/>
        <w:gridCol w:w="1284"/>
      </w:tblGrid>
      <w:tr w14:paraId="62D9A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1" w:type="dxa"/>
            <w:noWrap w:val="0"/>
            <w:vAlign w:val="center"/>
          </w:tcPr>
          <w:p w14:paraId="17B174FE">
            <w:pPr>
              <w:adjustRightInd w:val="0"/>
              <w:snapToGrid w:val="0"/>
              <w:jc w:val="center"/>
              <w:rPr>
                <w:rFonts w:ascii="宋体" w:hAnsi="宋体"/>
                <w:bCs/>
                <w:sz w:val="18"/>
                <w:szCs w:val="18"/>
              </w:rPr>
            </w:pPr>
            <w:r>
              <w:rPr>
                <w:rFonts w:ascii="宋体" w:hAnsi="宋体"/>
                <w:bCs/>
                <w:sz w:val="18"/>
                <w:szCs w:val="18"/>
              </w:rPr>
              <w:t>序号</w:t>
            </w:r>
          </w:p>
        </w:tc>
        <w:tc>
          <w:tcPr>
            <w:tcW w:w="6757" w:type="dxa"/>
            <w:noWrap w:val="0"/>
            <w:vAlign w:val="center"/>
          </w:tcPr>
          <w:p w14:paraId="751F49B6">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42F0C036">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2F140644">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306BA07A">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3" w:type="dxa"/>
            <w:noWrap w:val="0"/>
            <w:vAlign w:val="center"/>
          </w:tcPr>
          <w:p w14:paraId="7DB83D88">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082E4B9D">
            <w:pPr>
              <w:adjustRightInd w:val="0"/>
              <w:snapToGrid w:val="0"/>
              <w:jc w:val="center"/>
              <w:rPr>
                <w:rFonts w:ascii="宋体" w:hAnsi="宋体"/>
                <w:bCs/>
                <w:sz w:val="18"/>
                <w:szCs w:val="18"/>
              </w:rPr>
            </w:pPr>
            <w:r>
              <w:rPr>
                <w:rFonts w:hint="eastAsia" w:ascii="宋体" w:hAnsi="宋体"/>
                <w:bCs/>
                <w:sz w:val="18"/>
                <w:szCs w:val="18"/>
              </w:rPr>
              <w:t>评定得分</w:t>
            </w:r>
          </w:p>
        </w:tc>
        <w:tc>
          <w:tcPr>
            <w:tcW w:w="1747" w:type="dxa"/>
            <w:noWrap w:val="0"/>
            <w:vAlign w:val="center"/>
          </w:tcPr>
          <w:p w14:paraId="27317632">
            <w:pPr>
              <w:adjustRightInd w:val="0"/>
              <w:snapToGrid w:val="0"/>
              <w:jc w:val="center"/>
              <w:rPr>
                <w:rFonts w:ascii="宋体" w:hAnsi="宋体"/>
                <w:bCs/>
                <w:sz w:val="18"/>
                <w:szCs w:val="18"/>
              </w:rPr>
            </w:pPr>
            <w:r>
              <w:rPr>
                <w:rFonts w:hint="eastAsia" w:ascii="宋体" w:hAnsi="宋体"/>
                <w:bCs/>
                <w:sz w:val="18"/>
                <w:szCs w:val="18"/>
              </w:rPr>
              <w:t>扣分说明</w:t>
            </w:r>
          </w:p>
        </w:tc>
        <w:tc>
          <w:tcPr>
            <w:tcW w:w="1284" w:type="dxa"/>
            <w:noWrap w:val="0"/>
            <w:vAlign w:val="center"/>
          </w:tcPr>
          <w:p w14:paraId="36BAA75D">
            <w:pPr>
              <w:adjustRightInd w:val="0"/>
              <w:snapToGrid w:val="0"/>
              <w:jc w:val="center"/>
              <w:rPr>
                <w:rFonts w:ascii="宋体" w:hAnsi="宋体"/>
                <w:bCs/>
                <w:sz w:val="18"/>
                <w:szCs w:val="18"/>
              </w:rPr>
            </w:pPr>
            <w:r>
              <w:rPr>
                <w:rFonts w:ascii="宋体" w:hAnsi="宋体"/>
                <w:bCs/>
                <w:sz w:val="18"/>
                <w:szCs w:val="18"/>
              </w:rPr>
              <w:t>对应条款编号</w:t>
            </w:r>
          </w:p>
        </w:tc>
      </w:tr>
      <w:tr w14:paraId="4EB55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1" w:type="dxa"/>
            <w:noWrap w:val="0"/>
            <w:vAlign w:val="center"/>
          </w:tcPr>
          <w:p w14:paraId="21B27F82">
            <w:pPr>
              <w:adjustRightInd w:val="0"/>
              <w:snapToGrid w:val="0"/>
              <w:jc w:val="center"/>
              <w:rPr>
                <w:rFonts w:ascii="宋体" w:hAnsi="宋体"/>
                <w:sz w:val="18"/>
                <w:szCs w:val="18"/>
              </w:rPr>
            </w:pPr>
            <w:r>
              <w:rPr>
                <w:rFonts w:hint="eastAsia" w:ascii="宋体" w:hAnsi="宋体"/>
                <w:sz w:val="18"/>
                <w:szCs w:val="18"/>
              </w:rPr>
              <w:t>6</w:t>
            </w:r>
          </w:p>
        </w:tc>
        <w:tc>
          <w:tcPr>
            <w:tcW w:w="6757" w:type="dxa"/>
            <w:noWrap w:val="0"/>
            <w:vAlign w:val="center"/>
          </w:tcPr>
          <w:p w14:paraId="786281EE">
            <w:pPr>
              <w:pStyle w:val="207"/>
              <w:numPr>
                <w:ilvl w:val="3"/>
                <w:numId w:val="0"/>
              </w:numPr>
              <w:adjustRightInd w:val="0"/>
              <w:snapToGrid w:val="0"/>
              <w:ind w:right="-105"/>
              <w:jc w:val="left"/>
              <w:rPr>
                <w:rFonts w:ascii="宋体" w:hAnsi="宋体" w:eastAsia="宋体"/>
                <w:spacing w:val="0"/>
                <w:kern w:val="2"/>
                <w:sz w:val="18"/>
                <w:szCs w:val="18"/>
              </w:rPr>
            </w:pPr>
            <w:r>
              <w:rPr>
                <w:rFonts w:ascii="宋体" w:hAnsi="宋体" w:eastAsia="宋体"/>
                <w:spacing w:val="0"/>
                <w:kern w:val="2"/>
                <w:sz w:val="18"/>
                <w:szCs w:val="18"/>
              </w:rPr>
              <w:t>用电</w:t>
            </w:r>
          </w:p>
        </w:tc>
        <w:tc>
          <w:tcPr>
            <w:tcW w:w="633" w:type="dxa"/>
            <w:noWrap w:val="0"/>
            <w:vAlign w:val="center"/>
          </w:tcPr>
          <w:p w14:paraId="35EF9412">
            <w:pPr>
              <w:adjustRightInd w:val="0"/>
              <w:snapToGrid w:val="0"/>
              <w:jc w:val="center"/>
              <w:rPr>
                <w:rFonts w:ascii="宋体" w:hAnsi="宋体"/>
                <w:bCs/>
                <w:sz w:val="18"/>
                <w:szCs w:val="18"/>
              </w:rPr>
            </w:pPr>
            <w:r>
              <w:rPr>
                <w:rFonts w:hint="eastAsia" w:ascii="宋体" w:hAnsi="宋体"/>
                <w:bCs/>
                <w:sz w:val="18"/>
                <w:szCs w:val="18"/>
                <w:lang w:val="en-US" w:eastAsia="zh-CN"/>
              </w:rPr>
              <w:t>95</w:t>
            </w:r>
          </w:p>
        </w:tc>
        <w:tc>
          <w:tcPr>
            <w:tcW w:w="633" w:type="dxa"/>
            <w:noWrap w:val="0"/>
            <w:vAlign w:val="center"/>
          </w:tcPr>
          <w:p w14:paraId="578832AC">
            <w:pPr>
              <w:adjustRightInd w:val="0"/>
              <w:snapToGrid w:val="0"/>
              <w:jc w:val="center"/>
              <w:rPr>
                <w:rFonts w:ascii="宋体" w:hAnsi="宋体"/>
                <w:bCs/>
                <w:sz w:val="18"/>
                <w:szCs w:val="18"/>
              </w:rPr>
            </w:pPr>
          </w:p>
        </w:tc>
        <w:tc>
          <w:tcPr>
            <w:tcW w:w="602" w:type="dxa"/>
            <w:noWrap w:val="0"/>
            <w:vAlign w:val="center"/>
          </w:tcPr>
          <w:p w14:paraId="2B0B831B">
            <w:pPr>
              <w:adjustRightInd w:val="0"/>
              <w:snapToGrid w:val="0"/>
              <w:jc w:val="center"/>
              <w:rPr>
                <w:rFonts w:ascii="宋体" w:hAnsi="宋体"/>
                <w:bCs/>
                <w:sz w:val="18"/>
                <w:szCs w:val="18"/>
              </w:rPr>
            </w:pPr>
          </w:p>
        </w:tc>
        <w:tc>
          <w:tcPr>
            <w:tcW w:w="2113" w:type="dxa"/>
            <w:noWrap w:val="0"/>
            <w:vAlign w:val="center"/>
          </w:tcPr>
          <w:p w14:paraId="01D42781">
            <w:pPr>
              <w:adjustRightInd w:val="0"/>
              <w:snapToGrid w:val="0"/>
              <w:rPr>
                <w:rFonts w:ascii="宋体" w:hAnsi="宋体"/>
                <w:bCs/>
                <w:sz w:val="18"/>
                <w:szCs w:val="18"/>
              </w:rPr>
            </w:pPr>
          </w:p>
        </w:tc>
        <w:tc>
          <w:tcPr>
            <w:tcW w:w="633" w:type="dxa"/>
            <w:noWrap w:val="0"/>
            <w:vAlign w:val="center"/>
          </w:tcPr>
          <w:p w14:paraId="16AF5063">
            <w:pPr>
              <w:adjustRightInd w:val="0"/>
              <w:snapToGrid w:val="0"/>
              <w:jc w:val="center"/>
              <w:rPr>
                <w:rFonts w:ascii="宋体" w:hAnsi="宋体"/>
                <w:bCs/>
                <w:sz w:val="18"/>
                <w:szCs w:val="18"/>
              </w:rPr>
            </w:pPr>
          </w:p>
        </w:tc>
        <w:tc>
          <w:tcPr>
            <w:tcW w:w="1747" w:type="dxa"/>
            <w:noWrap w:val="0"/>
            <w:vAlign w:val="center"/>
          </w:tcPr>
          <w:p w14:paraId="238793DC">
            <w:pPr>
              <w:adjustRightInd w:val="0"/>
              <w:snapToGrid w:val="0"/>
              <w:jc w:val="center"/>
              <w:rPr>
                <w:rFonts w:ascii="宋体" w:hAnsi="宋体"/>
                <w:bCs/>
                <w:sz w:val="18"/>
                <w:szCs w:val="18"/>
              </w:rPr>
            </w:pPr>
          </w:p>
        </w:tc>
        <w:tc>
          <w:tcPr>
            <w:tcW w:w="1284" w:type="dxa"/>
            <w:noWrap w:val="0"/>
            <w:vAlign w:val="center"/>
          </w:tcPr>
          <w:p w14:paraId="52CCE6F2">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eastAsia="zh-CN"/>
              </w:rPr>
              <w:t>4.6</w:t>
            </w:r>
          </w:p>
        </w:tc>
      </w:tr>
      <w:tr w14:paraId="3AD88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1" w:type="dxa"/>
            <w:noWrap w:val="0"/>
            <w:vAlign w:val="center"/>
          </w:tcPr>
          <w:p w14:paraId="37E497F8">
            <w:pPr>
              <w:widowControl/>
              <w:jc w:val="center"/>
              <w:rPr>
                <w:rFonts w:hint="eastAsia" w:ascii="宋体" w:hAnsi="宋体"/>
                <w:sz w:val="18"/>
                <w:szCs w:val="18"/>
              </w:rPr>
            </w:pPr>
            <w:r>
              <w:rPr>
                <w:rFonts w:hint="eastAsia" w:ascii="宋体" w:hAnsi="宋体"/>
                <w:sz w:val="18"/>
                <w:szCs w:val="18"/>
              </w:rPr>
              <w:t>6.1</w:t>
            </w:r>
          </w:p>
        </w:tc>
        <w:tc>
          <w:tcPr>
            <w:tcW w:w="6757" w:type="dxa"/>
            <w:noWrap w:val="0"/>
            <w:vAlign w:val="center"/>
          </w:tcPr>
          <w:p w14:paraId="598AB21F">
            <w:pPr>
              <w:widowControl/>
              <w:jc w:val="left"/>
              <w:rPr>
                <w:rFonts w:hint="eastAsia" w:ascii="宋体" w:hAnsi="宋体"/>
                <w:bCs/>
                <w:sz w:val="18"/>
                <w:szCs w:val="18"/>
              </w:rPr>
            </w:pPr>
            <w:r>
              <w:rPr>
                <w:rFonts w:hint="eastAsia" w:ascii="宋体" w:hAnsi="宋体"/>
                <w:bCs/>
                <w:sz w:val="18"/>
                <w:szCs w:val="18"/>
              </w:rPr>
              <w:t>变配电系统</w:t>
            </w:r>
          </w:p>
        </w:tc>
        <w:tc>
          <w:tcPr>
            <w:tcW w:w="633" w:type="dxa"/>
            <w:noWrap w:val="0"/>
            <w:vAlign w:val="center"/>
          </w:tcPr>
          <w:p w14:paraId="7FADE937">
            <w:pPr>
              <w:widowControl/>
              <w:jc w:val="center"/>
              <w:rPr>
                <w:rFonts w:hint="eastAsia" w:ascii="宋体" w:hAnsi="宋体"/>
                <w:bCs/>
                <w:sz w:val="18"/>
                <w:szCs w:val="18"/>
              </w:rPr>
            </w:pPr>
          </w:p>
        </w:tc>
        <w:tc>
          <w:tcPr>
            <w:tcW w:w="633" w:type="dxa"/>
            <w:noWrap w:val="0"/>
            <w:vAlign w:val="center"/>
          </w:tcPr>
          <w:p w14:paraId="039F1D23">
            <w:pPr>
              <w:widowControl/>
              <w:jc w:val="center"/>
              <w:rPr>
                <w:rFonts w:hint="default" w:ascii="宋体" w:hAnsi="宋体" w:eastAsia="宋体"/>
                <w:bCs/>
                <w:sz w:val="18"/>
                <w:szCs w:val="18"/>
                <w:lang w:val="en-US" w:eastAsia="zh-CN"/>
              </w:rPr>
            </w:pPr>
            <w:r>
              <w:rPr>
                <w:rFonts w:hint="eastAsia" w:ascii="宋体" w:hAnsi="宋体"/>
                <w:bCs/>
                <w:sz w:val="18"/>
                <w:szCs w:val="18"/>
                <w:lang w:val="en-US" w:eastAsia="zh-CN"/>
              </w:rPr>
              <w:t>35</w:t>
            </w:r>
          </w:p>
        </w:tc>
        <w:tc>
          <w:tcPr>
            <w:tcW w:w="602" w:type="dxa"/>
            <w:noWrap w:val="0"/>
            <w:vAlign w:val="center"/>
          </w:tcPr>
          <w:p w14:paraId="602315FF">
            <w:pPr>
              <w:widowControl/>
              <w:jc w:val="center"/>
              <w:rPr>
                <w:rFonts w:ascii="宋体" w:hAnsi="宋体"/>
                <w:bCs/>
                <w:sz w:val="18"/>
                <w:szCs w:val="18"/>
              </w:rPr>
            </w:pPr>
          </w:p>
        </w:tc>
        <w:tc>
          <w:tcPr>
            <w:tcW w:w="2113" w:type="dxa"/>
            <w:noWrap w:val="0"/>
            <w:vAlign w:val="center"/>
          </w:tcPr>
          <w:p w14:paraId="759EC956">
            <w:pPr>
              <w:widowControl/>
              <w:rPr>
                <w:rFonts w:ascii="宋体" w:hAnsi="宋体"/>
                <w:bCs/>
                <w:sz w:val="18"/>
                <w:szCs w:val="18"/>
              </w:rPr>
            </w:pPr>
          </w:p>
        </w:tc>
        <w:tc>
          <w:tcPr>
            <w:tcW w:w="633" w:type="dxa"/>
            <w:noWrap w:val="0"/>
            <w:vAlign w:val="center"/>
          </w:tcPr>
          <w:p w14:paraId="4DD46C77">
            <w:pPr>
              <w:widowControl/>
              <w:jc w:val="center"/>
              <w:rPr>
                <w:rFonts w:ascii="宋体" w:hAnsi="宋体"/>
                <w:bCs/>
                <w:sz w:val="18"/>
                <w:szCs w:val="18"/>
              </w:rPr>
            </w:pPr>
          </w:p>
        </w:tc>
        <w:tc>
          <w:tcPr>
            <w:tcW w:w="1747" w:type="dxa"/>
            <w:noWrap w:val="0"/>
            <w:vAlign w:val="center"/>
          </w:tcPr>
          <w:p w14:paraId="19EA0333">
            <w:pPr>
              <w:widowControl/>
              <w:jc w:val="center"/>
              <w:rPr>
                <w:rFonts w:ascii="宋体" w:hAnsi="宋体"/>
                <w:bCs/>
                <w:sz w:val="18"/>
                <w:szCs w:val="18"/>
              </w:rPr>
            </w:pPr>
          </w:p>
        </w:tc>
        <w:tc>
          <w:tcPr>
            <w:tcW w:w="1284" w:type="dxa"/>
            <w:noWrap w:val="0"/>
            <w:vAlign w:val="center"/>
          </w:tcPr>
          <w:p w14:paraId="67774A7A">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r w14:paraId="3866B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1" w:type="dxa"/>
            <w:noWrap w:val="0"/>
            <w:vAlign w:val="center"/>
          </w:tcPr>
          <w:p w14:paraId="0E1B94B4">
            <w:pPr>
              <w:widowControl/>
              <w:jc w:val="center"/>
              <w:rPr>
                <w:rFonts w:hint="eastAsia" w:ascii="宋体" w:hAnsi="宋体"/>
                <w:sz w:val="18"/>
                <w:szCs w:val="18"/>
              </w:rPr>
            </w:pPr>
            <w:r>
              <w:rPr>
                <w:rFonts w:hint="eastAsia" w:ascii="宋体" w:hAnsi="宋体"/>
                <w:sz w:val="18"/>
                <w:szCs w:val="18"/>
              </w:rPr>
              <w:t>6.1.1</w:t>
            </w:r>
          </w:p>
        </w:tc>
        <w:tc>
          <w:tcPr>
            <w:tcW w:w="6757" w:type="dxa"/>
            <w:noWrap w:val="0"/>
            <w:vAlign w:val="center"/>
          </w:tcPr>
          <w:p w14:paraId="52CB3E2F">
            <w:pPr>
              <w:adjustRightInd w:val="0"/>
              <w:snapToGrid w:val="0"/>
              <w:spacing w:line="240" w:lineRule="atLeast"/>
              <w:jc w:val="left"/>
              <w:rPr>
                <w:rFonts w:hint="eastAsia" w:ascii="宋体" w:hAnsi="宋体"/>
                <w:bCs/>
                <w:sz w:val="18"/>
                <w:szCs w:val="18"/>
              </w:rPr>
            </w:pPr>
            <w:r>
              <w:rPr>
                <w:rFonts w:hint="eastAsia" w:ascii="宋体" w:hAnsi="宋体"/>
                <w:sz w:val="18"/>
                <w:szCs w:val="18"/>
              </w:rPr>
              <w:t>设备设施</w:t>
            </w:r>
          </w:p>
        </w:tc>
        <w:tc>
          <w:tcPr>
            <w:tcW w:w="633" w:type="dxa"/>
            <w:noWrap w:val="0"/>
            <w:vAlign w:val="center"/>
          </w:tcPr>
          <w:p w14:paraId="204F6667">
            <w:pPr>
              <w:widowControl/>
              <w:jc w:val="center"/>
              <w:rPr>
                <w:rFonts w:hint="eastAsia" w:ascii="宋体" w:hAnsi="宋体"/>
                <w:bCs/>
                <w:sz w:val="18"/>
                <w:szCs w:val="18"/>
              </w:rPr>
            </w:pPr>
          </w:p>
        </w:tc>
        <w:tc>
          <w:tcPr>
            <w:tcW w:w="633" w:type="dxa"/>
            <w:noWrap w:val="0"/>
            <w:vAlign w:val="center"/>
          </w:tcPr>
          <w:p w14:paraId="7B4FCEC6">
            <w:pPr>
              <w:widowControl/>
              <w:jc w:val="center"/>
              <w:rPr>
                <w:rFonts w:hint="eastAsia" w:ascii="宋体" w:hAnsi="宋体"/>
                <w:bCs/>
                <w:sz w:val="18"/>
                <w:szCs w:val="18"/>
              </w:rPr>
            </w:pPr>
          </w:p>
        </w:tc>
        <w:tc>
          <w:tcPr>
            <w:tcW w:w="602" w:type="dxa"/>
            <w:noWrap w:val="0"/>
            <w:vAlign w:val="center"/>
          </w:tcPr>
          <w:p w14:paraId="6B29DB7C">
            <w:pPr>
              <w:widowControl/>
              <w:jc w:val="center"/>
              <w:rPr>
                <w:rFonts w:ascii="宋体" w:hAnsi="宋体"/>
                <w:bCs/>
                <w:sz w:val="18"/>
                <w:szCs w:val="18"/>
              </w:rPr>
            </w:pPr>
          </w:p>
        </w:tc>
        <w:tc>
          <w:tcPr>
            <w:tcW w:w="2113" w:type="dxa"/>
            <w:noWrap w:val="0"/>
            <w:vAlign w:val="center"/>
          </w:tcPr>
          <w:p w14:paraId="40C2CB6B">
            <w:pPr>
              <w:numPr>
                <w:ilvl w:val="3"/>
                <w:numId w:val="0"/>
              </w:numPr>
              <w:adjustRightInd w:val="0"/>
              <w:snapToGrid w:val="0"/>
              <w:rPr>
                <w:rFonts w:ascii="宋体" w:hAnsi="宋体"/>
                <w:bCs/>
                <w:sz w:val="18"/>
                <w:szCs w:val="18"/>
              </w:rPr>
            </w:pPr>
          </w:p>
        </w:tc>
        <w:tc>
          <w:tcPr>
            <w:tcW w:w="633" w:type="dxa"/>
            <w:noWrap w:val="0"/>
            <w:vAlign w:val="center"/>
          </w:tcPr>
          <w:p w14:paraId="1EB5B10E">
            <w:pPr>
              <w:widowControl/>
              <w:jc w:val="center"/>
              <w:rPr>
                <w:rFonts w:ascii="宋体" w:hAnsi="宋体"/>
                <w:bCs/>
                <w:sz w:val="18"/>
                <w:szCs w:val="18"/>
              </w:rPr>
            </w:pPr>
          </w:p>
        </w:tc>
        <w:tc>
          <w:tcPr>
            <w:tcW w:w="1747" w:type="dxa"/>
            <w:noWrap w:val="0"/>
            <w:vAlign w:val="center"/>
          </w:tcPr>
          <w:p w14:paraId="02BE2302">
            <w:pPr>
              <w:widowControl/>
              <w:jc w:val="center"/>
              <w:rPr>
                <w:rFonts w:ascii="宋体" w:hAnsi="宋体"/>
                <w:bCs/>
                <w:sz w:val="18"/>
                <w:szCs w:val="18"/>
              </w:rPr>
            </w:pPr>
          </w:p>
        </w:tc>
        <w:tc>
          <w:tcPr>
            <w:tcW w:w="1284" w:type="dxa"/>
            <w:noWrap w:val="0"/>
            <w:vAlign w:val="center"/>
          </w:tcPr>
          <w:p w14:paraId="5E767B71">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r w14:paraId="51605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0" w:hRule="atLeast"/>
          <w:tblHeader/>
        </w:trPr>
        <w:tc>
          <w:tcPr>
            <w:tcW w:w="951" w:type="dxa"/>
            <w:noWrap w:val="0"/>
            <w:vAlign w:val="center"/>
          </w:tcPr>
          <w:p w14:paraId="5AB5503F">
            <w:pPr>
              <w:jc w:val="center"/>
              <w:rPr>
                <w:rFonts w:hint="eastAsia" w:ascii="宋体" w:hAnsi="宋体"/>
                <w:sz w:val="18"/>
                <w:szCs w:val="18"/>
              </w:rPr>
            </w:pPr>
            <w:r>
              <w:rPr>
                <w:rFonts w:hint="eastAsia" w:ascii="宋体" w:hAnsi="宋体"/>
                <w:sz w:val="18"/>
                <w:szCs w:val="18"/>
              </w:rPr>
              <w:t>6.1.1.1</w:t>
            </w:r>
          </w:p>
        </w:tc>
        <w:tc>
          <w:tcPr>
            <w:tcW w:w="6757" w:type="dxa"/>
            <w:noWrap w:val="0"/>
            <w:vAlign w:val="center"/>
          </w:tcPr>
          <w:p w14:paraId="569C5791">
            <w:pPr>
              <w:adjustRightInd w:val="0"/>
              <w:snapToGrid w:val="0"/>
              <w:spacing w:line="240" w:lineRule="atLeast"/>
              <w:jc w:val="left"/>
              <w:rPr>
                <w:rFonts w:hint="default" w:ascii="宋体" w:hAnsi="宋体" w:eastAsia="宋体"/>
                <w:sz w:val="18"/>
                <w:szCs w:val="18"/>
                <w:lang w:val="en-US" w:eastAsia="zh-CN"/>
              </w:rPr>
            </w:pPr>
            <w:r>
              <w:rPr>
                <w:rFonts w:hint="eastAsia" w:ascii="宋体" w:hAnsi="宋体"/>
                <w:sz w:val="18"/>
                <w:szCs w:val="18"/>
                <w:lang w:val="en-US" w:eastAsia="zh-CN"/>
              </w:rPr>
              <w:t>设备设施应符合下列要求：</w:t>
            </w:r>
          </w:p>
          <w:p w14:paraId="06014017">
            <w:pPr>
              <w:adjustRightInd w:val="0"/>
              <w:snapToGrid w:val="0"/>
              <w:spacing w:line="240" w:lineRule="atLeast"/>
              <w:jc w:val="left"/>
              <w:rPr>
                <w:rFonts w:hint="eastAsia" w:ascii="宋体" w:hAnsi="宋体" w:eastAsia="宋体"/>
                <w:sz w:val="18"/>
                <w:szCs w:val="18"/>
                <w:lang w:eastAsia="zh-CN"/>
              </w:rPr>
            </w:pPr>
            <w:r>
              <w:rPr>
                <w:rFonts w:hint="eastAsia" w:ascii="宋体" w:hAnsi="宋体"/>
                <w:sz w:val="18"/>
                <w:szCs w:val="18"/>
              </w:rPr>
              <w:t>★a）</w:t>
            </w:r>
            <w:r>
              <w:rPr>
                <w:rFonts w:ascii="宋体" w:hAnsi="宋体"/>
                <w:sz w:val="18"/>
                <w:szCs w:val="18"/>
              </w:rPr>
              <w:t>应依据国家公布的设备性能标准逐步淘汰落后的电气设备</w:t>
            </w:r>
            <w:r>
              <w:rPr>
                <w:rFonts w:hint="eastAsia" w:ascii="宋体" w:hAnsi="宋体"/>
                <w:sz w:val="18"/>
                <w:szCs w:val="18"/>
                <w:lang w:eastAsia="zh-CN"/>
              </w:rPr>
              <w:t>；</w:t>
            </w:r>
          </w:p>
          <w:p w14:paraId="5AB9F2C8">
            <w:pPr>
              <w:adjustRightInd w:val="0"/>
              <w:snapToGrid w:val="0"/>
              <w:spacing w:line="240" w:lineRule="atLeast"/>
              <w:jc w:val="left"/>
              <w:rPr>
                <w:rFonts w:hint="eastAsia" w:ascii="宋体" w:hAnsi="宋体" w:eastAsia="宋体"/>
                <w:sz w:val="18"/>
                <w:szCs w:val="18"/>
                <w:lang w:eastAsia="zh-CN"/>
              </w:rPr>
            </w:pPr>
            <w:r>
              <w:rPr>
                <w:rFonts w:hint="eastAsia" w:ascii="宋体" w:hAnsi="宋体"/>
                <w:sz w:val="18"/>
                <w:szCs w:val="18"/>
                <w:lang w:val="en-US" w:eastAsia="zh-CN"/>
              </w:rPr>
              <w:t>b</w:t>
            </w:r>
            <w:r>
              <w:rPr>
                <w:rFonts w:hint="eastAsia" w:ascii="宋体" w:hAnsi="宋体"/>
                <w:sz w:val="18"/>
                <w:szCs w:val="18"/>
              </w:rPr>
              <w:t>）高压配电装置应采用具有五防功能的金属封闭开关设备</w:t>
            </w:r>
            <w:r>
              <w:rPr>
                <w:rFonts w:hint="eastAsia" w:ascii="宋体" w:hAnsi="宋体"/>
                <w:sz w:val="18"/>
                <w:szCs w:val="18"/>
                <w:lang w:eastAsia="zh-CN"/>
              </w:rPr>
              <w:t>；</w:t>
            </w:r>
          </w:p>
          <w:p w14:paraId="143A1E50">
            <w:pPr>
              <w:adjustRightInd w:val="0"/>
              <w:snapToGrid w:val="0"/>
              <w:spacing w:line="240" w:lineRule="atLeast"/>
              <w:jc w:val="left"/>
              <w:rPr>
                <w:rFonts w:hint="eastAsia" w:ascii="宋体" w:hAnsi="宋体" w:eastAsia="宋体"/>
                <w:sz w:val="18"/>
                <w:szCs w:val="18"/>
                <w:lang w:eastAsia="zh-CN"/>
              </w:rPr>
            </w:pPr>
            <w:r>
              <w:rPr>
                <w:rFonts w:hint="eastAsia" w:ascii="宋体" w:hAnsi="宋体"/>
                <w:sz w:val="18"/>
                <w:szCs w:val="18"/>
                <w:lang w:val="en-US" w:eastAsia="zh-CN"/>
              </w:rPr>
              <w:t>c</w:t>
            </w:r>
            <w:r>
              <w:rPr>
                <w:rFonts w:hint="eastAsia" w:ascii="宋体" w:hAnsi="宋体"/>
                <w:sz w:val="18"/>
                <w:szCs w:val="18"/>
              </w:rPr>
              <w:t>）低压成套开关设备应使用具有</w:t>
            </w:r>
            <w:r>
              <w:rPr>
                <w:rFonts w:ascii="宋体" w:hAnsi="宋体"/>
                <w:sz w:val="18"/>
                <w:szCs w:val="18"/>
              </w:rPr>
              <w:t>3C</w:t>
            </w:r>
            <w:r>
              <w:rPr>
                <w:rFonts w:hint="eastAsia" w:ascii="宋体" w:hAnsi="宋体"/>
                <w:sz w:val="18"/>
                <w:szCs w:val="18"/>
              </w:rPr>
              <w:t>认证的产品</w:t>
            </w:r>
            <w:r>
              <w:rPr>
                <w:rFonts w:hint="eastAsia" w:ascii="宋体" w:hAnsi="宋体"/>
                <w:sz w:val="18"/>
                <w:szCs w:val="18"/>
                <w:lang w:eastAsia="zh-CN"/>
              </w:rPr>
              <w:t>；</w:t>
            </w:r>
          </w:p>
          <w:p w14:paraId="5E49982C">
            <w:pPr>
              <w:adjustRightInd w:val="0"/>
              <w:snapToGrid w:val="0"/>
              <w:spacing w:line="240" w:lineRule="atLeast"/>
              <w:jc w:val="left"/>
              <w:rPr>
                <w:rFonts w:ascii="宋体" w:hAnsi="宋体"/>
                <w:sz w:val="18"/>
                <w:szCs w:val="18"/>
              </w:rPr>
            </w:pPr>
            <w:r>
              <w:rPr>
                <w:rFonts w:hint="eastAsia" w:ascii="宋体" w:hAnsi="宋体"/>
                <w:sz w:val="18"/>
                <w:szCs w:val="18"/>
                <w:lang w:val="en-US" w:eastAsia="zh-CN"/>
              </w:rPr>
              <w:t>d</w:t>
            </w:r>
            <w:r>
              <w:rPr>
                <w:rFonts w:hint="eastAsia" w:ascii="宋体" w:hAnsi="宋体"/>
                <w:sz w:val="18"/>
                <w:szCs w:val="18"/>
              </w:rPr>
              <w:t>）应配备质量合格、数量满足工作需求的安全工器具：</w:t>
            </w:r>
          </w:p>
          <w:p w14:paraId="79737515">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）绝缘安全工器具：绝缘杆、验电器、携带型短路接地线、绝缘手套、绝缘靴（鞋）；</w:t>
            </w:r>
          </w:p>
          <w:p w14:paraId="54C5E564">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2</w:t>
            </w:r>
            <w:r>
              <w:rPr>
                <w:rFonts w:hint="eastAsia" w:ascii="宋体" w:hAnsi="宋体"/>
                <w:sz w:val="18"/>
                <w:szCs w:val="18"/>
              </w:rPr>
              <w:t>）登高作业安全工器具：安全帽、安全带、安全绳、非金属材质梯子等；</w:t>
            </w:r>
          </w:p>
          <w:p w14:paraId="357818D4">
            <w:pPr>
              <w:adjustRightInd w:val="0"/>
              <w:snapToGrid w:val="0"/>
              <w:spacing w:line="240" w:lineRule="atLeast"/>
              <w:ind w:firstLine="360" w:firstLineChars="200"/>
              <w:jc w:val="left"/>
              <w:rPr>
                <w:rFonts w:ascii="宋体" w:hAnsi="宋体"/>
                <w:sz w:val="18"/>
                <w:szCs w:val="18"/>
              </w:rPr>
            </w:pPr>
            <w:r>
              <w:rPr>
                <w:rFonts w:hint="eastAsia" w:ascii="宋体" w:hAnsi="宋体"/>
                <w:sz w:val="18"/>
                <w:szCs w:val="18"/>
                <w:lang w:val="en-US" w:eastAsia="zh-CN"/>
              </w:rPr>
              <w:t>3</w:t>
            </w:r>
            <w:r>
              <w:rPr>
                <w:rFonts w:hint="eastAsia" w:ascii="宋体" w:hAnsi="宋体"/>
                <w:sz w:val="18"/>
                <w:szCs w:val="18"/>
              </w:rPr>
              <w:t>）检修工具：螺丝刀、扳手、钢锯、电工刀、电工钳等；</w:t>
            </w:r>
          </w:p>
          <w:p w14:paraId="4ECBF5CD">
            <w:pPr>
              <w:adjustRightInd w:val="0"/>
              <w:snapToGrid w:val="0"/>
              <w:ind w:firstLine="360" w:firstLineChars="200"/>
              <w:jc w:val="left"/>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）测量仪表：红外温度测试仪、万用表、钳形电流表、绝缘电阻表等。</w:t>
            </w:r>
          </w:p>
          <w:p w14:paraId="1837D38A">
            <w:pPr>
              <w:snapToGrid w:val="0"/>
              <w:spacing w:line="240" w:lineRule="atLeast"/>
              <w:jc w:val="left"/>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）安全工器具应妥善保管，存放在干燥通风的场所，不允许当作其他工具使用，且不合格的安全工器具不应存放在工作现场。部分安全工器具的保管还应符合下列要求：</w:t>
            </w:r>
          </w:p>
          <w:p w14:paraId="415EFD2B">
            <w:pPr>
              <w:snapToGrid w:val="0"/>
              <w:spacing w:line="240" w:lineRule="atLeast"/>
              <w:ind w:firstLine="360" w:firstLineChars="200"/>
              <w:jc w:val="left"/>
              <w:rPr>
                <w:rFonts w:hint="eastAsia" w:ascii="宋体" w:hAnsi="宋体"/>
                <w:sz w:val="18"/>
                <w:szCs w:val="18"/>
              </w:rPr>
            </w:pPr>
            <w:r>
              <w:rPr>
                <w:rFonts w:hint="eastAsia" w:ascii="宋体" w:hAnsi="宋体"/>
                <w:sz w:val="18"/>
                <w:szCs w:val="18"/>
                <w:lang w:val="en-US" w:eastAsia="zh-CN"/>
              </w:rPr>
              <w:t>1</w:t>
            </w:r>
            <w:r>
              <w:rPr>
                <w:rFonts w:hint="eastAsia" w:ascii="宋体" w:hAnsi="宋体"/>
                <w:sz w:val="18"/>
                <w:szCs w:val="18"/>
              </w:rPr>
              <w:t>）绝缘杆应悬挂或架在专用支架上，不应与墙或地面接触；</w:t>
            </w:r>
          </w:p>
        </w:tc>
        <w:tc>
          <w:tcPr>
            <w:tcW w:w="633" w:type="dxa"/>
            <w:noWrap w:val="0"/>
            <w:vAlign w:val="center"/>
          </w:tcPr>
          <w:p w14:paraId="4C099C1C">
            <w:pPr>
              <w:widowControl/>
              <w:jc w:val="center"/>
              <w:rPr>
                <w:rFonts w:hint="eastAsia" w:ascii="宋体" w:hAnsi="宋体"/>
                <w:bCs/>
                <w:sz w:val="18"/>
                <w:szCs w:val="18"/>
              </w:rPr>
            </w:pPr>
          </w:p>
        </w:tc>
        <w:tc>
          <w:tcPr>
            <w:tcW w:w="633" w:type="dxa"/>
            <w:noWrap w:val="0"/>
            <w:vAlign w:val="center"/>
          </w:tcPr>
          <w:p w14:paraId="27CA6A39">
            <w:pPr>
              <w:widowControl/>
              <w:jc w:val="center"/>
              <w:rPr>
                <w:rFonts w:hint="eastAsia" w:ascii="宋体" w:hAnsi="宋体"/>
                <w:bCs/>
                <w:sz w:val="18"/>
                <w:szCs w:val="18"/>
              </w:rPr>
            </w:pPr>
          </w:p>
        </w:tc>
        <w:tc>
          <w:tcPr>
            <w:tcW w:w="602" w:type="dxa"/>
            <w:noWrap w:val="0"/>
            <w:vAlign w:val="center"/>
          </w:tcPr>
          <w:p w14:paraId="33FF895D">
            <w:pPr>
              <w:jc w:val="center"/>
              <w:rPr>
                <w:rFonts w:hint="default" w:ascii="宋体" w:hAnsi="宋体"/>
                <w:sz w:val="18"/>
                <w:szCs w:val="18"/>
                <w:lang w:val="en-US"/>
              </w:rPr>
            </w:pPr>
            <w:r>
              <w:rPr>
                <w:rFonts w:hint="eastAsia" w:ascii="宋体" w:hAnsi="宋体"/>
                <w:sz w:val="18"/>
                <w:szCs w:val="18"/>
                <w:lang w:val="en-US" w:eastAsia="zh-CN"/>
              </w:rPr>
              <w:t>5</w:t>
            </w:r>
          </w:p>
        </w:tc>
        <w:tc>
          <w:tcPr>
            <w:tcW w:w="2113" w:type="dxa"/>
            <w:noWrap w:val="0"/>
            <w:vAlign w:val="center"/>
          </w:tcPr>
          <w:p w14:paraId="2EBBDC1D">
            <w:pPr>
              <w:numPr>
                <w:ilvl w:val="0"/>
                <w:numId w:val="64"/>
              </w:numPr>
              <w:adjustRightInd w:val="0"/>
              <w:snapToGrid w:val="0"/>
              <w:ind w:left="0"/>
              <w:rPr>
                <w:rFonts w:hint="eastAsia" w:ascii="宋体" w:hAnsi="宋体"/>
                <w:sz w:val="18"/>
                <w:szCs w:val="18"/>
              </w:rPr>
            </w:pPr>
            <w:r>
              <w:rPr>
                <w:rFonts w:hint="eastAsia" w:ascii="宋体" w:hAnsi="宋体"/>
                <w:sz w:val="18"/>
                <w:szCs w:val="18"/>
              </w:rPr>
              <w:t>未逐步淘汰落后的电气设备，“用电”评定要素不得分；</w:t>
            </w:r>
          </w:p>
          <w:p w14:paraId="023936BE">
            <w:pPr>
              <w:numPr>
                <w:ilvl w:val="0"/>
                <w:numId w:val="64"/>
              </w:numPr>
              <w:adjustRightInd w:val="0"/>
              <w:snapToGrid w:val="0"/>
              <w:ind w:left="0"/>
              <w:rPr>
                <w:rFonts w:hint="eastAsia" w:ascii="宋体" w:hAnsi="宋体"/>
                <w:sz w:val="18"/>
                <w:szCs w:val="18"/>
                <w:lang w:val="en-US" w:eastAsia="zh-CN"/>
              </w:rPr>
            </w:pPr>
            <w:r>
              <w:rPr>
                <w:rFonts w:ascii="宋体" w:hAnsi="宋体"/>
                <w:sz w:val="18"/>
                <w:szCs w:val="18"/>
              </w:rPr>
              <w:t>未</w:t>
            </w:r>
            <w:r>
              <w:rPr>
                <w:rFonts w:hint="eastAsia" w:ascii="宋体" w:hAnsi="宋体"/>
                <w:sz w:val="18"/>
                <w:szCs w:val="18"/>
              </w:rPr>
              <w:t>按要求配置安全工器具的，</w:t>
            </w:r>
            <w:r>
              <w:rPr>
                <w:rFonts w:hint="eastAsia" w:ascii="宋体" w:hAnsi="宋体"/>
                <w:sz w:val="18"/>
                <w:szCs w:val="18"/>
                <w:lang w:val="en-US" w:eastAsia="zh-CN"/>
              </w:rPr>
              <w:t>扣5分；</w:t>
            </w:r>
          </w:p>
          <w:p w14:paraId="313DF737">
            <w:pPr>
              <w:numPr>
                <w:ilvl w:val="0"/>
                <w:numId w:val="64"/>
              </w:numPr>
              <w:adjustRightInd w:val="0"/>
              <w:snapToGrid w:val="0"/>
              <w:ind w:left="0"/>
              <w:rPr>
                <w:rFonts w:hint="eastAsia" w:ascii="宋体" w:hAnsi="宋体"/>
                <w:sz w:val="18"/>
                <w:szCs w:val="18"/>
              </w:rPr>
            </w:pPr>
            <w:r>
              <w:rPr>
                <w:rFonts w:hint="eastAsia" w:ascii="宋体" w:hAnsi="宋体"/>
                <w:sz w:val="18"/>
                <w:szCs w:val="18"/>
              </w:rPr>
              <w:t>应按要求进行电气设备的预防性试验</w:t>
            </w:r>
            <w:r>
              <w:rPr>
                <w:rFonts w:hint="eastAsia" w:ascii="宋体" w:hAnsi="宋体"/>
                <w:sz w:val="18"/>
                <w:szCs w:val="18"/>
                <w:lang w:eastAsia="zh-CN"/>
              </w:rPr>
              <w:t>；</w:t>
            </w:r>
            <w:r>
              <w:rPr>
                <w:rFonts w:hint="eastAsia" w:ascii="宋体" w:hAnsi="宋体"/>
                <w:sz w:val="18"/>
                <w:szCs w:val="18"/>
                <w:lang w:val="en-US" w:eastAsia="zh-CN"/>
              </w:rPr>
              <w:t>扣5分；</w:t>
            </w:r>
          </w:p>
          <w:p w14:paraId="1C29BB68">
            <w:pPr>
              <w:numPr>
                <w:ilvl w:val="0"/>
                <w:numId w:val="64"/>
              </w:numPr>
              <w:adjustRightInd w:val="0"/>
              <w:snapToGrid w:val="0"/>
              <w:rPr>
                <w:rFonts w:hint="eastAsia" w:ascii="宋体" w:hAnsi="宋体"/>
                <w:sz w:val="18"/>
                <w:szCs w:val="18"/>
              </w:rPr>
            </w:pPr>
            <w:r>
              <w:rPr>
                <w:rFonts w:hint="eastAsia" w:ascii="宋体" w:hAnsi="宋体"/>
                <w:sz w:val="18"/>
                <w:szCs w:val="18"/>
                <w:lang w:val="en-US" w:eastAsia="zh-CN"/>
              </w:rPr>
              <w:t>其他</w:t>
            </w:r>
            <w:r>
              <w:rPr>
                <w:rFonts w:hint="eastAsia" w:ascii="宋体" w:hAnsi="宋体"/>
                <w:sz w:val="18"/>
                <w:szCs w:val="18"/>
              </w:rPr>
              <w:t>一处不符合，</w:t>
            </w:r>
            <w:r>
              <w:rPr>
                <w:rFonts w:hint="eastAsia" w:ascii="宋体" w:hAnsi="宋体"/>
                <w:sz w:val="18"/>
                <w:szCs w:val="18"/>
                <w:lang w:val="en-US" w:eastAsia="zh-CN"/>
              </w:rPr>
              <w:t>扣2分</w:t>
            </w:r>
            <w:r>
              <w:rPr>
                <w:rFonts w:hint="eastAsia" w:ascii="宋体" w:hAnsi="宋体"/>
                <w:sz w:val="18"/>
                <w:szCs w:val="18"/>
              </w:rPr>
              <w:t>。</w:t>
            </w:r>
          </w:p>
        </w:tc>
        <w:tc>
          <w:tcPr>
            <w:tcW w:w="633" w:type="dxa"/>
            <w:noWrap w:val="0"/>
            <w:vAlign w:val="center"/>
          </w:tcPr>
          <w:p w14:paraId="72512FD2">
            <w:pPr>
              <w:widowControl/>
              <w:jc w:val="center"/>
              <w:rPr>
                <w:rFonts w:ascii="宋体" w:hAnsi="宋体"/>
                <w:bCs/>
                <w:sz w:val="18"/>
                <w:szCs w:val="18"/>
              </w:rPr>
            </w:pPr>
          </w:p>
        </w:tc>
        <w:tc>
          <w:tcPr>
            <w:tcW w:w="1747" w:type="dxa"/>
            <w:noWrap w:val="0"/>
            <w:vAlign w:val="center"/>
          </w:tcPr>
          <w:p w14:paraId="0A058CC8">
            <w:pPr>
              <w:widowControl/>
              <w:jc w:val="center"/>
              <w:rPr>
                <w:rFonts w:ascii="宋体" w:hAnsi="宋体"/>
                <w:bCs/>
                <w:sz w:val="18"/>
                <w:szCs w:val="18"/>
              </w:rPr>
            </w:pPr>
          </w:p>
        </w:tc>
        <w:tc>
          <w:tcPr>
            <w:tcW w:w="1284" w:type="dxa"/>
            <w:noWrap w:val="0"/>
            <w:vAlign w:val="center"/>
          </w:tcPr>
          <w:p w14:paraId="3E21FC0F">
            <w:pPr>
              <w:keepNext w:val="0"/>
              <w:keepLines w:val="0"/>
              <w:pageBreakBefore w:val="0"/>
              <w:widowControl/>
              <w:kinsoku/>
              <w:wordWrap/>
              <w:overflowPunct/>
              <w:topLinePunct w:val="0"/>
              <w:autoSpaceDE/>
              <w:autoSpaceDN/>
              <w:bidi w:val="0"/>
              <w:adjustRightInd/>
              <w:snapToGrid w:val="0"/>
              <w:jc w:val="center"/>
              <w:textAlignment w:val="auto"/>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bl>
    <w:p w14:paraId="0F970CDF">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47C27CEE">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0"/>
        <w:gridCol w:w="6860"/>
        <w:gridCol w:w="633"/>
        <w:gridCol w:w="651"/>
        <w:gridCol w:w="712"/>
        <w:gridCol w:w="1996"/>
        <w:gridCol w:w="712"/>
        <w:gridCol w:w="1710"/>
        <w:gridCol w:w="1139"/>
      </w:tblGrid>
      <w:tr w14:paraId="06DD3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0" w:type="dxa"/>
            <w:noWrap w:val="0"/>
            <w:vAlign w:val="center"/>
          </w:tcPr>
          <w:p w14:paraId="4EF9926B">
            <w:pPr>
              <w:adjustRightInd w:val="0"/>
              <w:snapToGrid w:val="0"/>
              <w:jc w:val="center"/>
              <w:rPr>
                <w:rFonts w:ascii="宋体" w:hAnsi="宋体"/>
                <w:bCs/>
                <w:sz w:val="18"/>
                <w:szCs w:val="18"/>
              </w:rPr>
            </w:pPr>
            <w:r>
              <w:rPr>
                <w:rFonts w:ascii="宋体" w:hAnsi="宋体"/>
                <w:bCs/>
                <w:sz w:val="18"/>
                <w:szCs w:val="18"/>
              </w:rPr>
              <w:t>序号</w:t>
            </w:r>
          </w:p>
        </w:tc>
        <w:tc>
          <w:tcPr>
            <w:tcW w:w="6860" w:type="dxa"/>
            <w:noWrap w:val="0"/>
            <w:vAlign w:val="center"/>
          </w:tcPr>
          <w:p w14:paraId="33767563">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5FA1FDC4">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51" w:type="dxa"/>
            <w:noWrap w:val="0"/>
            <w:vAlign w:val="center"/>
          </w:tcPr>
          <w:p w14:paraId="7AD290F7">
            <w:pPr>
              <w:adjustRightInd w:val="0"/>
              <w:snapToGrid w:val="0"/>
              <w:jc w:val="center"/>
              <w:rPr>
                <w:rFonts w:ascii="宋体" w:hAnsi="宋体"/>
                <w:bCs/>
                <w:sz w:val="18"/>
                <w:szCs w:val="18"/>
              </w:rPr>
            </w:pPr>
            <w:r>
              <w:rPr>
                <w:rFonts w:hint="eastAsia" w:ascii="宋体" w:hAnsi="宋体"/>
                <w:bCs/>
                <w:sz w:val="18"/>
                <w:szCs w:val="18"/>
              </w:rPr>
              <w:t>评定细项分值</w:t>
            </w:r>
          </w:p>
        </w:tc>
        <w:tc>
          <w:tcPr>
            <w:tcW w:w="712" w:type="dxa"/>
            <w:noWrap w:val="0"/>
            <w:vAlign w:val="center"/>
          </w:tcPr>
          <w:p w14:paraId="5975BC5F">
            <w:pPr>
              <w:adjustRightInd w:val="0"/>
              <w:snapToGrid w:val="0"/>
              <w:jc w:val="center"/>
              <w:rPr>
                <w:rFonts w:ascii="宋体" w:hAnsi="宋体"/>
                <w:bCs/>
                <w:sz w:val="18"/>
                <w:szCs w:val="18"/>
              </w:rPr>
            </w:pPr>
            <w:r>
              <w:rPr>
                <w:rFonts w:hint="eastAsia" w:ascii="宋体" w:hAnsi="宋体"/>
                <w:bCs/>
                <w:sz w:val="18"/>
                <w:szCs w:val="18"/>
              </w:rPr>
              <w:t>评定条款分值</w:t>
            </w:r>
          </w:p>
        </w:tc>
        <w:tc>
          <w:tcPr>
            <w:tcW w:w="1996" w:type="dxa"/>
            <w:noWrap w:val="0"/>
            <w:vAlign w:val="center"/>
          </w:tcPr>
          <w:p w14:paraId="3EC18FF9">
            <w:pPr>
              <w:adjustRightInd w:val="0"/>
              <w:snapToGrid w:val="0"/>
              <w:jc w:val="center"/>
              <w:rPr>
                <w:rFonts w:ascii="宋体" w:hAnsi="宋体"/>
                <w:bCs/>
                <w:sz w:val="18"/>
                <w:szCs w:val="18"/>
              </w:rPr>
            </w:pPr>
            <w:r>
              <w:rPr>
                <w:rFonts w:ascii="宋体" w:hAnsi="宋体"/>
                <w:bCs/>
                <w:sz w:val="18"/>
                <w:szCs w:val="18"/>
              </w:rPr>
              <w:t>评分标准</w:t>
            </w:r>
          </w:p>
        </w:tc>
        <w:tc>
          <w:tcPr>
            <w:tcW w:w="712" w:type="dxa"/>
            <w:noWrap w:val="0"/>
            <w:vAlign w:val="center"/>
          </w:tcPr>
          <w:p w14:paraId="0CA7B816">
            <w:pPr>
              <w:adjustRightInd w:val="0"/>
              <w:snapToGrid w:val="0"/>
              <w:jc w:val="center"/>
              <w:rPr>
                <w:rFonts w:ascii="宋体" w:hAnsi="宋体"/>
                <w:bCs/>
                <w:sz w:val="18"/>
                <w:szCs w:val="18"/>
              </w:rPr>
            </w:pPr>
            <w:r>
              <w:rPr>
                <w:rFonts w:hint="eastAsia" w:ascii="宋体" w:hAnsi="宋体"/>
                <w:bCs/>
                <w:sz w:val="18"/>
                <w:szCs w:val="18"/>
              </w:rPr>
              <w:t>评定得分</w:t>
            </w:r>
          </w:p>
        </w:tc>
        <w:tc>
          <w:tcPr>
            <w:tcW w:w="1710" w:type="dxa"/>
            <w:noWrap w:val="0"/>
            <w:vAlign w:val="center"/>
          </w:tcPr>
          <w:p w14:paraId="6E278447">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37BE63B4">
            <w:pPr>
              <w:adjustRightInd w:val="0"/>
              <w:snapToGrid w:val="0"/>
              <w:jc w:val="center"/>
              <w:rPr>
                <w:rFonts w:ascii="宋体" w:hAnsi="宋体"/>
                <w:bCs/>
                <w:sz w:val="18"/>
                <w:szCs w:val="18"/>
              </w:rPr>
            </w:pPr>
            <w:r>
              <w:rPr>
                <w:rFonts w:ascii="宋体" w:hAnsi="宋体"/>
                <w:bCs/>
                <w:sz w:val="18"/>
                <w:szCs w:val="18"/>
              </w:rPr>
              <w:t>对应条款编号</w:t>
            </w:r>
          </w:p>
        </w:tc>
      </w:tr>
      <w:tr w14:paraId="1902D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0" w:type="dxa"/>
            <w:noWrap w:val="0"/>
            <w:vAlign w:val="center"/>
          </w:tcPr>
          <w:p w14:paraId="245EE812">
            <w:pPr>
              <w:widowControl/>
              <w:jc w:val="center"/>
              <w:rPr>
                <w:rFonts w:ascii="宋体" w:hAnsi="宋体"/>
                <w:bCs/>
                <w:sz w:val="18"/>
                <w:szCs w:val="18"/>
              </w:rPr>
            </w:pPr>
          </w:p>
        </w:tc>
        <w:tc>
          <w:tcPr>
            <w:tcW w:w="6860" w:type="dxa"/>
            <w:vMerge w:val="restart"/>
            <w:noWrap w:val="0"/>
            <w:vAlign w:val="center"/>
          </w:tcPr>
          <w:p w14:paraId="19D37B80">
            <w:pPr>
              <w:adjustRightInd w:val="0"/>
              <w:snapToGrid w:val="0"/>
              <w:ind w:firstLine="360" w:firstLineChars="200"/>
              <w:jc w:val="left"/>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）绝缘手套、绝缘靴应与其他工具仪表分开存放，避免直接碰触尖锐物体；</w:t>
            </w:r>
          </w:p>
          <w:p w14:paraId="1B3D5B51">
            <w:pPr>
              <w:adjustRightInd w:val="0"/>
              <w:snapToGrid w:val="0"/>
              <w:ind w:firstLine="360" w:firstLineChars="200"/>
              <w:jc w:val="left"/>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）高压验电器应存放在防潮的匣内或专用袋内。</w:t>
            </w:r>
          </w:p>
          <w:p w14:paraId="5F173328">
            <w:pPr>
              <w:adjustRightInd w:val="0"/>
              <w:snapToGrid w:val="0"/>
              <w:spacing w:line="240" w:lineRule="atLeast"/>
              <w:jc w:val="left"/>
              <w:rPr>
                <w:rFonts w:hint="eastAsia" w:ascii="宋体" w:hAnsi="宋体" w:eastAsia="宋体"/>
                <w:bCs/>
                <w:sz w:val="18"/>
                <w:szCs w:val="18"/>
                <w:lang w:eastAsia="zh-CN"/>
              </w:rPr>
            </w:pPr>
            <w:r>
              <w:rPr>
                <w:rFonts w:hint="eastAsia" w:ascii="宋体" w:hAnsi="宋体"/>
                <w:sz w:val="18"/>
                <w:szCs w:val="18"/>
                <w:lang w:val="en-US" w:eastAsia="zh-CN"/>
              </w:rPr>
              <w:t>f</w:t>
            </w:r>
            <w:r>
              <w:rPr>
                <w:rFonts w:hint="eastAsia" w:ascii="宋体" w:hAnsi="宋体"/>
                <w:sz w:val="18"/>
                <w:szCs w:val="18"/>
              </w:rPr>
              <w:t>）安全工器具应统一分类编号，定置存放并登记在专用记录簿内，做到账物相符</w:t>
            </w:r>
            <w:r>
              <w:rPr>
                <w:rFonts w:hint="eastAsia" w:ascii="宋体" w:hAnsi="宋体"/>
                <w:sz w:val="18"/>
                <w:szCs w:val="18"/>
                <w:lang w:val="en-US" w:eastAsia="zh-CN"/>
              </w:rPr>
              <w:t>；</w:t>
            </w:r>
          </w:p>
          <w:p w14:paraId="6F5B49FA">
            <w:pPr>
              <w:adjustRightInd w:val="0"/>
              <w:snapToGrid w:val="0"/>
              <w:spacing w:line="240" w:lineRule="auto"/>
              <w:jc w:val="left"/>
              <w:rPr>
                <w:rFonts w:hint="eastAsia" w:ascii="宋体" w:hAnsi="宋体" w:eastAsia="宋体"/>
                <w:sz w:val="18"/>
                <w:szCs w:val="18"/>
                <w:lang w:eastAsia="zh-CN"/>
              </w:rPr>
            </w:pPr>
            <w:r>
              <w:rPr>
                <w:rFonts w:hint="eastAsia" w:ascii="宋体" w:hAnsi="宋体"/>
                <w:sz w:val="18"/>
                <w:szCs w:val="18"/>
                <w:lang w:val="en-US" w:eastAsia="zh-CN"/>
              </w:rPr>
              <w:t>g</w:t>
            </w:r>
            <w:r>
              <w:rPr>
                <w:rFonts w:hint="eastAsia" w:ascii="宋体" w:hAnsi="宋体"/>
                <w:sz w:val="18"/>
                <w:szCs w:val="18"/>
              </w:rPr>
              <w:t>）应按表G.2的规定进行绝缘安全工器具的定期试验，合格后方可使用。安全用具和防护用品实物上应张贴定期检验合格标志</w:t>
            </w:r>
            <w:r>
              <w:rPr>
                <w:rFonts w:hint="eastAsia" w:ascii="宋体" w:hAnsi="宋体"/>
                <w:sz w:val="18"/>
                <w:szCs w:val="18"/>
                <w:lang w:eastAsia="zh-CN"/>
              </w:rPr>
              <w:t>；</w:t>
            </w:r>
          </w:p>
          <w:p w14:paraId="3EBE9F19">
            <w:pPr>
              <w:adjustRightInd w:val="0"/>
              <w:snapToGrid w:val="0"/>
              <w:spacing w:line="240" w:lineRule="atLeast"/>
              <w:jc w:val="left"/>
              <w:rPr>
                <w:rFonts w:hint="eastAsia" w:ascii="宋体" w:hAnsi="宋体" w:eastAsia="宋体"/>
                <w:sz w:val="18"/>
                <w:szCs w:val="18"/>
                <w:lang w:eastAsia="zh-CN"/>
              </w:rPr>
            </w:pPr>
            <w:r>
              <w:rPr>
                <w:rFonts w:hint="eastAsia" w:ascii="宋体" w:hAnsi="宋体"/>
                <w:sz w:val="18"/>
                <w:szCs w:val="18"/>
                <w:lang w:val="en-US" w:eastAsia="zh-CN"/>
              </w:rPr>
              <w:t>h</w:t>
            </w:r>
            <w:r>
              <w:rPr>
                <w:rFonts w:hint="eastAsia" w:ascii="宋体" w:hAnsi="宋体"/>
                <w:sz w:val="18"/>
                <w:szCs w:val="18"/>
              </w:rPr>
              <w:t>）改造、大修后的电气设备，应在投入运行前应进行交接试验，试验合格后方可投入运行</w:t>
            </w:r>
            <w:r>
              <w:rPr>
                <w:rFonts w:hint="eastAsia" w:ascii="宋体" w:hAnsi="宋体"/>
                <w:sz w:val="18"/>
                <w:szCs w:val="18"/>
                <w:lang w:eastAsia="zh-CN"/>
              </w:rPr>
              <w:t>；</w:t>
            </w:r>
          </w:p>
          <w:p w14:paraId="358FC286">
            <w:pPr>
              <w:adjustRightInd w:val="0"/>
              <w:snapToGrid w:val="0"/>
              <w:spacing w:line="240" w:lineRule="atLeast"/>
              <w:jc w:val="left"/>
              <w:rPr>
                <w:rFonts w:hint="eastAsia" w:ascii="宋体" w:hAnsi="宋体" w:eastAsia="宋体"/>
                <w:sz w:val="18"/>
                <w:szCs w:val="18"/>
                <w:lang w:eastAsia="zh-CN"/>
              </w:rPr>
            </w:pPr>
            <w:r>
              <w:rPr>
                <w:rFonts w:hint="eastAsia" w:ascii="宋体" w:hAnsi="宋体"/>
                <w:sz w:val="18"/>
                <w:szCs w:val="18"/>
                <w:lang w:val="en-US" w:eastAsia="zh-CN"/>
              </w:rPr>
              <w:t>i</w:t>
            </w:r>
            <w:r>
              <w:rPr>
                <w:rFonts w:hint="eastAsia" w:ascii="宋体" w:hAnsi="宋体"/>
                <w:sz w:val="18"/>
                <w:szCs w:val="18"/>
              </w:rPr>
              <w:t>）应按要求进行电气设备的预防性试验</w:t>
            </w:r>
            <w:r>
              <w:rPr>
                <w:rFonts w:hint="eastAsia" w:ascii="宋体" w:hAnsi="宋体"/>
                <w:sz w:val="18"/>
                <w:szCs w:val="18"/>
                <w:lang w:eastAsia="zh-CN"/>
              </w:rPr>
              <w:t>；</w:t>
            </w:r>
          </w:p>
          <w:p w14:paraId="13DDB579">
            <w:pPr>
              <w:adjustRightInd w:val="0"/>
              <w:snapToGrid w:val="0"/>
              <w:jc w:val="left"/>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）应根据设备污秽情况、负荷重要程度及负荷运行情况等安排设备的清扫检查工作。</w:t>
            </w:r>
          </w:p>
        </w:tc>
        <w:tc>
          <w:tcPr>
            <w:tcW w:w="633" w:type="dxa"/>
            <w:noWrap w:val="0"/>
            <w:vAlign w:val="center"/>
          </w:tcPr>
          <w:p w14:paraId="775F0AD9">
            <w:pPr>
              <w:adjustRightInd w:val="0"/>
              <w:snapToGrid w:val="0"/>
              <w:jc w:val="center"/>
              <w:rPr>
                <w:rFonts w:hint="eastAsia" w:ascii="宋体" w:hAnsi="宋体"/>
                <w:bCs/>
                <w:sz w:val="18"/>
                <w:szCs w:val="18"/>
              </w:rPr>
            </w:pPr>
          </w:p>
        </w:tc>
        <w:tc>
          <w:tcPr>
            <w:tcW w:w="651" w:type="dxa"/>
            <w:noWrap w:val="0"/>
            <w:vAlign w:val="center"/>
          </w:tcPr>
          <w:p w14:paraId="3DD7B746">
            <w:pPr>
              <w:adjustRightInd w:val="0"/>
              <w:snapToGrid w:val="0"/>
              <w:jc w:val="center"/>
              <w:rPr>
                <w:rFonts w:hint="eastAsia" w:ascii="宋体" w:hAnsi="宋体"/>
                <w:bCs/>
                <w:sz w:val="18"/>
                <w:szCs w:val="18"/>
              </w:rPr>
            </w:pPr>
          </w:p>
        </w:tc>
        <w:tc>
          <w:tcPr>
            <w:tcW w:w="712" w:type="dxa"/>
            <w:noWrap w:val="0"/>
            <w:vAlign w:val="center"/>
          </w:tcPr>
          <w:p w14:paraId="45CEF1E8">
            <w:pPr>
              <w:widowControl/>
              <w:jc w:val="center"/>
              <w:rPr>
                <w:rFonts w:ascii="宋体" w:hAnsi="宋体"/>
                <w:bCs/>
                <w:sz w:val="18"/>
                <w:szCs w:val="18"/>
              </w:rPr>
            </w:pPr>
          </w:p>
        </w:tc>
        <w:tc>
          <w:tcPr>
            <w:tcW w:w="1996" w:type="dxa"/>
            <w:noWrap w:val="0"/>
            <w:vAlign w:val="center"/>
          </w:tcPr>
          <w:p w14:paraId="0FD5487E">
            <w:pPr>
              <w:widowControl/>
              <w:jc w:val="left"/>
              <w:rPr>
                <w:rFonts w:ascii="宋体" w:hAnsi="宋体"/>
                <w:bCs/>
                <w:sz w:val="18"/>
                <w:szCs w:val="18"/>
              </w:rPr>
            </w:pPr>
          </w:p>
        </w:tc>
        <w:tc>
          <w:tcPr>
            <w:tcW w:w="712" w:type="dxa"/>
            <w:noWrap w:val="0"/>
            <w:vAlign w:val="center"/>
          </w:tcPr>
          <w:p w14:paraId="6675C59E">
            <w:pPr>
              <w:widowControl/>
              <w:jc w:val="center"/>
              <w:rPr>
                <w:rFonts w:ascii="宋体" w:hAnsi="宋体"/>
                <w:bCs/>
                <w:sz w:val="18"/>
                <w:szCs w:val="18"/>
              </w:rPr>
            </w:pPr>
          </w:p>
        </w:tc>
        <w:tc>
          <w:tcPr>
            <w:tcW w:w="1710" w:type="dxa"/>
            <w:noWrap w:val="0"/>
            <w:vAlign w:val="center"/>
          </w:tcPr>
          <w:p w14:paraId="7233C704">
            <w:pPr>
              <w:widowControl/>
              <w:jc w:val="center"/>
              <w:rPr>
                <w:rFonts w:ascii="宋体" w:hAnsi="宋体"/>
                <w:bCs/>
                <w:sz w:val="18"/>
                <w:szCs w:val="18"/>
              </w:rPr>
            </w:pPr>
          </w:p>
        </w:tc>
        <w:tc>
          <w:tcPr>
            <w:tcW w:w="1139" w:type="dxa"/>
            <w:noWrap w:val="0"/>
            <w:vAlign w:val="center"/>
          </w:tcPr>
          <w:p w14:paraId="12D03555">
            <w:pPr>
              <w:widowControl/>
              <w:jc w:val="center"/>
              <w:rPr>
                <w:rFonts w:ascii="宋体" w:hAnsi="宋体"/>
                <w:bCs/>
                <w:sz w:val="18"/>
                <w:szCs w:val="18"/>
              </w:rPr>
            </w:pPr>
          </w:p>
        </w:tc>
      </w:tr>
      <w:tr w14:paraId="7C753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0" w:type="dxa"/>
            <w:noWrap w:val="0"/>
            <w:vAlign w:val="center"/>
          </w:tcPr>
          <w:p w14:paraId="2333CB3E">
            <w:pPr>
              <w:widowControl/>
              <w:jc w:val="center"/>
              <w:rPr>
                <w:rFonts w:hint="eastAsia" w:ascii="宋体" w:hAnsi="宋体" w:eastAsia="宋体"/>
                <w:bCs/>
                <w:sz w:val="18"/>
                <w:szCs w:val="18"/>
                <w:lang w:eastAsia="zh-CN"/>
              </w:rPr>
            </w:pPr>
            <w:r>
              <w:rPr>
                <w:rFonts w:hint="eastAsia" w:ascii="宋体" w:hAnsi="宋体"/>
                <w:sz w:val="18"/>
                <w:szCs w:val="18"/>
              </w:rPr>
              <w:t>6.1.1.</w:t>
            </w:r>
            <w:r>
              <w:rPr>
                <w:rFonts w:hint="eastAsia" w:ascii="宋体" w:hAnsi="宋体"/>
                <w:sz w:val="18"/>
                <w:szCs w:val="18"/>
                <w:lang w:val="en-US" w:eastAsia="zh-CN"/>
              </w:rPr>
              <w:t>2</w:t>
            </w:r>
          </w:p>
        </w:tc>
        <w:tc>
          <w:tcPr>
            <w:tcW w:w="6860" w:type="dxa"/>
            <w:noWrap w:val="0"/>
            <w:vAlign w:val="center"/>
          </w:tcPr>
          <w:p w14:paraId="76BBDFA6">
            <w:pPr>
              <w:adjustRightInd w:val="0"/>
              <w:snapToGrid w:val="0"/>
              <w:jc w:val="left"/>
              <w:rPr>
                <w:rFonts w:ascii="宋体" w:hAnsi="宋体"/>
                <w:sz w:val="18"/>
                <w:szCs w:val="18"/>
              </w:rPr>
            </w:pPr>
            <w:r>
              <w:rPr>
                <w:rFonts w:hint="eastAsia" w:ascii="宋体" w:hAnsi="宋体"/>
                <w:sz w:val="18"/>
                <w:szCs w:val="18"/>
              </w:rPr>
              <w:t>自备应急电源的管理应符合下列要求：</w:t>
            </w:r>
          </w:p>
          <w:p w14:paraId="286FE14B">
            <w:pPr>
              <w:adjustRightInd w:val="0"/>
              <w:snapToGrid w:val="0"/>
              <w:jc w:val="left"/>
              <w:rPr>
                <w:rFonts w:ascii="宋体" w:hAnsi="宋体"/>
                <w:sz w:val="18"/>
                <w:szCs w:val="18"/>
              </w:rPr>
            </w:pPr>
            <w:r>
              <w:rPr>
                <w:rFonts w:hint="eastAsia" w:ascii="宋体" w:hAnsi="宋体"/>
                <w:sz w:val="18"/>
                <w:szCs w:val="18"/>
              </w:rPr>
              <w:t>a）自备应急电源应定期进行安全检查、预防性试验、启机试验和切换装置的切换试验，并做好记录；</w:t>
            </w:r>
          </w:p>
          <w:p w14:paraId="0CDCD54F">
            <w:pPr>
              <w:adjustRightInd w:val="0"/>
              <w:snapToGrid w:val="0"/>
              <w:jc w:val="left"/>
              <w:rPr>
                <w:rFonts w:ascii="宋体" w:hAnsi="宋体"/>
                <w:sz w:val="18"/>
                <w:szCs w:val="18"/>
              </w:rPr>
            </w:pPr>
            <w:r>
              <w:rPr>
                <w:rFonts w:hint="eastAsia" w:ascii="宋体" w:hAnsi="宋体"/>
                <w:sz w:val="18"/>
                <w:szCs w:val="18"/>
              </w:rPr>
              <w:t>b）不应自行变更自备发电机接线方式；</w:t>
            </w:r>
          </w:p>
          <w:p w14:paraId="40B5CB66">
            <w:pPr>
              <w:snapToGrid w:val="0"/>
              <w:spacing w:line="240" w:lineRule="atLeast"/>
              <w:jc w:val="left"/>
              <w:rPr>
                <w:rFonts w:hint="eastAsia" w:ascii="宋体" w:hAnsi="宋体"/>
                <w:sz w:val="18"/>
                <w:szCs w:val="18"/>
                <w:lang w:eastAsia="zh-CN"/>
              </w:rPr>
            </w:pPr>
            <w:r>
              <w:rPr>
                <w:rFonts w:hint="eastAsia" w:ascii="宋体" w:hAnsi="宋体"/>
                <w:sz w:val="18"/>
                <w:szCs w:val="18"/>
              </w:rPr>
              <w:t>c）应有可靠的电气或机械闭锁装置，防止反送电，不应自行拆除闭锁装置或者使其失效</w:t>
            </w:r>
            <w:r>
              <w:rPr>
                <w:rFonts w:hint="eastAsia" w:ascii="宋体" w:hAnsi="宋体"/>
                <w:sz w:val="18"/>
                <w:szCs w:val="18"/>
                <w:lang w:eastAsia="zh-CN"/>
              </w:rPr>
              <w:t>；</w:t>
            </w:r>
          </w:p>
          <w:p w14:paraId="1E9A7800">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val="en-US" w:eastAsia="zh-CN"/>
              </w:rPr>
              <w:t>发电机房及设备管理应符合下列要求：</w:t>
            </w:r>
          </w:p>
          <w:p w14:paraId="6AC8637D">
            <w:pPr>
              <w:adjustRightInd w:val="0"/>
              <w:snapToGrid w:val="0"/>
              <w:ind w:firstLine="360" w:firstLineChars="200"/>
              <w:jc w:val="left"/>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lang w:eastAsia="zh-CN"/>
              </w:rPr>
              <w:t>)</w:t>
            </w:r>
            <w:r>
              <w:rPr>
                <w:rFonts w:hint="eastAsia" w:ascii="宋体" w:hAnsi="宋体"/>
                <w:sz w:val="18"/>
                <w:szCs w:val="18"/>
                <w:lang w:val="en-US" w:eastAsia="zh-CN"/>
              </w:rPr>
              <w:t>门应为甲级防火门，并向外开启；</w:t>
            </w:r>
          </w:p>
          <w:p w14:paraId="5E412DFE">
            <w:pPr>
              <w:adjustRightInd w:val="0"/>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2）</w:t>
            </w:r>
            <w:r>
              <w:rPr>
                <w:rFonts w:hint="eastAsia" w:ascii="宋体" w:hAnsi="宋体"/>
                <w:sz w:val="18"/>
                <w:szCs w:val="18"/>
                <w:lang w:eastAsia="zh-CN"/>
              </w:rPr>
              <w:t>使用的油品应单独设置储油桶、罐，室内仅可允许发电机自带的储油装置内存放油品；</w:t>
            </w:r>
          </w:p>
          <w:p w14:paraId="1189A036">
            <w:pPr>
              <w:adjustRightInd w:val="0"/>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3）</w:t>
            </w:r>
            <w:r>
              <w:rPr>
                <w:rFonts w:hint="eastAsia" w:ascii="宋体" w:hAnsi="宋体"/>
                <w:sz w:val="18"/>
                <w:szCs w:val="18"/>
              </w:rPr>
              <w:t>建筑内单间储油间的燃油储存量不应大于1m</w:t>
            </w:r>
            <w:r>
              <w:rPr>
                <w:rFonts w:hint="eastAsia" w:ascii="宋体" w:hAnsi="宋体"/>
                <w:sz w:val="18"/>
                <w:szCs w:val="18"/>
                <w:vertAlign w:val="superscript"/>
                <w:lang w:val="en-US" w:eastAsia="zh-CN"/>
              </w:rPr>
              <w:t>3</w:t>
            </w:r>
            <w:r>
              <w:rPr>
                <w:rFonts w:hint="eastAsia" w:ascii="宋体" w:hAnsi="宋体"/>
                <w:sz w:val="18"/>
                <w:szCs w:val="18"/>
              </w:rPr>
              <w:t>。油箱的通气管设置应满足防火要求，油箱的下部应设置防止油品流散的设施。储油间应采用防火隔墙与发电机间分隔</w:t>
            </w:r>
            <w:r>
              <w:rPr>
                <w:rFonts w:hint="eastAsia" w:ascii="宋体" w:hAnsi="宋体"/>
                <w:sz w:val="18"/>
                <w:szCs w:val="18"/>
                <w:lang w:eastAsia="zh-CN"/>
              </w:rPr>
              <w:t>；</w:t>
            </w:r>
          </w:p>
          <w:p w14:paraId="3B56F991">
            <w:pPr>
              <w:adjustRightInd w:val="0"/>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4</w:t>
            </w:r>
            <w:r>
              <w:rPr>
                <w:rFonts w:hint="eastAsia" w:ascii="宋体" w:hAnsi="宋体"/>
                <w:sz w:val="18"/>
                <w:szCs w:val="18"/>
                <w:lang w:eastAsia="zh-CN"/>
              </w:rPr>
              <w:t>)未经许可其它人员不应进入机房；</w:t>
            </w:r>
          </w:p>
          <w:p w14:paraId="45F14CFD">
            <w:pPr>
              <w:adjustRightInd w:val="0"/>
              <w:snapToGrid w:val="0"/>
              <w:ind w:firstLine="360" w:firstLineChars="200"/>
              <w:jc w:val="left"/>
              <w:rPr>
                <w:rFonts w:hint="default" w:ascii="宋体" w:hAnsi="宋体"/>
                <w:sz w:val="18"/>
                <w:szCs w:val="18"/>
                <w:lang w:val="en-US" w:eastAsia="zh-CN"/>
              </w:rPr>
            </w:pPr>
            <w:r>
              <w:rPr>
                <w:rFonts w:hint="eastAsia" w:ascii="宋体" w:hAnsi="宋体"/>
                <w:sz w:val="18"/>
                <w:szCs w:val="18"/>
                <w:lang w:val="en-US" w:eastAsia="zh-CN"/>
              </w:rPr>
              <w:t>5</w:t>
            </w:r>
            <w:r>
              <w:rPr>
                <w:rFonts w:hint="eastAsia" w:ascii="宋体" w:hAnsi="宋体"/>
                <w:sz w:val="18"/>
                <w:szCs w:val="18"/>
                <w:lang w:eastAsia="zh-CN"/>
              </w:rPr>
              <w:t>)机房内应有良好的通风；</w:t>
            </w:r>
          </w:p>
          <w:p w14:paraId="6F9B7183">
            <w:pPr>
              <w:adjustRightInd w:val="0"/>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6</w:t>
            </w:r>
            <w:r>
              <w:rPr>
                <w:rFonts w:hint="eastAsia" w:ascii="宋体" w:hAnsi="宋体"/>
                <w:sz w:val="18"/>
                <w:szCs w:val="18"/>
                <w:lang w:eastAsia="zh-CN"/>
              </w:rPr>
              <w:t>)</w:t>
            </w:r>
            <w:r>
              <w:rPr>
                <w:rFonts w:hint="eastAsia" w:ascii="宋体" w:hAnsi="宋体"/>
                <w:sz w:val="18"/>
                <w:szCs w:val="18"/>
                <w:lang w:val="en-US" w:eastAsia="zh-CN"/>
              </w:rPr>
              <w:t>机房内</w:t>
            </w:r>
            <w:r>
              <w:rPr>
                <w:rFonts w:hint="eastAsia" w:ascii="宋体" w:hAnsi="宋体"/>
                <w:sz w:val="18"/>
                <w:szCs w:val="18"/>
                <w:lang w:eastAsia="zh-CN"/>
              </w:rPr>
              <w:t xml:space="preserve">不应堆放杂物； </w:t>
            </w:r>
          </w:p>
          <w:p w14:paraId="1090AC18">
            <w:pPr>
              <w:adjustRightInd w:val="0"/>
              <w:snapToGrid w:val="0"/>
              <w:ind w:firstLine="360" w:firstLineChars="200"/>
              <w:jc w:val="left"/>
              <w:rPr>
                <w:rFonts w:hint="eastAsia" w:ascii="宋体" w:hAnsi="宋体"/>
                <w:sz w:val="18"/>
                <w:szCs w:val="18"/>
                <w:lang w:eastAsia="zh-CN"/>
              </w:rPr>
            </w:pPr>
            <w:r>
              <w:rPr>
                <w:rFonts w:hint="eastAsia" w:ascii="宋体" w:hAnsi="宋体"/>
                <w:sz w:val="18"/>
                <w:szCs w:val="18"/>
                <w:lang w:val="en-US" w:eastAsia="zh-CN"/>
              </w:rPr>
              <w:t>7</w:t>
            </w:r>
            <w:r>
              <w:rPr>
                <w:rFonts w:hint="eastAsia" w:ascii="宋体" w:hAnsi="宋体"/>
                <w:sz w:val="18"/>
                <w:szCs w:val="18"/>
                <w:lang w:eastAsia="zh-CN"/>
              </w:rPr>
              <w:t>)机房内应配有适合扑灭电气火灾的灭火器材；</w:t>
            </w:r>
          </w:p>
          <w:p w14:paraId="075D0143">
            <w:pPr>
              <w:adjustRightInd w:val="0"/>
              <w:snapToGrid w:val="0"/>
              <w:ind w:firstLine="360" w:firstLineChars="200"/>
              <w:jc w:val="left"/>
              <w:rPr>
                <w:rFonts w:hint="default" w:ascii="宋体" w:hAnsi="宋体"/>
                <w:sz w:val="18"/>
                <w:szCs w:val="18"/>
                <w:lang w:val="en-US" w:eastAsia="zh-CN"/>
              </w:rPr>
            </w:pPr>
            <w:r>
              <w:rPr>
                <w:rFonts w:hint="eastAsia" w:ascii="宋体" w:hAnsi="宋体"/>
                <w:sz w:val="18"/>
                <w:szCs w:val="18"/>
                <w:lang w:val="en-US" w:eastAsia="zh-CN"/>
              </w:rPr>
              <w:t>8</w:t>
            </w:r>
            <w:r>
              <w:rPr>
                <w:rFonts w:hint="eastAsia" w:ascii="宋体" w:hAnsi="宋体"/>
                <w:sz w:val="18"/>
                <w:szCs w:val="18"/>
                <w:lang w:eastAsia="zh-CN"/>
              </w:rPr>
              <w:t>)燃油系统的设备与管道应采取防静电接地措施；</w:t>
            </w:r>
          </w:p>
          <w:p w14:paraId="39B7599A">
            <w:pPr>
              <w:snapToGrid w:val="0"/>
              <w:spacing w:line="240" w:lineRule="atLeast"/>
              <w:ind w:firstLine="360" w:firstLineChars="200"/>
              <w:jc w:val="left"/>
              <w:rPr>
                <w:rFonts w:hint="eastAsia" w:ascii="宋体" w:hAnsi="宋体"/>
                <w:sz w:val="18"/>
                <w:szCs w:val="18"/>
              </w:rPr>
            </w:pPr>
            <w:r>
              <w:rPr>
                <w:rFonts w:hint="eastAsia" w:ascii="宋体" w:hAnsi="宋体"/>
                <w:sz w:val="18"/>
                <w:szCs w:val="18"/>
                <w:lang w:val="en-US" w:eastAsia="zh-CN"/>
              </w:rPr>
              <w:t>9</w:t>
            </w:r>
            <w:r>
              <w:rPr>
                <w:rFonts w:hint="eastAsia" w:ascii="宋体" w:hAnsi="宋体"/>
                <w:sz w:val="18"/>
                <w:szCs w:val="18"/>
                <w:lang w:eastAsia="zh-CN"/>
              </w:rPr>
              <w:t>)移动式发电机，使用前应将底架停放在平稳的基础上，设置临时护栏，运转时不应移动。</w:t>
            </w:r>
          </w:p>
        </w:tc>
        <w:tc>
          <w:tcPr>
            <w:tcW w:w="633" w:type="dxa"/>
            <w:noWrap w:val="0"/>
            <w:vAlign w:val="center"/>
          </w:tcPr>
          <w:p w14:paraId="4568C152">
            <w:pPr>
              <w:numPr>
                <w:ilvl w:val="3"/>
                <w:numId w:val="0"/>
              </w:numPr>
              <w:adjustRightInd w:val="0"/>
              <w:snapToGrid w:val="0"/>
              <w:jc w:val="center"/>
              <w:rPr>
                <w:rFonts w:ascii="宋体" w:hAnsi="宋体"/>
                <w:sz w:val="18"/>
                <w:szCs w:val="18"/>
              </w:rPr>
            </w:pPr>
          </w:p>
        </w:tc>
        <w:tc>
          <w:tcPr>
            <w:tcW w:w="651" w:type="dxa"/>
            <w:noWrap w:val="0"/>
            <w:vAlign w:val="center"/>
          </w:tcPr>
          <w:p w14:paraId="1AA4065A">
            <w:pPr>
              <w:numPr>
                <w:ilvl w:val="3"/>
                <w:numId w:val="0"/>
              </w:numPr>
              <w:adjustRightInd w:val="0"/>
              <w:snapToGrid w:val="0"/>
              <w:jc w:val="center"/>
              <w:rPr>
                <w:rFonts w:ascii="宋体" w:hAnsi="宋体"/>
                <w:sz w:val="18"/>
                <w:szCs w:val="18"/>
              </w:rPr>
            </w:pPr>
          </w:p>
        </w:tc>
        <w:tc>
          <w:tcPr>
            <w:tcW w:w="712" w:type="dxa"/>
            <w:noWrap w:val="0"/>
            <w:vAlign w:val="center"/>
          </w:tcPr>
          <w:p w14:paraId="224F029F">
            <w:pPr>
              <w:widowControl/>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1996" w:type="dxa"/>
            <w:noWrap w:val="0"/>
            <w:vAlign w:val="center"/>
          </w:tcPr>
          <w:p w14:paraId="355C1048">
            <w:pPr>
              <w:rPr>
                <w:rFonts w:hint="eastAsia" w:ascii="宋体" w:hAnsi="宋体"/>
                <w:sz w:val="18"/>
                <w:szCs w:val="18"/>
              </w:rPr>
            </w:pPr>
            <w:r>
              <w:rPr>
                <w:rFonts w:hint="eastAsia" w:ascii="宋体" w:hAnsi="宋体" w:cs="宋体"/>
                <w:sz w:val="18"/>
                <w:szCs w:val="18"/>
              </w:rPr>
              <w:t>一处不符合，</w:t>
            </w:r>
            <w:r>
              <w:rPr>
                <w:rFonts w:hint="eastAsia" w:ascii="宋体" w:hAnsi="宋体" w:cs="宋体"/>
                <w:sz w:val="18"/>
                <w:szCs w:val="18"/>
                <w:lang w:val="en-US" w:eastAsia="zh-CN"/>
              </w:rPr>
              <w:t>扣2分</w:t>
            </w:r>
            <w:r>
              <w:rPr>
                <w:rFonts w:hint="eastAsia" w:ascii="宋体" w:hAnsi="宋体" w:cs="宋体"/>
                <w:sz w:val="18"/>
                <w:szCs w:val="18"/>
              </w:rPr>
              <w:t>。</w:t>
            </w:r>
          </w:p>
        </w:tc>
        <w:tc>
          <w:tcPr>
            <w:tcW w:w="712" w:type="dxa"/>
            <w:noWrap w:val="0"/>
            <w:vAlign w:val="center"/>
          </w:tcPr>
          <w:p w14:paraId="4B401106">
            <w:pPr>
              <w:widowControl/>
              <w:jc w:val="center"/>
              <w:rPr>
                <w:rFonts w:ascii="宋体" w:hAnsi="宋体"/>
                <w:bCs/>
                <w:sz w:val="18"/>
                <w:szCs w:val="18"/>
              </w:rPr>
            </w:pPr>
          </w:p>
        </w:tc>
        <w:tc>
          <w:tcPr>
            <w:tcW w:w="1710" w:type="dxa"/>
            <w:noWrap w:val="0"/>
            <w:vAlign w:val="center"/>
          </w:tcPr>
          <w:p w14:paraId="76EAE90A">
            <w:pPr>
              <w:widowControl/>
              <w:jc w:val="center"/>
              <w:rPr>
                <w:rFonts w:ascii="宋体" w:hAnsi="宋体"/>
                <w:bCs/>
                <w:sz w:val="18"/>
                <w:szCs w:val="18"/>
              </w:rPr>
            </w:pPr>
          </w:p>
        </w:tc>
        <w:tc>
          <w:tcPr>
            <w:tcW w:w="1139" w:type="dxa"/>
            <w:noWrap w:val="0"/>
            <w:vAlign w:val="center"/>
          </w:tcPr>
          <w:p w14:paraId="37FF3B3A">
            <w:pPr>
              <w:widowControl/>
              <w:snapToGrid w:val="0"/>
              <w:jc w:val="center"/>
              <w:rPr>
                <w:rFonts w:ascii="宋体" w:hAnsi="宋体"/>
                <w:sz w:val="18"/>
                <w:szCs w:val="18"/>
              </w:rPr>
            </w:pPr>
            <w:r>
              <w:rPr>
                <w:rFonts w:hint="eastAsia" w:ascii="宋体" w:hAnsi="宋体"/>
                <w:sz w:val="18"/>
                <w:szCs w:val="18"/>
                <w:lang w:eastAsia="zh-CN"/>
              </w:rPr>
              <w:t>4.6</w:t>
            </w:r>
            <w:r>
              <w:rPr>
                <w:rFonts w:ascii="宋体" w:hAnsi="宋体"/>
                <w:sz w:val="18"/>
                <w:szCs w:val="18"/>
              </w:rPr>
              <w:t>.1</w:t>
            </w:r>
          </w:p>
          <w:p w14:paraId="468AB987">
            <w:pPr>
              <w:widowControl/>
              <w:snapToGrid w:val="0"/>
              <w:jc w:val="center"/>
              <w:rPr>
                <w:rFonts w:hint="default" w:ascii="宋体" w:hAnsi="宋体" w:eastAsia="宋体"/>
                <w:sz w:val="18"/>
                <w:szCs w:val="18"/>
                <w:lang w:val="en-US" w:eastAsia="zh-CN"/>
              </w:rPr>
            </w:pPr>
            <w:r>
              <w:rPr>
                <w:rFonts w:hint="eastAsia" w:ascii="宋体" w:hAnsi="宋体"/>
                <w:sz w:val="18"/>
                <w:szCs w:val="18"/>
                <w:lang w:val="en-US" w:eastAsia="zh-CN"/>
              </w:rPr>
              <w:t>4.6.2</w:t>
            </w:r>
          </w:p>
        </w:tc>
      </w:tr>
    </w:tbl>
    <w:p w14:paraId="6919B3EE">
      <w:pPr>
        <w:pStyle w:val="36"/>
        <w:rPr>
          <w:rFonts w:hint="eastAsia"/>
        </w:rPr>
      </w:pPr>
    </w:p>
    <w:p w14:paraId="1F16773F">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1"/>
        <w:gridCol w:w="6860"/>
        <w:gridCol w:w="633"/>
        <w:gridCol w:w="633"/>
        <w:gridCol w:w="602"/>
        <w:gridCol w:w="2113"/>
        <w:gridCol w:w="633"/>
        <w:gridCol w:w="1799"/>
        <w:gridCol w:w="1139"/>
      </w:tblGrid>
      <w:tr w14:paraId="1271C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1" w:type="dxa"/>
            <w:noWrap w:val="0"/>
            <w:vAlign w:val="center"/>
          </w:tcPr>
          <w:p w14:paraId="04344167">
            <w:pPr>
              <w:adjustRightInd w:val="0"/>
              <w:snapToGrid w:val="0"/>
              <w:jc w:val="center"/>
              <w:rPr>
                <w:rFonts w:ascii="宋体" w:hAnsi="宋体"/>
                <w:bCs/>
                <w:sz w:val="18"/>
                <w:szCs w:val="18"/>
              </w:rPr>
            </w:pPr>
            <w:r>
              <w:rPr>
                <w:rFonts w:ascii="宋体" w:hAnsi="宋体"/>
                <w:bCs/>
                <w:sz w:val="18"/>
                <w:szCs w:val="18"/>
              </w:rPr>
              <w:t>序号</w:t>
            </w:r>
          </w:p>
        </w:tc>
        <w:tc>
          <w:tcPr>
            <w:tcW w:w="6860" w:type="dxa"/>
            <w:noWrap w:val="0"/>
            <w:vAlign w:val="center"/>
          </w:tcPr>
          <w:p w14:paraId="5ADC2588">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29714FDF">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6E6A84D9">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4455F70C">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3" w:type="dxa"/>
            <w:noWrap w:val="0"/>
            <w:vAlign w:val="center"/>
          </w:tcPr>
          <w:p w14:paraId="222F97ED">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752DCCCC">
            <w:pPr>
              <w:adjustRightInd w:val="0"/>
              <w:snapToGrid w:val="0"/>
              <w:jc w:val="center"/>
              <w:rPr>
                <w:rFonts w:ascii="宋体" w:hAnsi="宋体"/>
                <w:bCs/>
                <w:sz w:val="18"/>
                <w:szCs w:val="18"/>
              </w:rPr>
            </w:pPr>
            <w:r>
              <w:rPr>
                <w:rFonts w:hint="eastAsia" w:ascii="宋体" w:hAnsi="宋体"/>
                <w:bCs/>
                <w:sz w:val="18"/>
                <w:szCs w:val="18"/>
              </w:rPr>
              <w:t>评定得分</w:t>
            </w:r>
          </w:p>
        </w:tc>
        <w:tc>
          <w:tcPr>
            <w:tcW w:w="1799" w:type="dxa"/>
            <w:noWrap w:val="0"/>
            <w:vAlign w:val="center"/>
          </w:tcPr>
          <w:p w14:paraId="48181D88">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19608C12">
            <w:pPr>
              <w:adjustRightInd w:val="0"/>
              <w:snapToGrid w:val="0"/>
              <w:jc w:val="center"/>
              <w:rPr>
                <w:rFonts w:ascii="宋体" w:hAnsi="宋体"/>
                <w:bCs/>
                <w:sz w:val="18"/>
                <w:szCs w:val="18"/>
              </w:rPr>
            </w:pPr>
            <w:r>
              <w:rPr>
                <w:rFonts w:ascii="宋体" w:hAnsi="宋体"/>
                <w:bCs/>
                <w:sz w:val="18"/>
                <w:szCs w:val="18"/>
              </w:rPr>
              <w:t>对应条款编号</w:t>
            </w:r>
          </w:p>
        </w:tc>
      </w:tr>
      <w:tr w14:paraId="4B726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1" w:type="dxa"/>
            <w:noWrap w:val="0"/>
            <w:vAlign w:val="center"/>
          </w:tcPr>
          <w:p w14:paraId="6064E7AC">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rPr>
              <w:t>6.1.2</w:t>
            </w:r>
          </w:p>
        </w:tc>
        <w:tc>
          <w:tcPr>
            <w:tcW w:w="6860" w:type="dxa"/>
            <w:noWrap w:val="0"/>
            <w:vAlign w:val="center"/>
          </w:tcPr>
          <w:p w14:paraId="3FA3E313">
            <w:pPr>
              <w:snapToGrid w:val="0"/>
              <w:spacing w:line="240" w:lineRule="atLeast"/>
              <w:jc w:val="left"/>
              <w:rPr>
                <w:rFonts w:hint="eastAsia" w:ascii="宋体" w:hAnsi="宋体" w:eastAsia="宋体" w:cs="Times New Roman"/>
                <w:kern w:val="2"/>
                <w:sz w:val="18"/>
                <w:szCs w:val="18"/>
                <w:lang w:val="en-US" w:eastAsia="zh-CN" w:bidi="ar-SA"/>
              </w:rPr>
            </w:pPr>
            <w:r>
              <w:rPr>
                <w:rFonts w:hint="eastAsia" w:ascii="宋体" w:hAnsi="宋体"/>
                <w:sz w:val="18"/>
                <w:szCs w:val="18"/>
              </w:rPr>
              <w:t>环境要求</w:t>
            </w:r>
          </w:p>
        </w:tc>
        <w:tc>
          <w:tcPr>
            <w:tcW w:w="633" w:type="dxa"/>
            <w:noWrap w:val="0"/>
            <w:vAlign w:val="center"/>
          </w:tcPr>
          <w:p w14:paraId="2FF60720">
            <w:pPr>
              <w:numPr>
                <w:ilvl w:val="3"/>
                <w:numId w:val="0"/>
              </w:numPr>
              <w:adjustRightInd w:val="0"/>
              <w:snapToGrid w:val="0"/>
              <w:ind w:left="0" w:leftChars="0" w:firstLine="0" w:firstLineChars="0"/>
              <w:jc w:val="center"/>
              <w:rPr>
                <w:rFonts w:hint="eastAsia" w:ascii="宋体" w:hAnsi="宋体" w:eastAsia="宋体" w:cs="Times New Roman"/>
                <w:kern w:val="2"/>
                <w:sz w:val="18"/>
                <w:szCs w:val="18"/>
                <w:lang w:val="en-US" w:eastAsia="zh-CN" w:bidi="ar-SA"/>
              </w:rPr>
            </w:pPr>
          </w:p>
        </w:tc>
        <w:tc>
          <w:tcPr>
            <w:tcW w:w="633" w:type="dxa"/>
            <w:noWrap w:val="0"/>
            <w:vAlign w:val="center"/>
          </w:tcPr>
          <w:p w14:paraId="28917CBC">
            <w:pPr>
              <w:numPr>
                <w:ilvl w:val="3"/>
                <w:numId w:val="0"/>
              </w:numPr>
              <w:adjustRightInd w:val="0"/>
              <w:snapToGrid w:val="0"/>
              <w:ind w:left="0" w:leftChars="0" w:firstLine="0" w:firstLineChars="0"/>
              <w:jc w:val="center"/>
              <w:rPr>
                <w:rFonts w:hint="eastAsia" w:ascii="宋体" w:hAnsi="宋体" w:eastAsia="宋体" w:cs="Times New Roman"/>
                <w:kern w:val="2"/>
                <w:sz w:val="18"/>
                <w:szCs w:val="18"/>
                <w:lang w:val="en-US" w:eastAsia="zh-CN" w:bidi="ar-SA"/>
              </w:rPr>
            </w:pPr>
          </w:p>
        </w:tc>
        <w:tc>
          <w:tcPr>
            <w:tcW w:w="602" w:type="dxa"/>
            <w:noWrap w:val="0"/>
            <w:vAlign w:val="center"/>
          </w:tcPr>
          <w:p w14:paraId="35574517">
            <w:pPr>
              <w:widowControl/>
              <w:jc w:val="center"/>
              <w:rPr>
                <w:rFonts w:hint="eastAsia" w:ascii="宋体" w:hAnsi="宋体" w:eastAsia="宋体" w:cs="Times New Roman"/>
                <w:bCs/>
                <w:kern w:val="2"/>
                <w:sz w:val="18"/>
                <w:szCs w:val="18"/>
                <w:lang w:val="en-US" w:eastAsia="zh-CN" w:bidi="ar-SA"/>
              </w:rPr>
            </w:pPr>
          </w:p>
        </w:tc>
        <w:tc>
          <w:tcPr>
            <w:tcW w:w="2113" w:type="dxa"/>
            <w:noWrap w:val="0"/>
            <w:vAlign w:val="center"/>
          </w:tcPr>
          <w:p w14:paraId="45413EE3">
            <w:pPr>
              <w:numPr>
                <w:ilvl w:val="3"/>
                <w:numId w:val="0"/>
              </w:numPr>
              <w:adjustRightInd w:val="0"/>
              <w:snapToGrid w:val="0"/>
              <w:ind w:left="0" w:leftChars="0" w:firstLine="0" w:firstLineChars="0"/>
              <w:jc w:val="left"/>
              <w:rPr>
                <w:rFonts w:hint="eastAsia" w:ascii="宋体" w:hAnsi="宋体" w:eastAsia="宋体" w:cs="Times New Roman"/>
                <w:kern w:val="2"/>
                <w:sz w:val="18"/>
                <w:szCs w:val="18"/>
                <w:lang w:val="en-US" w:eastAsia="zh-CN" w:bidi="ar-SA"/>
              </w:rPr>
            </w:pPr>
          </w:p>
        </w:tc>
        <w:tc>
          <w:tcPr>
            <w:tcW w:w="633" w:type="dxa"/>
            <w:noWrap w:val="0"/>
            <w:vAlign w:val="center"/>
          </w:tcPr>
          <w:p w14:paraId="728898AF">
            <w:pPr>
              <w:widowControl/>
              <w:jc w:val="center"/>
              <w:rPr>
                <w:rFonts w:hint="eastAsia" w:ascii="宋体" w:hAnsi="宋体" w:eastAsia="宋体" w:cs="Times New Roman"/>
                <w:bCs/>
                <w:kern w:val="2"/>
                <w:sz w:val="18"/>
                <w:szCs w:val="18"/>
                <w:lang w:val="en-US" w:eastAsia="zh-CN" w:bidi="ar-SA"/>
              </w:rPr>
            </w:pPr>
          </w:p>
        </w:tc>
        <w:tc>
          <w:tcPr>
            <w:tcW w:w="1799" w:type="dxa"/>
            <w:noWrap w:val="0"/>
            <w:vAlign w:val="center"/>
          </w:tcPr>
          <w:p w14:paraId="2DE7BF92">
            <w:pPr>
              <w:widowControl/>
              <w:jc w:val="center"/>
              <w:rPr>
                <w:rFonts w:hint="eastAsia" w:ascii="宋体" w:hAnsi="宋体" w:eastAsia="宋体" w:cs="Times New Roman"/>
                <w:bCs/>
                <w:kern w:val="2"/>
                <w:sz w:val="18"/>
                <w:szCs w:val="18"/>
                <w:lang w:val="en-US" w:eastAsia="zh-CN" w:bidi="ar-SA"/>
              </w:rPr>
            </w:pPr>
          </w:p>
        </w:tc>
        <w:tc>
          <w:tcPr>
            <w:tcW w:w="1139" w:type="dxa"/>
            <w:noWrap w:val="0"/>
            <w:vAlign w:val="center"/>
          </w:tcPr>
          <w:p w14:paraId="53E0D7A1">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lang w:eastAsia="zh-CN"/>
              </w:rPr>
              <w:t>4.6</w:t>
            </w:r>
            <w:r>
              <w:rPr>
                <w:rFonts w:ascii="宋体" w:hAnsi="宋体"/>
                <w:sz w:val="18"/>
                <w:szCs w:val="18"/>
              </w:rPr>
              <w:t>.1</w:t>
            </w:r>
          </w:p>
        </w:tc>
      </w:tr>
      <w:tr w14:paraId="18FE4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5" w:hRule="atLeast"/>
          <w:tblHeader/>
        </w:trPr>
        <w:tc>
          <w:tcPr>
            <w:tcW w:w="941" w:type="dxa"/>
            <w:noWrap w:val="0"/>
            <w:vAlign w:val="center"/>
          </w:tcPr>
          <w:p w14:paraId="4A020D25">
            <w:pPr>
              <w:widowControl/>
              <w:jc w:val="center"/>
              <w:rPr>
                <w:rFonts w:ascii="宋体" w:hAnsi="宋体"/>
                <w:bCs/>
                <w:sz w:val="18"/>
                <w:szCs w:val="18"/>
              </w:rPr>
            </w:pPr>
            <w:r>
              <w:rPr>
                <w:rFonts w:hint="eastAsia" w:ascii="宋体" w:hAnsi="宋体"/>
                <w:sz w:val="18"/>
                <w:szCs w:val="18"/>
              </w:rPr>
              <w:t>6.1.2.1</w:t>
            </w:r>
          </w:p>
        </w:tc>
        <w:tc>
          <w:tcPr>
            <w:tcW w:w="6860" w:type="dxa"/>
            <w:noWrap w:val="0"/>
            <w:vAlign w:val="center"/>
          </w:tcPr>
          <w:p w14:paraId="677236AB">
            <w:pPr>
              <w:adjustRightInd/>
              <w:snapToGrid w:val="0"/>
              <w:rPr>
                <w:rFonts w:hint="eastAsia" w:ascii="宋体" w:hAnsi="宋体"/>
                <w:sz w:val="18"/>
                <w:szCs w:val="18"/>
              </w:rPr>
            </w:pPr>
            <w:r>
              <w:rPr>
                <w:rFonts w:hint="eastAsia" w:ascii="宋体" w:hAnsi="宋体"/>
                <w:sz w:val="18"/>
                <w:szCs w:val="18"/>
              </w:rPr>
              <w:t>室内环境应符合下列要求：</w:t>
            </w:r>
          </w:p>
          <w:p w14:paraId="78BCEB80">
            <w:pPr>
              <w:adjustRightInd/>
              <w:snapToGrid w:val="0"/>
              <w:rPr>
                <w:rFonts w:ascii="宋体" w:hAnsi="宋体"/>
                <w:sz w:val="18"/>
                <w:szCs w:val="18"/>
              </w:rPr>
            </w:pPr>
            <w:r>
              <w:rPr>
                <w:rFonts w:ascii="宋体" w:hAnsi="宋体"/>
                <w:sz w:val="18"/>
                <w:szCs w:val="18"/>
              </w:rPr>
              <w:t>a</w:t>
            </w:r>
            <w:r>
              <w:rPr>
                <w:rFonts w:hint="eastAsia" w:ascii="宋体" w:hAnsi="宋体"/>
                <w:sz w:val="18"/>
                <w:szCs w:val="18"/>
              </w:rPr>
              <w:t>）变压器、高压配电装置、低压配电装置的操作区、维护通道应铺设绝缘胶垫；</w:t>
            </w:r>
          </w:p>
          <w:p w14:paraId="4AA2ED10">
            <w:pPr>
              <w:adjustRightInd/>
              <w:snapToGrid w:val="0"/>
              <w:rPr>
                <w:rFonts w:ascii="宋体" w:hAnsi="宋体"/>
                <w:sz w:val="18"/>
                <w:szCs w:val="18"/>
              </w:rPr>
            </w:pPr>
            <w:r>
              <w:rPr>
                <w:rFonts w:ascii="宋体" w:hAnsi="宋体"/>
                <w:sz w:val="18"/>
                <w:szCs w:val="18"/>
              </w:rPr>
              <w:t>b</w:t>
            </w:r>
            <w:r>
              <w:rPr>
                <w:rFonts w:hint="eastAsia" w:ascii="宋体" w:hAnsi="宋体"/>
                <w:sz w:val="18"/>
                <w:szCs w:val="18"/>
              </w:rPr>
              <w:t>）正常照明和应急照明系统应完好；</w:t>
            </w:r>
          </w:p>
          <w:p w14:paraId="17EB49F5">
            <w:pPr>
              <w:adjustRightInd/>
              <w:snapToGrid w:val="0"/>
              <w:rPr>
                <w:rFonts w:ascii="宋体" w:hAnsi="宋体"/>
                <w:sz w:val="18"/>
                <w:szCs w:val="18"/>
              </w:rPr>
            </w:pPr>
            <w:r>
              <w:rPr>
                <w:rFonts w:ascii="宋体" w:hAnsi="宋体"/>
                <w:sz w:val="18"/>
                <w:szCs w:val="18"/>
              </w:rPr>
              <w:t>c</w:t>
            </w:r>
            <w:r>
              <w:rPr>
                <w:rFonts w:hint="eastAsia" w:ascii="宋体" w:hAnsi="宋体"/>
                <w:sz w:val="18"/>
                <w:szCs w:val="18"/>
              </w:rPr>
              <w:t>）疏散指示标志灯的持续照明时间应大于</w:t>
            </w:r>
            <w:r>
              <w:rPr>
                <w:rFonts w:ascii="宋体" w:hAnsi="宋体"/>
                <w:sz w:val="18"/>
                <w:szCs w:val="18"/>
              </w:rPr>
              <w:t>30</w:t>
            </w:r>
            <w:r>
              <w:rPr>
                <w:rFonts w:hint="eastAsia" w:ascii="宋体" w:hAnsi="宋体"/>
                <w:sz w:val="18"/>
                <w:szCs w:val="18"/>
              </w:rPr>
              <w:t xml:space="preserve"> </w:t>
            </w:r>
            <w:r>
              <w:rPr>
                <w:rFonts w:ascii="宋体" w:hAnsi="宋体"/>
                <w:sz w:val="18"/>
                <w:szCs w:val="18"/>
              </w:rPr>
              <w:t>min</w:t>
            </w:r>
            <w:r>
              <w:rPr>
                <w:rFonts w:hint="eastAsia" w:ascii="宋体" w:hAnsi="宋体"/>
                <w:sz w:val="18"/>
                <w:szCs w:val="18"/>
              </w:rPr>
              <w:t>；</w:t>
            </w:r>
          </w:p>
          <w:p w14:paraId="03673754">
            <w:pPr>
              <w:adjustRightInd/>
              <w:snapToGrid w:val="0"/>
              <w:rPr>
                <w:rFonts w:ascii="宋体" w:hAnsi="宋体"/>
                <w:sz w:val="18"/>
                <w:szCs w:val="18"/>
              </w:rPr>
            </w:pPr>
            <w:r>
              <w:rPr>
                <w:rFonts w:ascii="宋体" w:hAnsi="宋体"/>
                <w:sz w:val="18"/>
                <w:szCs w:val="18"/>
              </w:rPr>
              <w:t>d</w:t>
            </w:r>
            <w:r>
              <w:rPr>
                <w:rFonts w:hint="eastAsia" w:ascii="宋体" w:hAnsi="宋体"/>
                <w:sz w:val="18"/>
                <w:szCs w:val="18"/>
              </w:rPr>
              <w:t>）室内环境整洁，场地平整，设备间不应存放与运行无关的物品，巡视道路畅通；</w:t>
            </w:r>
          </w:p>
          <w:p w14:paraId="134DC994">
            <w:pPr>
              <w:adjustRightInd/>
              <w:snapToGrid w:val="0"/>
              <w:rPr>
                <w:rFonts w:ascii="宋体" w:hAnsi="宋体"/>
                <w:sz w:val="18"/>
                <w:szCs w:val="18"/>
              </w:rPr>
            </w:pPr>
            <w:r>
              <w:rPr>
                <w:rFonts w:ascii="宋体" w:hAnsi="宋体"/>
                <w:sz w:val="18"/>
                <w:szCs w:val="18"/>
              </w:rPr>
              <w:t>e</w:t>
            </w:r>
            <w:r>
              <w:rPr>
                <w:rFonts w:hint="eastAsia" w:ascii="宋体" w:hAnsi="宋体"/>
                <w:sz w:val="18"/>
                <w:szCs w:val="18"/>
              </w:rPr>
              <w:t>）设备构架、基础无严重腐蚀，房屋不漏雨，无未封堵的孔洞、沟道；</w:t>
            </w:r>
          </w:p>
          <w:p w14:paraId="479592BF">
            <w:pPr>
              <w:adjustRightInd/>
              <w:snapToGrid w:val="0"/>
              <w:rPr>
                <w:rFonts w:ascii="宋体" w:hAnsi="宋体"/>
                <w:sz w:val="18"/>
                <w:szCs w:val="18"/>
              </w:rPr>
            </w:pPr>
            <w:r>
              <w:rPr>
                <w:rFonts w:ascii="宋体" w:hAnsi="宋体"/>
                <w:sz w:val="18"/>
                <w:szCs w:val="18"/>
              </w:rPr>
              <w:t>f</w:t>
            </w:r>
            <w:r>
              <w:rPr>
                <w:rFonts w:hint="eastAsia" w:ascii="宋体" w:hAnsi="宋体"/>
                <w:sz w:val="18"/>
                <w:szCs w:val="18"/>
              </w:rPr>
              <w:t>）电缆沟盖板齐全，电缆夹层、电缆沟和电缆室设置的防水、排水措施完好有效；</w:t>
            </w:r>
          </w:p>
          <w:p w14:paraId="2074E73C">
            <w:pPr>
              <w:adjustRightInd/>
              <w:snapToGrid w:val="0"/>
              <w:rPr>
                <w:rFonts w:ascii="宋体" w:hAnsi="宋体"/>
                <w:sz w:val="18"/>
                <w:szCs w:val="18"/>
              </w:rPr>
            </w:pPr>
            <w:r>
              <w:rPr>
                <w:rFonts w:ascii="宋体" w:hAnsi="宋体"/>
                <w:sz w:val="18"/>
                <w:szCs w:val="18"/>
              </w:rPr>
              <w:t>g</w:t>
            </w:r>
            <w:r>
              <w:rPr>
                <w:rFonts w:hint="eastAsia" w:ascii="宋体" w:hAnsi="宋体"/>
                <w:sz w:val="18"/>
                <w:szCs w:val="18"/>
              </w:rPr>
              <w:t>）设备间内不应有与其无关的管道和线路通过；</w:t>
            </w:r>
          </w:p>
          <w:p w14:paraId="160225C5">
            <w:pPr>
              <w:adjustRightInd/>
              <w:snapToGrid w:val="0"/>
              <w:rPr>
                <w:rFonts w:ascii="宋体" w:hAnsi="宋体"/>
                <w:sz w:val="18"/>
                <w:szCs w:val="18"/>
              </w:rPr>
            </w:pPr>
            <w:r>
              <w:rPr>
                <w:rFonts w:hint="eastAsia" w:ascii="宋体" w:hAnsi="宋体"/>
                <w:sz w:val="18"/>
                <w:szCs w:val="18"/>
                <w:lang w:val="en-US" w:eastAsia="zh-CN"/>
              </w:rPr>
              <w:t>h</w:t>
            </w:r>
            <w:r>
              <w:rPr>
                <w:rFonts w:hint="eastAsia" w:ascii="宋体" w:hAnsi="宋体"/>
                <w:sz w:val="18"/>
                <w:szCs w:val="18"/>
              </w:rPr>
              <w:t>）设备区域内应配有温、湿度计；</w:t>
            </w:r>
          </w:p>
          <w:p w14:paraId="5C868879">
            <w:pPr>
              <w:widowControl/>
              <w:snapToGrid w:val="0"/>
              <w:jc w:val="left"/>
              <w:rPr>
                <w:rFonts w:hint="eastAsia" w:ascii="宋体" w:hAnsi="宋体"/>
                <w:sz w:val="18"/>
                <w:szCs w:val="18"/>
                <w:lang w:eastAsia="zh-CN"/>
              </w:rPr>
            </w:pPr>
            <w:r>
              <w:rPr>
                <w:rFonts w:hint="eastAsia" w:ascii="宋体" w:hAnsi="宋体"/>
                <w:sz w:val="18"/>
                <w:szCs w:val="18"/>
                <w:lang w:val="en-US" w:eastAsia="zh-CN"/>
              </w:rPr>
              <w:t>i</w:t>
            </w:r>
            <w:r>
              <w:rPr>
                <w:rFonts w:hint="eastAsia" w:ascii="宋体" w:hAnsi="宋体"/>
                <w:sz w:val="18"/>
                <w:szCs w:val="18"/>
              </w:rPr>
              <w:t>）有专人值班的变配电室应配备</w:t>
            </w:r>
            <w:r>
              <w:rPr>
                <w:rFonts w:hint="eastAsia" w:ascii="宋体" w:hAnsi="宋体"/>
                <w:sz w:val="18"/>
                <w:szCs w:val="18"/>
                <w:lang w:val="en-US" w:eastAsia="zh-CN"/>
              </w:rPr>
              <w:t>带有录音功能的</w:t>
            </w:r>
            <w:r>
              <w:rPr>
                <w:rFonts w:hint="eastAsia" w:ascii="宋体" w:hAnsi="宋体"/>
                <w:sz w:val="18"/>
                <w:szCs w:val="18"/>
              </w:rPr>
              <w:t>专用电话，电话畅通，时钟准确</w:t>
            </w:r>
            <w:r>
              <w:rPr>
                <w:rFonts w:hint="eastAsia" w:ascii="宋体" w:hAnsi="宋体"/>
                <w:sz w:val="18"/>
                <w:szCs w:val="18"/>
                <w:lang w:eastAsia="zh-CN"/>
              </w:rPr>
              <w:t>；</w:t>
            </w:r>
          </w:p>
          <w:p w14:paraId="41B53939">
            <w:pPr>
              <w:widowControl/>
              <w:snapToGrid w:val="0"/>
              <w:jc w:val="left"/>
              <w:rPr>
                <w:rFonts w:ascii="宋体" w:hAnsi="宋体"/>
                <w:bCs/>
                <w:sz w:val="18"/>
                <w:szCs w:val="18"/>
              </w:rPr>
            </w:pPr>
            <w:r>
              <w:rPr>
                <w:rFonts w:ascii="宋体" w:hAnsi="宋体"/>
                <w:sz w:val="18"/>
                <w:szCs w:val="18"/>
              </w:rPr>
              <w:t>j</w:t>
            </w:r>
            <w:r>
              <w:rPr>
                <w:rFonts w:hint="eastAsia" w:ascii="宋体" w:hAnsi="宋体"/>
                <w:sz w:val="18"/>
                <w:szCs w:val="18"/>
              </w:rPr>
              <w:t>）当配电室设置在地下时，应采取防水措施。</w:t>
            </w:r>
          </w:p>
        </w:tc>
        <w:tc>
          <w:tcPr>
            <w:tcW w:w="633" w:type="dxa"/>
            <w:noWrap w:val="0"/>
            <w:vAlign w:val="center"/>
          </w:tcPr>
          <w:p w14:paraId="05F3D1AC">
            <w:pPr>
              <w:numPr>
                <w:ilvl w:val="3"/>
                <w:numId w:val="0"/>
              </w:numPr>
              <w:adjustRightInd w:val="0"/>
              <w:snapToGrid w:val="0"/>
              <w:jc w:val="center"/>
              <w:rPr>
                <w:rFonts w:ascii="宋体" w:hAnsi="宋体"/>
                <w:sz w:val="18"/>
                <w:szCs w:val="18"/>
              </w:rPr>
            </w:pPr>
          </w:p>
        </w:tc>
        <w:tc>
          <w:tcPr>
            <w:tcW w:w="633" w:type="dxa"/>
            <w:noWrap w:val="0"/>
            <w:vAlign w:val="center"/>
          </w:tcPr>
          <w:p w14:paraId="59EBCC4E">
            <w:pPr>
              <w:numPr>
                <w:ilvl w:val="3"/>
                <w:numId w:val="0"/>
              </w:numPr>
              <w:adjustRightInd w:val="0"/>
              <w:snapToGrid w:val="0"/>
              <w:jc w:val="center"/>
              <w:rPr>
                <w:rFonts w:ascii="宋体" w:hAnsi="宋体"/>
                <w:sz w:val="18"/>
                <w:szCs w:val="18"/>
              </w:rPr>
            </w:pPr>
          </w:p>
        </w:tc>
        <w:tc>
          <w:tcPr>
            <w:tcW w:w="602" w:type="dxa"/>
            <w:noWrap w:val="0"/>
            <w:vAlign w:val="center"/>
          </w:tcPr>
          <w:p w14:paraId="29C40E07">
            <w:pPr>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p>
        </w:tc>
        <w:tc>
          <w:tcPr>
            <w:tcW w:w="2113" w:type="dxa"/>
            <w:noWrap w:val="0"/>
            <w:vAlign w:val="center"/>
          </w:tcPr>
          <w:p w14:paraId="5A211DFF">
            <w:pPr>
              <w:numPr>
                <w:ilvl w:val="3"/>
                <w:numId w:val="0"/>
              </w:numPr>
              <w:adjustRightInd w:val="0"/>
              <w:snapToGrid w:val="0"/>
              <w:ind w:left="0" w:leftChars="0" w:firstLine="0" w:firstLineChars="0"/>
              <w:jc w:val="left"/>
              <w:rPr>
                <w:rFonts w:hint="eastAsia" w:ascii="宋体" w:hAnsi="宋体" w:eastAsia="宋体" w:cs="Times New Roman"/>
                <w:kern w:val="2"/>
                <w:sz w:val="18"/>
                <w:szCs w:val="18"/>
                <w:lang w:val="en-US" w:eastAsia="zh-CN" w:bidi="ar-SA"/>
              </w:rPr>
            </w:pPr>
            <w:r>
              <w:rPr>
                <w:rFonts w:hint="eastAsia" w:ascii="宋体" w:hAnsi="宋体" w:cs="宋体"/>
                <w:sz w:val="18"/>
                <w:szCs w:val="18"/>
              </w:rPr>
              <w:t>一处不符合，</w:t>
            </w:r>
            <w:r>
              <w:rPr>
                <w:rFonts w:hint="eastAsia" w:ascii="宋体" w:hAnsi="宋体" w:cs="宋体"/>
                <w:sz w:val="18"/>
                <w:szCs w:val="18"/>
                <w:lang w:val="en-US" w:eastAsia="zh-CN"/>
              </w:rPr>
              <w:t>扣2分</w:t>
            </w:r>
            <w:r>
              <w:rPr>
                <w:rFonts w:hint="eastAsia" w:ascii="宋体" w:hAnsi="宋体" w:cs="宋体"/>
                <w:sz w:val="18"/>
                <w:szCs w:val="18"/>
              </w:rPr>
              <w:t>。</w:t>
            </w:r>
          </w:p>
        </w:tc>
        <w:tc>
          <w:tcPr>
            <w:tcW w:w="633" w:type="dxa"/>
            <w:noWrap w:val="0"/>
            <w:vAlign w:val="center"/>
          </w:tcPr>
          <w:p w14:paraId="0BD07F7F">
            <w:pPr>
              <w:widowControl/>
              <w:jc w:val="center"/>
              <w:rPr>
                <w:rFonts w:ascii="宋体" w:hAnsi="宋体" w:eastAsia="宋体" w:cs="Times New Roman"/>
                <w:bCs/>
                <w:kern w:val="2"/>
                <w:sz w:val="18"/>
                <w:szCs w:val="18"/>
                <w:lang w:val="en-US" w:eastAsia="zh-CN" w:bidi="ar-SA"/>
              </w:rPr>
            </w:pPr>
          </w:p>
        </w:tc>
        <w:tc>
          <w:tcPr>
            <w:tcW w:w="1799" w:type="dxa"/>
            <w:noWrap w:val="0"/>
            <w:vAlign w:val="center"/>
          </w:tcPr>
          <w:p w14:paraId="42FD2A83">
            <w:pPr>
              <w:widowControl/>
              <w:jc w:val="center"/>
              <w:rPr>
                <w:rFonts w:ascii="宋体" w:hAnsi="宋体" w:eastAsia="宋体" w:cs="Times New Roman"/>
                <w:bCs/>
                <w:kern w:val="2"/>
                <w:sz w:val="18"/>
                <w:szCs w:val="18"/>
                <w:lang w:val="en-US" w:eastAsia="zh-CN" w:bidi="ar-SA"/>
              </w:rPr>
            </w:pPr>
          </w:p>
        </w:tc>
        <w:tc>
          <w:tcPr>
            <w:tcW w:w="1139" w:type="dxa"/>
            <w:noWrap w:val="0"/>
            <w:vAlign w:val="center"/>
          </w:tcPr>
          <w:p w14:paraId="0C9792EB">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lang w:eastAsia="zh-CN"/>
              </w:rPr>
              <w:t>4.6</w:t>
            </w:r>
            <w:r>
              <w:rPr>
                <w:rFonts w:ascii="宋体" w:hAnsi="宋体"/>
                <w:sz w:val="18"/>
                <w:szCs w:val="18"/>
              </w:rPr>
              <w:t>.1</w:t>
            </w:r>
          </w:p>
        </w:tc>
      </w:tr>
      <w:tr w14:paraId="677D4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blHeader/>
        </w:trPr>
        <w:tc>
          <w:tcPr>
            <w:tcW w:w="941" w:type="dxa"/>
            <w:noWrap w:val="0"/>
            <w:vAlign w:val="center"/>
          </w:tcPr>
          <w:p w14:paraId="1334323C">
            <w:pPr>
              <w:widowControl/>
              <w:jc w:val="center"/>
              <w:rPr>
                <w:rFonts w:ascii="宋体" w:hAnsi="宋体"/>
                <w:bCs/>
                <w:sz w:val="18"/>
                <w:szCs w:val="18"/>
              </w:rPr>
            </w:pPr>
            <w:r>
              <w:rPr>
                <w:rFonts w:hint="eastAsia" w:ascii="宋体" w:hAnsi="宋体"/>
                <w:sz w:val="18"/>
                <w:szCs w:val="18"/>
              </w:rPr>
              <w:t>6.1.2.2</w:t>
            </w:r>
          </w:p>
        </w:tc>
        <w:tc>
          <w:tcPr>
            <w:tcW w:w="6860" w:type="dxa"/>
            <w:noWrap w:val="0"/>
            <w:vAlign w:val="center"/>
          </w:tcPr>
          <w:p w14:paraId="06E19A10">
            <w:pPr>
              <w:adjustRightInd w:val="0"/>
              <w:snapToGrid w:val="0"/>
              <w:rPr>
                <w:rFonts w:ascii="宋体" w:hAnsi="宋体"/>
                <w:sz w:val="18"/>
                <w:szCs w:val="18"/>
              </w:rPr>
            </w:pPr>
            <w:r>
              <w:rPr>
                <w:rFonts w:hint="eastAsia" w:ascii="宋体" w:hAnsi="宋体"/>
                <w:sz w:val="18"/>
                <w:szCs w:val="18"/>
              </w:rPr>
              <w:t>门、窗应符合下列要求：</w:t>
            </w:r>
          </w:p>
          <w:p w14:paraId="10AAB16F">
            <w:pPr>
              <w:numPr>
                <w:ilvl w:val="0"/>
                <w:numId w:val="65"/>
              </w:numPr>
              <w:adjustRightInd w:val="0"/>
              <w:snapToGrid w:val="0"/>
              <w:rPr>
                <w:rFonts w:hint="eastAsia" w:ascii="宋体" w:hAnsi="宋体"/>
                <w:sz w:val="18"/>
                <w:szCs w:val="18"/>
              </w:rPr>
            </w:pPr>
            <w:r>
              <w:rPr>
                <w:rFonts w:hint="eastAsia" w:ascii="宋体" w:hAnsi="宋体"/>
                <w:sz w:val="18"/>
                <w:szCs w:val="18"/>
              </w:rPr>
              <w:t>直接通向建筑物内非变电所区域的出入口门，应为甲级防火门向外开启，并应装锁；</w:t>
            </w:r>
          </w:p>
          <w:p w14:paraId="2E1B90D9">
            <w:pPr>
              <w:numPr>
                <w:ilvl w:val="0"/>
                <w:numId w:val="65"/>
              </w:numPr>
              <w:adjustRightInd w:val="0"/>
              <w:snapToGrid w:val="0"/>
              <w:ind w:left="0" w:leftChars="0" w:firstLine="0" w:firstLineChars="0"/>
              <w:rPr>
                <w:rFonts w:hint="eastAsia" w:ascii="宋体" w:hAnsi="宋体"/>
                <w:sz w:val="18"/>
                <w:szCs w:val="18"/>
              </w:rPr>
            </w:pPr>
            <w:r>
              <w:rPr>
                <w:rFonts w:hint="eastAsia" w:ascii="宋体" w:hAnsi="宋体"/>
                <w:sz w:val="18"/>
                <w:szCs w:val="18"/>
              </w:rPr>
              <w:t>当变压器室、配电室长度大于7.0 m时，至少应设2个出入口门；</w:t>
            </w:r>
          </w:p>
          <w:p w14:paraId="750F0BBA">
            <w:pPr>
              <w:numPr>
                <w:ilvl w:val="0"/>
                <w:numId w:val="0"/>
              </w:numPr>
              <w:adjustRightInd w:val="0"/>
              <w:snapToGrid w:val="0"/>
              <w:ind w:leftChars="0"/>
              <w:rPr>
                <w:rFonts w:hint="eastAsia" w:ascii="宋体" w:hAnsi="宋体"/>
                <w:sz w:val="18"/>
                <w:szCs w:val="18"/>
              </w:rPr>
            </w:pPr>
            <w:r>
              <w:rPr>
                <w:rFonts w:hint="eastAsia" w:ascii="宋体" w:hAnsi="宋体"/>
                <w:sz w:val="18"/>
                <w:szCs w:val="18"/>
              </w:rPr>
              <w:t>c）设备间与附属房间之间的门应向附属房间方向开启。相邻配电装置室之间设有防火隔墙时，隔墙上的门应为甲级防火门，并向低电压配电室开启。相邻高压电气装置室之间设置门时，应能双向开启；</w:t>
            </w:r>
          </w:p>
          <w:p w14:paraId="595E0A8A">
            <w:pPr>
              <w:adjustRightInd w:val="0"/>
              <w:snapToGrid w:val="0"/>
              <w:rPr>
                <w:rFonts w:ascii="宋体" w:hAnsi="宋体"/>
                <w:sz w:val="18"/>
                <w:szCs w:val="18"/>
              </w:rPr>
            </w:pPr>
            <w:r>
              <w:rPr>
                <w:rFonts w:hint="eastAsia" w:ascii="宋体" w:hAnsi="宋体"/>
                <w:sz w:val="18"/>
                <w:szCs w:val="18"/>
              </w:rPr>
              <w:t>d）应设置防止雨、雪和小动物从采光窗、通风窗、门、通风管道、桥架、电缆保护管等进入室内的设施；</w:t>
            </w:r>
          </w:p>
          <w:p w14:paraId="669B9426">
            <w:pPr>
              <w:snapToGrid w:val="0"/>
              <w:spacing w:line="240" w:lineRule="atLeast"/>
              <w:jc w:val="left"/>
              <w:rPr>
                <w:rFonts w:hint="eastAsia" w:ascii="宋体" w:hAnsi="宋体"/>
                <w:sz w:val="18"/>
                <w:szCs w:val="18"/>
              </w:rPr>
            </w:pPr>
            <w:r>
              <w:rPr>
                <w:rFonts w:hint="eastAsia" w:ascii="宋体" w:hAnsi="宋体"/>
                <w:sz w:val="18"/>
                <w:szCs w:val="18"/>
              </w:rPr>
              <w:t>e）出入口应设置高度不低于</w:t>
            </w:r>
            <w:r>
              <w:rPr>
                <w:rFonts w:ascii="宋体" w:hAnsi="宋体"/>
                <w:sz w:val="18"/>
                <w:szCs w:val="18"/>
              </w:rPr>
              <w:t>400</w:t>
            </w:r>
            <w:r>
              <w:rPr>
                <w:rFonts w:hint="eastAsia" w:ascii="宋体" w:hAnsi="宋体"/>
                <w:sz w:val="18"/>
                <w:szCs w:val="18"/>
              </w:rPr>
              <w:t xml:space="preserve"> </w:t>
            </w:r>
            <w:r>
              <w:rPr>
                <w:rFonts w:ascii="宋体" w:hAnsi="宋体"/>
                <w:sz w:val="18"/>
                <w:szCs w:val="18"/>
              </w:rPr>
              <w:t>mm</w:t>
            </w:r>
            <w:r>
              <w:rPr>
                <w:rFonts w:hint="eastAsia" w:ascii="宋体" w:hAnsi="宋体"/>
                <w:sz w:val="18"/>
                <w:szCs w:val="18"/>
              </w:rPr>
              <w:t>的防小动物挡板。</w:t>
            </w:r>
          </w:p>
        </w:tc>
        <w:tc>
          <w:tcPr>
            <w:tcW w:w="633" w:type="dxa"/>
            <w:noWrap w:val="0"/>
            <w:vAlign w:val="center"/>
          </w:tcPr>
          <w:p w14:paraId="01722C9F">
            <w:pPr>
              <w:numPr>
                <w:ilvl w:val="3"/>
                <w:numId w:val="0"/>
              </w:numPr>
              <w:adjustRightInd w:val="0"/>
              <w:snapToGrid w:val="0"/>
              <w:jc w:val="center"/>
              <w:rPr>
                <w:rFonts w:ascii="宋体" w:hAnsi="宋体"/>
                <w:sz w:val="18"/>
                <w:szCs w:val="18"/>
              </w:rPr>
            </w:pPr>
          </w:p>
        </w:tc>
        <w:tc>
          <w:tcPr>
            <w:tcW w:w="633" w:type="dxa"/>
            <w:noWrap w:val="0"/>
            <w:vAlign w:val="center"/>
          </w:tcPr>
          <w:p w14:paraId="1FBAC90F">
            <w:pPr>
              <w:numPr>
                <w:ilvl w:val="3"/>
                <w:numId w:val="0"/>
              </w:numPr>
              <w:adjustRightInd w:val="0"/>
              <w:snapToGrid w:val="0"/>
              <w:jc w:val="center"/>
              <w:rPr>
                <w:rFonts w:ascii="宋体" w:hAnsi="宋体"/>
                <w:sz w:val="18"/>
                <w:szCs w:val="18"/>
              </w:rPr>
            </w:pPr>
          </w:p>
        </w:tc>
        <w:tc>
          <w:tcPr>
            <w:tcW w:w="602" w:type="dxa"/>
            <w:noWrap w:val="0"/>
            <w:vAlign w:val="center"/>
          </w:tcPr>
          <w:p w14:paraId="43D95544">
            <w:pPr>
              <w:widowControl/>
              <w:jc w:val="center"/>
              <w:rPr>
                <w:rFonts w:hint="eastAsia" w:ascii="宋体" w:hAnsi="宋体" w:eastAsia="宋体"/>
                <w:bCs/>
                <w:sz w:val="18"/>
                <w:szCs w:val="18"/>
                <w:lang w:eastAsia="zh-CN"/>
              </w:rPr>
            </w:pPr>
            <w:r>
              <w:rPr>
                <w:rFonts w:hint="eastAsia" w:ascii="宋体" w:hAnsi="宋体"/>
                <w:bCs/>
                <w:sz w:val="18"/>
                <w:szCs w:val="18"/>
                <w:lang w:val="en-US" w:eastAsia="zh-CN"/>
              </w:rPr>
              <w:t>4</w:t>
            </w:r>
          </w:p>
        </w:tc>
        <w:tc>
          <w:tcPr>
            <w:tcW w:w="2113" w:type="dxa"/>
            <w:noWrap w:val="0"/>
            <w:vAlign w:val="center"/>
          </w:tcPr>
          <w:p w14:paraId="23DAEE51">
            <w:pPr>
              <w:numPr>
                <w:ilvl w:val="3"/>
                <w:numId w:val="0"/>
              </w:numPr>
              <w:adjustRightInd w:val="0"/>
              <w:snapToGrid w:val="0"/>
              <w:jc w:val="left"/>
              <w:rPr>
                <w:rFonts w:hint="eastAsia" w:ascii="宋体" w:hAnsi="宋体"/>
                <w:sz w:val="18"/>
                <w:szCs w:val="18"/>
              </w:rPr>
            </w:pPr>
            <w:r>
              <w:rPr>
                <w:rFonts w:hint="eastAsia" w:ascii="宋体" w:hAnsi="宋体" w:cs="宋体"/>
                <w:sz w:val="18"/>
                <w:szCs w:val="18"/>
              </w:rPr>
              <w:t>一处不符合，</w:t>
            </w:r>
            <w:r>
              <w:rPr>
                <w:rFonts w:hint="eastAsia" w:ascii="宋体" w:hAnsi="宋体" w:cs="宋体"/>
                <w:sz w:val="18"/>
                <w:szCs w:val="18"/>
                <w:lang w:val="en-US" w:eastAsia="zh-CN"/>
              </w:rPr>
              <w:t>扣2分</w:t>
            </w:r>
            <w:r>
              <w:rPr>
                <w:rFonts w:hint="eastAsia" w:ascii="宋体" w:hAnsi="宋体" w:cs="宋体"/>
                <w:sz w:val="18"/>
                <w:szCs w:val="18"/>
              </w:rPr>
              <w:t>。</w:t>
            </w:r>
          </w:p>
        </w:tc>
        <w:tc>
          <w:tcPr>
            <w:tcW w:w="633" w:type="dxa"/>
            <w:noWrap w:val="0"/>
            <w:vAlign w:val="center"/>
          </w:tcPr>
          <w:p w14:paraId="210274C1">
            <w:pPr>
              <w:widowControl/>
              <w:jc w:val="center"/>
              <w:rPr>
                <w:rFonts w:ascii="宋体" w:hAnsi="宋体"/>
                <w:bCs/>
                <w:sz w:val="18"/>
                <w:szCs w:val="18"/>
              </w:rPr>
            </w:pPr>
          </w:p>
        </w:tc>
        <w:tc>
          <w:tcPr>
            <w:tcW w:w="1799" w:type="dxa"/>
            <w:noWrap w:val="0"/>
            <w:vAlign w:val="center"/>
          </w:tcPr>
          <w:p w14:paraId="4504F2E5">
            <w:pPr>
              <w:widowControl/>
              <w:jc w:val="center"/>
              <w:rPr>
                <w:rFonts w:ascii="宋体" w:hAnsi="宋体"/>
                <w:bCs/>
                <w:sz w:val="18"/>
                <w:szCs w:val="18"/>
              </w:rPr>
            </w:pPr>
          </w:p>
        </w:tc>
        <w:tc>
          <w:tcPr>
            <w:tcW w:w="1139" w:type="dxa"/>
            <w:noWrap w:val="0"/>
            <w:vAlign w:val="center"/>
          </w:tcPr>
          <w:p w14:paraId="5E123804">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r w14:paraId="4FCEF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tblHeader/>
        </w:trPr>
        <w:tc>
          <w:tcPr>
            <w:tcW w:w="941" w:type="dxa"/>
            <w:noWrap w:val="0"/>
            <w:vAlign w:val="center"/>
          </w:tcPr>
          <w:p w14:paraId="25EAB489">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rPr>
              <w:t>6.1.2.3</w:t>
            </w:r>
          </w:p>
        </w:tc>
        <w:tc>
          <w:tcPr>
            <w:tcW w:w="6860" w:type="dxa"/>
            <w:noWrap w:val="0"/>
            <w:vAlign w:val="center"/>
          </w:tcPr>
          <w:p w14:paraId="52623AFB">
            <w:pPr>
              <w:adjustRightInd w:val="0"/>
              <w:snapToGrid w:val="0"/>
              <w:rPr>
                <w:rFonts w:ascii="宋体" w:hAnsi="宋体"/>
                <w:sz w:val="18"/>
                <w:szCs w:val="18"/>
              </w:rPr>
            </w:pPr>
            <w:r>
              <w:rPr>
                <w:rFonts w:hint="eastAsia" w:ascii="宋体" w:hAnsi="宋体"/>
                <w:sz w:val="18"/>
                <w:szCs w:val="18"/>
              </w:rPr>
              <w:t>标志标识应齐全、清楚、正确，还应符合下列要求：</w:t>
            </w:r>
          </w:p>
          <w:p w14:paraId="02B79ECE">
            <w:pPr>
              <w:adjustRightInd w:val="0"/>
              <w:snapToGrid w:val="0"/>
              <w:rPr>
                <w:rFonts w:hint="eastAsia" w:ascii="宋体" w:hAnsi="宋体"/>
                <w:sz w:val="18"/>
                <w:szCs w:val="18"/>
              </w:rPr>
            </w:pPr>
            <w:r>
              <w:rPr>
                <w:rFonts w:hint="eastAsia" w:ascii="宋体" w:hAnsi="宋体"/>
                <w:sz w:val="18"/>
                <w:szCs w:val="18"/>
              </w:rPr>
              <w:t>a）安全标示牌的悬挂位置和式样要求应符合表G.3的规定；</w:t>
            </w:r>
          </w:p>
          <w:p w14:paraId="6979F7E5">
            <w:pPr>
              <w:snapToGrid w:val="0"/>
              <w:spacing w:line="240" w:lineRule="exact"/>
              <w:jc w:val="left"/>
              <w:rPr>
                <w:rFonts w:hint="eastAsia" w:ascii="宋体" w:hAnsi="宋体" w:eastAsia="宋体" w:cs="Times New Roman"/>
                <w:kern w:val="2"/>
                <w:sz w:val="18"/>
                <w:szCs w:val="18"/>
                <w:lang w:val="en-US" w:eastAsia="zh-CN" w:bidi="ar-SA"/>
              </w:rPr>
            </w:pPr>
            <w:r>
              <w:rPr>
                <w:rFonts w:ascii="宋体" w:hAnsi="宋体"/>
                <w:sz w:val="18"/>
                <w:szCs w:val="18"/>
              </w:rPr>
              <w:t>b</w:t>
            </w:r>
            <w:r>
              <w:rPr>
                <w:rFonts w:hint="eastAsia" w:ascii="宋体" w:hAnsi="宋体"/>
                <w:sz w:val="18"/>
                <w:szCs w:val="18"/>
              </w:rPr>
              <w:t>）每面配电盘柜应标明路名和调度操作编号，双面维护的配电盘柜前和盘柜后均应标明路名和调度操作编号，且路名、编号应与模拟屏、自动化监控系统、运行资料等保持一致；</w:t>
            </w:r>
          </w:p>
        </w:tc>
        <w:tc>
          <w:tcPr>
            <w:tcW w:w="633" w:type="dxa"/>
            <w:noWrap w:val="0"/>
            <w:vAlign w:val="center"/>
          </w:tcPr>
          <w:p w14:paraId="2710F6B9">
            <w:pPr>
              <w:numPr>
                <w:ilvl w:val="3"/>
                <w:numId w:val="0"/>
              </w:numPr>
              <w:adjustRightInd w:val="0"/>
              <w:snapToGrid w:val="0"/>
              <w:ind w:left="0" w:leftChars="0" w:firstLine="0" w:firstLineChars="0"/>
              <w:jc w:val="center"/>
              <w:rPr>
                <w:rFonts w:ascii="宋体" w:hAnsi="宋体" w:eastAsia="宋体" w:cs="Times New Roman"/>
                <w:kern w:val="2"/>
                <w:sz w:val="18"/>
                <w:szCs w:val="18"/>
                <w:lang w:val="en-US" w:eastAsia="zh-CN" w:bidi="ar-SA"/>
              </w:rPr>
            </w:pPr>
          </w:p>
        </w:tc>
        <w:tc>
          <w:tcPr>
            <w:tcW w:w="633" w:type="dxa"/>
            <w:noWrap w:val="0"/>
            <w:vAlign w:val="center"/>
          </w:tcPr>
          <w:p w14:paraId="614CF0AE">
            <w:pPr>
              <w:numPr>
                <w:ilvl w:val="3"/>
                <w:numId w:val="0"/>
              </w:numPr>
              <w:adjustRightInd w:val="0"/>
              <w:snapToGrid w:val="0"/>
              <w:ind w:left="0" w:leftChars="0" w:firstLine="0" w:firstLineChars="0"/>
              <w:jc w:val="center"/>
              <w:rPr>
                <w:rFonts w:ascii="宋体" w:hAnsi="宋体" w:eastAsia="宋体" w:cs="Times New Roman"/>
                <w:kern w:val="2"/>
                <w:sz w:val="18"/>
                <w:szCs w:val="18"/>
                <w:lang w:val="en-US" w:eastAsia="zh-CN" w:bidi="ar-SA"/>
              </w:rPr>
            </w:pPr>
          </w:p>
        </w:tc>
        <w:tc>
          <w:tcPr>
            <w:tcW w:w="602" w:type="dxa"/>
            <w:noWrap w:val="0"/>
            <w:vAlign w:val="center"/>
          </w:tcPr>
          <w:p w14:paraId="19A46E01">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2</w:t>
            </w:r>
          </w:p>
        </w:tc>
        <w:tc>
          <w:tcPr>
            <w:tcW w:w="2113" w:type="dxa"/>
            <w:noWrap w:val="0"/>
            <w:vAlign w:val="center"/>
          </w:tcPr>
          <w:p w14:paraId="085486FF">
            <w:pPr>
              <w:numPr>
                <w:ilvl w:val="3"/>
                <w:numId w:val="0"/>
              </w:numPr>
              <w:adjustRightInd w:val="0"/>
              <w:snapToGrid w:val="0"/>
              <w:ind w:left="0" w:leftChars="0" w:firstLine="0" w:firstLineChars="0"/>
              <w:jc w:val="left"/>
              <w:rPr>
                <w:rFonts w:hint="eastAsia" w:ascii="宋体" w:hAnsi="宋体" w:eastAsia="宋体" w:cs="Times New Roman"/>
                <w:kern w:val="2"/>
                <w:sz w:val="18"/>
                <w:szCs w:val="18"/>
                <w:lang w:val="en-US" w:eastAsia="zh-CN" w:bidi="ar-SA"/>
              </w:rPr>
            </w:pPr>
            <w:r>
              <w:rPr>
                <w:rFonts w:hint="eastAsia" w:ascii="宋体" w:hAnsi="宋体" w:cs="宋体"/>
                <w:sz w:val="18"/>
                <w:szCs w:val="18"/>
              </w:rPr>
              <w:t>一处不符合，不得分。</w:t>
            </w:r>
          </w:p>
        </w:tc>
        <w:tc>
          <w:tcPr>
            <w:tcW w:w="633" w:type="dxa"/>
            <w:noWrap w:val="0"/>
            <w:vAlign w:val="center"/>
          </w:tcPr>
          <w:p w14:paraId="09854F35">
            <w:pPr>
              <w:widowControl/>
              <w:jc w:val="center"/>
              <w:rPr>
                <w:rFonts w:ascii="宋体" w:hAnsi="宋体" w:eastAsia="宋体" w:cs="Times New Roman"/>
                <w:bCs/>
                <w:kern w:val="2"/>
                <w:sz w:val="18"/>
                <w:szCs w:val="18"/>
                <w:lang w:val="en-US" w:eastAsia="zh-CN" w:bidi="ar-SA"/>
              </w:rPr>
            </w:pPr>
          </w:p>
        </w:tc>
        <w:tc>
          <w:tcPr>
            <w:tcW w:w="1799" w:type="dxa"/>
            <w:noWrap w:val="0"/>
            <w:vAlign w:val="center"/>
          </w:tcPr>
          <w:p w14:paraId="3F721E68">
            <w:pPr>
              <w:widowControl/>
              <w:jc w:val="center"/>
              <w:rPr>
                <w:rFonts w:ascii="宋体" w:hAnsi="宋体" w:eastAsia="宋体" w:cs="Times New Roman"/>
                <w:bCs/>
                <w:kern w:val="2"/>
                <w:sz w:val="18"/>
                <w:szCs w:val="18"/>
                <w:lang w:val="en-US" w:eastAsia="zh-CN" w:bidi="ar-SA"/>
              </w:rPr>
            </w:pPr>
          </w:p>
        </w:tc>
        <w:tc>
          <w:tcPr>
            <w:tcW w:w="1139" w:type="dxa"/>
            <w:noWrap w:val="0"/>
            <w:vAlign w:val="center"/>
          </w:tcPr>
          <w:p w14:paraId="14569209">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lang w:eastAsia="zh-CN"/>
              </w:rPr>
              <w:t>4.6</w:t>
            </w:r>
            <w:r>
              <w:rPr>
                <w:rFonts w:ascii="宋体" w:hAnsi="宋体"/>
                <w:sz w:val="18"/>
                <w:szCs w:val="18"/>
              </w:rPr>
              <w:t>.1</w:t>
            </w:r>
          </w:p>
        </w:tc>
      </w:tr>
    </w:tbl>
    <w:p w14:paraId="6CEA8447">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2FD20541">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1"/>
        <w:gridCol w:w="6860"/>
        <w:gridCol w:w="633"/>
        <w:gridCol w:w="633"/>
        <w:gridCol w:w="602"/>
        <w:gridCol w:w="2113"/>
        <w:gridCol w:w="633"/>
        <w:gridCol w:w="1799"/>
        <w:gridCol w:w="1139"/>
      </w:tblGrid>
      <w:tr w14:paraId="6828A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1" w:type="dxa"/>
            <w:noWrap w:val="0"/>
            <w:vAlign w:val="center"/>
          </w:tcPr>
          <w:p w14:paraId="5A56AD0B">
            <w:pPr>
              <w:adjustRightInd w:val="0"/>
              <w:snapToGrid w:val="0"/>
              <w:jc w:val="center"/>
              <w:rPr>
                <w:rFonts w:ascii="宋体" w:hAnsi="宋体"/>
                <w:bCs/>
                <w:sz w:val="18"/>
                <w:szCs w:val="18"/>
              </w:rPr>
            </w:pPr>
            <w:r>
              <w:rPr>
                <w:rFonts w:ascii="宋体" w:hAnsi="宋体"/>
                <w:bCs/>
                <w:sz w:val="18"/>
                <w:szCs w:val="18"/>
              </w:rPr>
              <w:t>序号</w:t>
            </w:r>
          </w:p>
        </w:tc>
        <w:tc>
          <w:tcPr>
            <w:tcW w:w="6860" w:type="dxa"/>
            <w:noWrap w:val="0"/>
            <w:vAlign w:val="center"/>
          </w:tcPr>
          <w:p w14:paraId="5FA31C6D">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6D599BCB">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7C89B9DA">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530D2642">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3" w:type="dxa"/>
            <w:noWrap w:val="0"/>
            <w:vAlign w:val="center"/>
          </w:tcPr>
          <w:p w14:paraId="172DF1C3">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38A1F19A">
            <w:pPr>
              <w:adjustRightInd w:val="0"/>
              <w:snapToGrid w:val="0"/>
              <w:jc w:val="center"/>
              <w:rPr>
                <w:rFonts w:ascii="宋体" w:hAnsi="宋体"/>
                <w:bCs/>
                <w:sz w:val="18"/>
                <w:szCs w:val="18"/>
              </w:rPr>
            </w:pPr>
            <w:r>
              <w:rPr>
                <w:rFonts w:hint="eastAsia" w:ascii="宋体" w:hAnsi="宋体"/>
                <w:bCs/>
                <w:sz w:val="18"/>
                <w:szCs w:val="18"/>
              </w:rPr>
              <w:t>评定得分</w:t>
            </w:r>
          </w:p>
        </w:tc>
        <w:tc>
          <w:tcPr>
            <w:tcW w:w="1799" w:type="dxa"/>
            <w:noWrap w:val="0"/>
            <w:vAlign w:val="center"/>
          </w:tcPr>
          <w:p w14:paraId="39757D7F">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68ED3147">
            <w:pPr>
              <w:adjustRightInd w:val="0"/>
              <w:snapToGrid w:val="0"/>
              <w:jc w:val="center"/>
              <w:rPr>
                <w:rFonts w:ascii="宋体" w:hAnsi="宋体"/>
                <w:bCs/>
                <w:sz w:val="18"/>
                <w:szCs w:val="18"/>
              </w:rPr>
            </w:pPr>
            <w:r>
              <w:rPr>
                <w:rFonts w:ascii="宋体" w:hAnsi="宋体"/>
                <w:bCs/>
                <w:sz w:val="18"/>
                <w:szCs w:val="18"/>
              </w:rPr>
              <w:t>对应条款编号</w:t>
            </w:r>
          </w:p>
        </w:tc>
      </w:tr>
      <w:tr w14:paraId="04FED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blHeader/>
        </w:trPr>
        <w:tc>
          <w:tcPr>
            <w:tcW w:w="941" w:type="dxa"/>
            <w:noWrap w:val="0"/>
            <w:vAlign w:val="center"/>
          </w:tcPr>
          <w:p w14:paraId="0C36776E">
            <w:pPr>
              <w:widowControl/>
              <w:jc w:val="center"/>
              <w:rPr>
                <w:rFonts w:ascii="宋体" w:hAnsi="宋体"/>
                <w:bCs/>
                <w:sz w:val="18"/>
                <w:szCs w:val="18"/>
              </w:rPr>
            </w:pPr>
          </w:p>
        </w:tc>
        <w:tc>
          <w:tcPr>
            <w:tcW w:w="6860" w:type="dxa"/>
            <w:noWrap w:val="0"/>
            <w:vAlign w:val="center"/>
          </w:tcPr>
          <w:p w14:paraId="0B5F1108">
            <w:pPr>
              <w:adjustRightInd w:val="0"/>
              <w:snapToGrid w:val="0"/>
              <w:rPr>
                <w:rFonts w:ascii="宋体" w:hAnsi="宋体"/>
                <w:sz w:val="18"/>
                <w:szCs w:val="18"/>
              </w:rPr>
            </w:pPr>
            <w:r>
              <w:rPr>
                <w:rFonts w:hint="eastAsia" w:ascii="宋体" w:hAnsi="宋体"/>
                <w:sz w:val="18"/>
                <w:szCs w:val="18"/>
              </w:rPr>
              <w:t>c）配电装置前应标注警戒线，警戒线距配电装置应不小于</w:t>
            </w:r>
            <w:r>
              <w:rPr>
                <w:rFonts w:ascii="宋体" w:hAnsi="宋体"/>
                <w:sz w:val="18"/>
                <w:szCs w:val="18"/>
              </w:rPr>
              <w:t>800</w:t>
            </w:r>
            <w:r>
              <w:rPr>
                <w:rFonts w:hint="eastAsia" w:ascii="宋体" w:hAnsi="宋体"/>
                <w:sz w:val="18"/>
                <w:szCs w:val="18"/>
              </w:rPr>
              <w:t xml:space="preserve"> </w:t>
            </w:r>
            <w:r>
              <w:rPr>
                <w:rFonts w:ascii="宋体" w:hAnsi="宋体"/>
                <w:sz w:val="18"/>
                <w:szCs w:val="18"/>
              </w:rPr>
              <w:t>mm</w:t>
            </w:r>
            <w:r>
              <w:rPr>
                <w:rFonts w:hint="eastAsia" w:ascii="宋体" w:hAnsi="宋体"/>
                <w:sz w:val="18"/>
                <w:szCs w:val="18"/>
              </w:rPr>
              <w:t>；</w:t>
            </w:r>
          </w:p>
          <w:p w14:paraId="48B49A35">
            <w:pPr>
              <w:adjustRightInd w:val="0"/>
              <w:snapToGrid w:val="0"/>
              <w:rPr>
                <w:rFonts w:ascii="宋体" w:hAnsi="宋体"/>
                <w:sz w:val="18"/>
                <w:szCs w:val="18"/>
              </w:rPr>
            </w:pPr>
            <w:r>
              <w:rPr>
                <w:rFonts w:hint="eastAsia" w:ascii="宋体" w:hAnsi="宋体"/>
                <w:sz w:val="18"/>
                <w:szCs w:val="18"/>
              </w:rPr>
              <w:t>d）设备上不应粘贴与运行无关的标志，不应悬挂、堆放杂物；</w:t>
            </w:r>
          </w:p>
          <w:p w14:paraId="31D270A8">
            <w:pPr>
              <w:snapToGrid w:val="0"/>
              <w:spacing w:line="240" w:lineRule="exact"/>
              <w:rPr>
                <w:rFonts w:ascii="宋体" w:hAnsi="宋体"/>
                <w:sz w:val="18"/>
                <w:szCs w:val="18"/>
              </w:rPr>
            </w:pPr>
            <w:r>
              <w:rPr>
                <w:rFonts w:ascii="宋体" w:hAnsi="宋体"/>
                <w:sz w:val="18"/>
                <w:szCs w:val="18"/>
              </w:rPr>
              <w:t>e</w:t>
            </w:r>
            <w:r>
              <w:rPr>
                <w:rFonts w:hint="eastAsia" w:ascii="宋体" w:hAnsi="宋体"/>
                <w:sz w:val="18"/>
                <w:szCs w:val="18"/>
              </w:rPr>
              <w:t>）变配电室的出入口应设置明显的安全警示标志牌。</w:t>
            </w:r>
          </w:p>
        </w:tc>
        <w:tc>
          <w:tcPr>
            <w:tcW w:w="633" w:type="dxa"/>
            <w:noWrap w:val="0"/>
            <w:vAlign w:val="center"/>
          </w:tcPr>
          <w:p w14:paraId="2E9A068B">
            <w:pPr>
              <w:numPr>
                <w:ilvl w:val="3"/>
                <w:numId w:val="0"/>
              </w:numPr>
              <w:adjustRightInd w:val="0"/>
              <w:snapToGrid w:val="0"/>
              <w:jc w:val="center"/>
              <w:rPr>
                <w:rFonts w:ascii="宋体" w:hAnsi="宋体"/>
                <w:sz w:val="18"/>
                <w:szCs w:val="18"/>
              </w:rPr>
            </w:pPr>
          </w:p>
        </w:tc>
        <w:tc>
          <w:tcPr>
            <w:tcW w:w="633" w:type="dxa"/>
            <w:noWrap w:val="0"/>
            <w:vAlign w:val="center"/>
          </w:tcPr>
          <w:p w14:paraId="68CEB582">
            <w:pPr>
              <w:numPr>
                <w:ilvl w:val="3"/>
                <w:numId w:val="0"/>
              </w:numPr>
              <w:adjustRightInd w:val="0"/>
              <w:snapToGrid w:val="0"/>
              <w:jc w:val="center"/>
              <w:rPr>
                <w:rFonts w:ascii="宋体" w:hAnsi="宋体"/>
                <w:sz w:val="18"/>
                <w:szCs w:val="18"/>
              </w:rPr>
            </w:pPr>
          </w:p>
        </w:tc>
        <w:tc>
          <w:tcPr>
            <w:tcW w:w="602" w:type="dxa"/>
            <w:noWrap w:val="0"/>
            <w:vAlign w:val="center"/>
          </w:tcPr>
          <w:p w14:paraId="5ADED84D">
            <w:pPr>
              <w:widowControl/>
              <w:jc w:val="center"/>
              <w:rPr>
                <w:rFonts w:ascii="宋体" w:hAnsi="宋体"/>
                <w:bCs/>
                <w:sz w:val="18"/>
                <w:szCs w:val="18"/>
              </w:rPr>
            </w:pPr>
          </w:p>
        </w:tc>
        <w:tc>
          <w:tcPr>
            <w:tcW w:w="2113" w:type="dxa"/>
            <w:noWrap w:val="0"/>
            <w:vAlign w:val="center"/>
          </w:tcPr>
          <w:p w14:paraId="36DB4774">
            <w:pPr>
              <w:numPr>
                <w:ilvl w:val="3"/>
                <w:numId w:val="0"/>
              </w:numPr>
              <w:adjustRightInd w:val="0"/>
              <w:snapToGrid w:val="0"/>
              <w:rPr>
                <w:rFonts w:ascii="宋体" w:hAnsi="宋体"/>
                <w:bCs/>
                <w:sz w:val="18"/>
                <w:szCs w:val="18"/>
              </w:rPr>
            </w:pPr>
          </w:p>
        </w:tc>
        <w:tc>
          <w:tcPr>
            <w:tcW w:w="633" w:type="dxa"/>
            <w:noWrap w:val="0"/>
            <w:vAlign w:val="center"/>
          </w:tcPr>
          <w:p w14:paraId="0C6D16A9">
            <w:pPr>
              <w:widowControl/>
              <w:jc w:val="center"/>
              <w:rPr>
                <w:rFonts w:ascii="宋体" w:hAnsi="宋体"/>
                <w:bCs/>
                <w:sz w:val="18"/>
                <w:szCs w:val="18"/>
              </w:rPr>
            </w:pPr>
          </w:p>
        </w:tc>
        <w:tc>
          <w:tcPr>
            <w:tcW w:w="1799" w:type="dxa"/>
            <w:noWrap w:val="0"/>
            <w:vAlign w:val="center"/>
          </w:tcPr>
          <w:p w14:paraId="5439ED9D">
            <w:pPr>
              <w:widowControl/>
              <w:jc w:val="center"/>
              <w:rPr>
                <w:rFonts w:ascii="宋体" w:hAnsi="宋体"/>
                <w:bCs/>
                <w:sz w:val="18"/>
                <w:szCs w:val="18"/>
              </w:rPr>
            </w:pPr>
          </w:p>
        </w:tc>
        <w:tc>
          <w:tcPr>
            <w:tcW w:w="1139" w:type="dxa"/>
            <w:noWrap w:val="0"/>
            <w:vAlign w:val="center"/>
          </w:tcPr>
          <w:p w14:paraId="79C0A772">
            <w:pPr>
              <w:widowControl/>
              <w:jc w:val="center"/>
              <w:rPr>
                <w:rFonts w:ascii="宋体" w:hAnsi="宋体"/>
                <w:bCs/>
                <w:sz w:val="18"/>
                <w:szCs w:val="18"/>
              </w:rPr>
            </w:pPr>
          </w:p>
        </w:tc>
      </w:tr>
      <w:tr w14:paraId="12768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tblHeader/>
        </w:trPr>
        <w:tc>
          <w:tcPr>
            <w:tcW w:w="941" w:type="dxa"/>
            <w:noWrap w:val="0"/>
            <w:vAlign w:val="center"/>
          </w:tcPr>
          <w:p w14:paraId="1196C4BD">
            <w:pPr>
              <w:widowControl/>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6.1.3</w:t>
            </w:r>
          </w:p>
        </w:tc>
        <w:tc>
          <w:tcPr>
            <w:tcW w:w="6860" w:type="dxa"/>
            <w:noWrap w:val="0"/>
            <w:vAlign w:val="center"/>
          </w:tcPr>
          <w:p w14:paraId="03E94E90">
            <w:pPr>
              <w:snapToGrid w:val="0"/>
              <w:spacing w:line="240" w:lineRule="exact"/>
              <w:rPr>
                <w:rFonts w:hint="eastAsia" w:ascii="宋体" w:hAnsi="宋体" w:eastAsia="宋体" w:cs="Times New Roman"/>
                <w:kern w:val="2"/>
                <w:sz w:val="18"/>
                <w:szCs w:val="18"/>
                <w:lang w:val="en-US" w:eastAsia="zh-CN" w:bidi="ar-SA"/>
              </w:rPr>
            </w:pPr>
            <w:r>
              <w:rPr>
                <w:rFonts w:hint="eastAsia" w:ascii="宋体" w:hAnsi="宋体"/>
                <w:sz w:val="18"/>
                <w:szCs w:val="18"/>
              </w:rPr>
              <w:t>运行要求</w:t>
            </w:r>
          </w:p>
        </w:tc>
        <w:tc>
          <w:tcPr>
            <w:tcW w:w="633" w:type="dxa"/>
            <w:noWrap w:val="0"/>
            <w:vAlign w:val="center"/>
          </w:tcPr>
          <w:p w14:paraId="2D57AE10">
            <w:pPr>
              <w:numPr>
                <w:ilvl w:val="3"/>
                <w:numId w:val="0"/>
              </w:numPr>
              <w:adjustRightInd w:val="0"/>
              <w:snapToGrid w:val="0"/>
              <w:ind w:left="0" w:leftChars="0" w:firstLine="0" w:firstLineChars="0"/>
              <w:jc w:val="center"/>
              <w:rPr>
                <w:rFonts w:ascii="宋体" w:hAnsi="宋体" w:eastAsia="宋体" w:cs="Times New Roman"/>
                <w:kern w:val="2"/>
                <w:sz w:val="18"/>
                <w:szCs w:val="18"/>
                <w:lang w:val="en-US" w:eastAsia="zh-CN" w:bidi="ar-SA"/>
              </w:rPr>
            </w:pPr>
          </w:p>
        </w:tc>
        <w:tc>
          <w:tcPr>
            <w:tcW w:w="633" w:type="dxa"/>
            <w:noWrap w:val="0"/>
            <w:vAlign w:val="center"/>
          </w:tcPr>
          <w:p w14:paraId="705E1560">
            <w:pPr>
              <w:numPr>
                <w:ilvl w:val="3"/>
                <w:numId w:val="0"/>
              </w:numPr>
              <w:adjustRightInd w:val="0"/>
              <w:snapToGrid w:val="0"/>
              <w:ind w:left="0" w:leftChars="0" w:firstLine="0" w:firstLineChars="0"/>
              <w:jc w:val="center"/>
              <w:rPr>
                <w:rFonts w:ascii="宋体" w:hAnsi="宋体" w:eastAsia="宋体" w:cs="Times New Roman"/>
                <w:kern w:val="2"/>
                <w:sz w:val="18"/>
                <w:szCs w:val="18"/>
                <w:lang w:val="en-US" w:eastAsia="zh-CN" w:bidi="ar-SA"/>
              </w:rPr>
            </w:pPr>
          </w:p>
        </w:tc>
        <w:tc>
          <w:tcPr>
            <w:tcW w:w="602" w:type="dxa"/>
            <w:noWrap w:val="0"/>
            <w:vAlign w:val="center"/>
          </w:tcPr>
          <w:p w14:paraId="41C70D4D">
            <w:pPr>
              <w:widowControl/>
              <w:jc w:val="center"/>
              <w:rPr>
                <w:rFonts w:ascii="宋体" w:hAnsi="宋体" w:eastAsia="宋体" w:cs="Times New Roman"/>
                <w:bCs/>
                <w:kern w:val="2"/>
                <w:sz w:val="18"/>
                <w:szCs w:val="18"/>
                <w:lang w:val="en-US" w:eastAsia="zh-CN" w:bidi="ar-SA"/>
              </w:rPr>
            </w:pPr>
          </w:p>
        </w:tc>
        <w:tc>
          <w:tcPr>
            <w:tcW w:w="2113" w:type="dxa"/>
            <w:noWrap w:val="0"/>
            <w:vAlign w:val="center"/>
          </w:tcPr>
          <w:p w14:paraId="0DDDBA3F">
            <w:pPr>
              <w:numPr>
                <w:ilvl w:val="3"/>
                <w:numId w:val="0"/>
              </w:numPr>
              <w:adjustRightInd w:val="0"/>
              <w:snapToGrid w:val="0"/>
              <w:ind w:left="0" w:leftChars="0" w:firstLine="0" w:firstLineChars="0"/>
              <w:rPr>
                <w:rFonts w:ascii="宋体" w:hAnsi="宋体" w:eastAsia="宋体" w:cs="Times New Roman"/>
                <w:bCs/>
                <w:kern w:val="2"/>
                <w:sz w:val="18"/>
                <w:szCs w:val="18"/>
                <w:lang w:val="en-US" w:eastAsia="zh-CN" w:bidi="ar-SA"/>
              </w:rPr>
            </w:pPr>
          </w:p>
        </w:tc>
        <w:tc>
          <w:tcPr>
            <w:tcW w:w="633" w:type="dxa"/>
            <w:noWrap w:val="0"/>
            <w:vAlign w:val="center"/>
          </w:tcPr>
          <w:p w14:paraId="2692B1D1">
            <w:pPr>
              <w:widowControl/>
              <w:jc w:val="center"/>
              <w:rPr>
                <w:rFonts w:ascii="宋体" w:hAnsi="宋体" w:eastAsia="宋体" w:cs="Times New Roman"/>
                <w:bCs/>
                <w:kern w:val="2"/>
                <w:sz w:val="18"/>
                <w:szCs w:val="18"/>
                <w:lang w:val="en-US" w:eastAsia="zh-CN" w:bidi="ar-SA"/>
              </w:rPr>
            </w:pPr>
          </w:p>
        </w:tc>
        <w:tc>
          <w:tcPr>
            <w:tcW w:w="1799" w:type="dxa"/>
            <w:noWrap w:val="0"/>
            <w:vAlign w:val="center"/>
          </w:tcPr>
          <w:p w14:paraId="50C12926">
            <w:pPr>
              <w:widowControl/>
              <w:jc w:val="center"/>
              <w:rPr>
                <w:rFonts w:ascii="宋体" w:hAnsi="宋体" w:eastAsia="宋体" w:cs="Times New Roman"/>
                <w:bCs/>
                <w:kern w:val="2"/>
                <w:sz w:val="18"/>
                <w:szCs w:val="18"/>
                <w:lang w:val="en-US" w:eastAsia="zh-CN" w:bidi="ar-SA"/>
              </w:rPr>
            </w:pPr>
          </w:p>
        </w:tc>
        <w:tc>
          <w:tcPr>
            <w:tcW w:w="1139" w:type="dxa"/>
            <w:noWrap w:val="0"/>
            <w:vAlign w:val="center"/>
          </w:tcPr>
          <w:p w14:paraId="4B044B88">
            <w:pPr>
              <w:widowControl/>
              <w:jc w:val="center"/>
              <w:rPr>
                <w:rFonts w:ascii="宋体" w:hAnsi="宋体" w:eastAsia="宋体" w:cs="Times New Roman"/>
                <w:bCs/>
                <w:kern w:val="2"/>
                <w:sz w:val="18"/>
                <w:szCs w:val="18"/>
                <w:lang w:val="en-US" w:eastAsia="zh-CN" w:bidi="ar-SA"/>
              </w:rPr>
            </w:pPr>
            <w:r>
              <w:rPr>
                <w:rFonts w:hint="eastAsia" w:ascii="宋体" w:hAnsi="宋体"/>
                <w:sz w:val="18"/>
                <w:szCs w:val="18"/>
                <w:lang w:eastAsia="zh-CN"/>
              </w:rPr>
              <w:t>4.6</w:t>
            </w:r>
            <w:r>
              <w:rPr>
                <w:rFonts w:ascii="宋体" w:hAnsi="宋体"/>
                <w:sz w:val="18"/>
                <w:szCs w:val="18"/>
              </w:rPr>
              <w:t>.1</w:t>
            </w:r>
          </w:p>
        </w:tc>
      </w:tr>
      <w:tr w14:paraId="72350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2" w:hRule="atLeast"/>
          <w:tblHeader/>
        </w:trPr>
        <w:tc>
          <w:tcPr>
            <w:tcW w:w="941" w:type="dxa"/>
            <w:noWrap w:val="0"/>
            <w:vAlign w:val="center"/>
          </w:tcPr>
          <w:p w14:paraId="03F33371">
            <w:pPr>
              <w:jc w:val="center"/>
              <w:rPr>
                <w:rFonts w:hint="eastAsia" w:ascii="宋体" w:hAnsi="宋体"/>
                <w:sz w:val="18"/>
                <w:szCs w:val="18"/>
              </w:rPr>
            </w:pPr>
            <w:r>
              <w:rPr>
                <w:rFonts w:hint="eastAsia" w:ascii="宋体" w:hAnsi="宋体"/>
                <w:sz w:val="18"/>
                <w:szCs w:val="18"/>
              </w:rPr>
              <w:t>6.1.3.1</w:t>
            </w:r>
          </w:p>
        </w:tc>
        <w:tc>
          <w:tcPr>
            <w:tcW w:w="6860" w:type="dxa"/>
            <w:vMerge w:val="restart"/>
            <w:noWrap w:val="0"/>
            <w:vAlign w:val="center"/>
          </w:tcPr>
          <w:p w14:paraId="2DC85959">
            <w:pPr>
              <w:adjustRightInd w:val="0"/>
              <w:snapToGrid w:val="0"/>
              <w:rPr>
                <w:rFonts w:hint="default" w:ascii="宋体" w:hAnsi="宋体" w:eastAsia="宋体"/>
                <w:sz w:val="18"/>
                <w:szCs w:val="18"/>
                <w:lang w:val="en-US" w:eastAsia="zh-CN"/>
              </w:rPr>
            </w:pPr>
            <w:r>
              <w:rPr>
                <w:rFonts w:hint="eastAsia" w:ascii="宋体" w:hAnsi="宋体"/>
                <w:sz w:val="18"/>
                <w:szCs w:val="18"/>
                <w:lang w:val="en-US" w:eastAsia="zh-CN"/>
              </w:rPr>
              <w:t>运行应符合下列要求：</w:t>
            </w:r>
          </w:p>
          <w:p w14:paraId="4C181C20">
            <w:pPr>
              <w:adjustRightInd w:val="0"/>
              <w:snapToGrid w:val="0"/>
              <w:rPr>
                <w:rFonts w:ascii="宋体" w:hAnsi="宋体"/>
                <w:sz w:val="18"/>
                <w:szCs w:val="18"/>
              </w:rPr>
            </w:pPr>
            <w:r>
              <w:rPr>
                <w:rFonts w:ascii="宋体" w:hAnsi="宋体"/>
                <w:sz w:val="18"/>
                <w:szCs w:val="18"/>
              </w:rPr>
              <w:t>a</w:t>
            </w:r>
            <w:r>
              <w:rPr>
                <w:rFonts w:hint="eastAsia" w:ascii="宋体" w:hAnsi="宋体"/>
                <w:sz w:val="18"/>
                <w:szCs w:val="18"/>
              </w:rPr>
              <w:t>）工作票的使用应符合下列要求：</w:t>
            </w:r>
          </w:p>
          <w:p w14:paraId="334259D8">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w:t>
            </w:r>
            <w:r>
              <w:rPr>
                <w:rFonts w:ascii="宋体" w:hAnsi="宋体"/>
                <w:sz w:val="18"/>
                <w:szCs w:val="18"/>
              </w:rPr>
              <w:t>10/6</w:t>
            </w:r>
            <w:r>
              <w:rPr>
                <w:rFonts w:hint="eastAsia" w:ascii="宋体" w:hAnsi="宋体"/>
                <w:sz w:val="18"/>
                <w:szCs w:val="18"/>
              </w:rPr>
              <w:t xml:space="preserve"> </w:t>
            </w:r>
            <w:r>
              <w:rPr>
                <w:rFonts w:ascii="宋体" w:hAnsi="宋体"/>
                <w:sz w:val="18"/>
                <w:szCs w:val="18"/>
              </w:rPr>
              <w:t>kV</w:t>
            </w:r>
            <w:r>
              <w:rPr>
                <w:rFonts w:hint="eastAsia" w:ascii="宋体" w:hAnsi="宋体"/>
                <w:sz w:val="18"/>
                <w:szCs w:val="18"/>
              </w:rPr>
              <w:t>及以上电压等级的变配电室设备设施的检修、改装、调整、试验、校验工作，应填写工作票；</w:t>
            </w:r>
          </w:p>
          <w:p w14:paraId="3D305490">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）工作票由设备运行管理单位的电气负责人签发，或由经设备运行管理单位审核合格并批准的修试及基建单位的电气负责人签发；</w:t>
            </w:r>
          </w:p>
          <w:p w14:paraId="408F835A">
            <w:pPr>
              <w:keepNext w:val="0"/>
              <w:keepLines w:val="0"/>
              <w:pageBreakBefore w:val="0"/>
              <w:widowControl w:val="0"/>
              <w:kinsoku/>
              <w:wordWrap/>
              <w:overflowPunct/>
              <w:topLinePunct w:val="0"/>
              <w:autoSpaceDE/>
              <w:autoSpaceDN/>
              <w:bidi w:val="0"/>
              <w:snapToGrid w:val="0"/>
              <w:spacing w:line="240" w:lineRule="exact"/>
              <w:ind w:firstLine="180" w:firstLineChars="100"/>
              <w:textAlignment w:val="auto"/>
              <w:rPr>
                <w:rFonts w:hint="eastAsia"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）一张工作票中，工作票签发人、工作许可人和工作负责人不应互相兼任</w:t>
            </w:r>
            <w:r>
              <w:rPr>
                <w:rFonts w:hint="eastAsia" w:ascii="宋体" w:hAnsi="宋体"/>
                <w:sz w:val="18"/>
                <w:szCs w:val="18"/>
                <w:lang w:val="en-US" w:eastAsia="zh-CN"/>
              </w:rPr>
              <w:t>；</w:t>
            </w:r>
          </w:p>
          <w:p w14:paraId="3C4240AD">
            <w:pPr>
              <w:keepNext w:val="0"/>
              <w:keepLines w:val="0"/>
              <w:pageBreakBefore w:val="0"/>
              <w:widowControl w:val="0"/>
              <w:kinsoku/>
              <w:wordWrap/>
              <w:overflowPunct/>
              <w:topLinePunct w:val="0"/>
              <w:autoSpaceDE/>
              <w:autoSpaceDN/>
              <w:bidi w:val="0"/>
              <w:snapToGrid w:val="0"/>
              <w:spacing w:line="240" w:lineRule="exact"/>
              <w:ind w:firstLine="180" w:firstLineChars="100"/>
              <w:textAlignment w:val="auto"/>
              <w:rPr>
                <w:rFonts w:hint="eastAsia" w:ascii="宋体" w:hAnsi="宋体"/>
                <w:sz w:val="18"/>
                <w:szCs w:val="18"/>
                <w:lang w:val="en-US" w:eastAsia="zh-CN"/>
              </w:rPr>
            </w:pPr>
            <w:r>
              <w:rPr>
                <w:rFonts w:hint="eastAsia" w:ascii="宋体" w:hAnsi="宋体"/>
                <w:sz w:val="18"/>
                <w:szCs w:val="18"/>
                <w:lang w:val="en-US" w:eastAsia="zh-CN"/>
              </w:rPr>
              <w:t>4</w:t>
            </w:r>
            <w:r>
              <w:rPr>
                <w:rFonts w:hint="eastAsia" w:ascii="宋体" w:hAnsi="宋体"/>
                <w:sz w:val="18"/>
                <w:szCs w:val="18"/>
              </w:rPr>
              <w:t>）一个工作负责人不应同时执行两张及以上工作票。</w:t>
            </w:r>
          </w:p>
          <w:p w14:paraId="1C339419">
            <w:pPr>
              <w:adjustRightInd w:val="0"/>
              <w:snapToGrid w:val="0"/>
              <w:rPr>
                <w:rFonts w:ascii="宋体" w:hAnsi="宋体"/>
                <w:sz w:val="18"/>
                <w:szCs w:val="18"/>
              </w:rPr>
            </w:pPr>
            <w:r>
              <w:rPr>
                <w:rFonts w:hint="eastAsia" w:ascii="宋体" w:hAnsi="宋体"/>
                <w:sz w:val="18"/>
                <w:szCs w:val="18"/>
                <w:lang w:val="en-US" w:eastAsia="zh-CN"/>
              </w:rPr>
              <w:t>b</w:t>
            </w:r>
            <w:r>
              <w:rPr>
                <w:rFonts w:hint="eastAsia" w:ascii="宋体" w:hAnsi="宋体"/>
                <w:sz w:val="18"/>
                <w:szCs w:val="18"/>
              </w:rPr>
              <w:t>）操作票的使用应符合下列要求：</w:t>
            </w:r>
          </w:p>
          <w:p w14:paraId="60C9E608">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w:t>
            </w:r>
            <w:r>
              <w:rPr>
                <w:rFonts w:ascii="宋体" w:hAnsi="宋体"/>
                <w:sz w:val="18"/>
                <w:szCs w:val="18"/>
              </w:rPr>
              <w:t>10/6</w:t>
            </w:r>
            <w:r>
              <w:rPr>
                <w:rFonts w:hint="eastAsia" w:ascii="宋体" w:hAnsi="宋体"/>
                <w:sz w:val="18"/>
                <w:szCs w:val="18"/>
              </w:rPr>
              <w:t xml:space="preserve"> </w:t>
            </w:r>
            <w:r>
              <w:rPr>
                <w:rFonts w:ascii="宋体" w:hAnsi="宋体"/>
                <w:sz w:val="18"/>
                <w:szCs w:val="18"/>
              </w:rPr>
              <w:t>kV</w:t>
            </w:r>
            <w:r>
              <w:rPr>
                <w:rFonts w:hint="eastAsia" w:ascii="宋体" w:hAnsi="宋体"/>
                <w:sz w:val="18"/>
                <w:szCs w:val="18"/>
              </w:rPr>
              <w:t>及以上电压等级的变配电室运行中，需要改变运行方式或电气设备改变其工作状态时，应填写操作票；</w:t>
            </w:r>
          </w:p>
          <w:p w14:paraId="2B4B85D9">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ascii="宋体" w:hAnsi="宋体"/>
                <w:sz w:val="18"/>
                <w:szCs w:val="18"/>
              </w:rPr>
            </w:pPr>
            <w:r>
              <w:rPr>
                <w:rFonts w:hint="eastAsia" w:ascii="宋体" w:hAnsi="宋体"/>
                <w:sz w:val="18"/>
                <w:szCs w:val="18"/>
                <w:lang w:val="en-US" w:eastAsia="zh-CN"/>
              </w:rPr>
              <w:t>2</w:t>
            </w:r>
            <w:r>
              <w:rPr>
                <w:rFonts w:hint="eastAsia" w:ascii="宋体" w:hAnsi="宋体"/>
                <w:sz w:val="18"/>
                <w:szCs w:val="18"/>
              </w:rPr>
              <w:t>）操作票应使用统一的票面格式；</w:t>
            </w:r>
          </w:p>
          <w:p w14:paraId="0CF4359C">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ascii="宋体" w:hAnsi="宋体"/>
                <w:sz w:val="18"/>
                <w:szCs w:val="18"/>
              </w:rPr>
            </w:pPr>
            <w:r>
              <w:rPr>
                <w:rFonts w:hint="eastAsia" w:ascii="宋体" w:hAnsi="宋体"/>
                <w:sz w:val="18"/>
                <w:szCs w:val="18"/>
                <w:lang w:val="en-US" w:eastAsia="zh-CN"/>
              </w:rPr>
              <w:t>3</w:t>
            </w:r>
            <w:r>
              <w:rPr>
                <w:rFonts w:hint="eastAsia" w:ascii="宋体" w:hAnsi="宋体"/>
                <w:sz w:val="18"/>
                <w:szCs w:val="18"/>
              </w:rPr>
              <w:t>）操作票由操作人员填写，每张票填写一个操作任务；</w:t>
            </w:r>
          </w:p>
          <w:p w14:paraId="2B7C12E2">
            <w:pPr>
              <w:keepNext w:val="0"/>
              <w:keepLines w:val="0"/>
              <w:pageBreakBefore w:val="0"/>
              <w:widowControl w:val="0"/>
              <w:kinsoku/>
              <w:wordWrap/>
              <w:overflowPunct/>
              <w:topLinePunct w:val="0"/>
              <w:autoSpaceDE/>
              <w:autoSpaceDN/>
              <w:bidi w:val="0"/>
              <w:snapToGrid w:val="0"/>
              <w:spacing w:line="240" w:lineRule="exact"/>
              <w:ind w:firstLine="180" w:firstLineChars="100"/>
              <w:jc w:val="left"/>
              <w:textAlignment w:val="auto"/>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）操作执行结束，在最后一步下方加盖</w:t>
            </w:r>
            <w:r>
              <w:rPr>
                <w:rFonts w:ascii="宋体" w:hAnsi="宋体"/>
                <w:sz w:val="18"/>
                <w:szCs w:val="18"/>
              </w:rPr>
              <w:t>“</w:t>
            </w:r>
            <w:r>
              <w:rPr>
                <w:rFonts w:hint="eastAsia" w:ascii="宋体" w:hAnsi="宋体"/>
                <w:sz w:val="18"/>
                <w:szCs w:val="18"/>
              </w:rPr>
              <w:t>已执行</w:t>
            </w:r>
            <w:r>
              <w:rPr>
                <w:rFonts w:ascii="宋体" w:hAnsi="宋体"/>
                <w:sz w:val="18"/>
                <w:szCs w:val="18"/>
              </w:rPr>
              <w:t>”</w:t>
            </w:r>
            <w:r>
              <w:rPr>
                <w:rFonts w:hint="eastAsia" w:ascii="宋体" w:hAnsi="宋体"/>
                <w:sz w:val="18"/>
                <w:szCs w:val="18"/>
              </w:rPr>
              <w:t>章，章印不应掩压步骤项。作废操作票应在作废页</w:t>
            </w:r>
            <w:r>
              <w:rPr>
                <w:rFonts w:ascii="宋体" w:hAnsi="宋体"/>
                <w:sz w:val="18"/>
                <w:szCs w:val="18"/>
              </w:rPr>
              <w:t>“</w:t>
            </w:r>
            <w:r>
              <w:rPr>
                <w:rFonts w:hint="eastAsia" w:ascii="宋体" w:hAnsi="宋体"/>
                <w:sz w:val="18"/>
                <w:szCs w:val="18"/>
              </w:rPr>
              <w:t>操作任务</w:t>
            </w:r>
            <w:r>
              <w:rPr>
                <w:rFonts w:ascii="宋体" w:hAnsi="宋体"/>
                <w:sz w:val="18"/>
                <w:szCs w:val="18"/>
              </w:rPr>
              <w:t>”</w:t>
            </w:r>
            <w:r>
              <w:rPr>
                <w:rFonts w:hint="eastAsia" w:ascii="宋体" w:hAnsi="宋体"/>
                <w:sz w:val="18"/>
                <w:szCs w:val="18"/>
              </w:rPr>
              <w:t>栏内盖</w:t>
            </w:r>
            <w:r>
              <w:rPr>
                <w:rFonts w:ascii="宋体" w:hAnsi="宋体"/>
                <w:sz w:val="18"/>
                <w:szCs w:val="18"/>
              </w:rPr>
              <w:t>“</w:t>
            </w:r>
            <w:r>
              <w:rPr>
                <w:rFonts w:hint="eastAsia" w:ascii="宋体" w:hAnsi="宋体"/>
                <w:sz w:val="18"/>
                <w:szCs w:val="18"/>
              </w:rPr>
              <w:t>作废</w:t>
            </w:r>
            <w:r>
              <w:rPr>
                <w:rFonts w:ascii="宋体" w:hAnsi="宋体"/>
                <w:sz w:val="18"/>
                <w:szCs w:val="18"/>
              </w:rPr>
              <w:t>”</w:t>
            </w:r>
            <w:r>
              <w:rPr>
                <w:rFonts w:hint="eastAsia" w:ascii="宋体" w:hAnsi="宋体"/>
                <w:sz w:val="18"/>
                <w:szCs w:val="18"/>
              </w:rPr>
              <w:t>章，并在作废操作票首页</w:t>
            </w:r>
            <w:r>
              <w:rPr>
                <w:rFonts w:ascii="宋体" w:hAnsi="宋体"/>
                <w:sz w:val="18"/>
                <w:szCs w:val="18"/>
              </w:rPr>
              <w:t>“</w:t>
            </w:r>
            <w:r>
              <w:rPr>
                <w:rFonts w:hint="eastAsia" w:ascii="宋体" w:hAnsi="宋体"/>
                <w:sz w:val="18"/>
                <w:szCs w:val="18"/>
              </w:rPr>
              <w:t>备注</w:t>
            </w:r>
            <w:r>
              <w:rPr>
                <w:rFonts w:ascii="宋体" w:hAnsi="宋体"/>
                <w:sz w:val="18"/>
                <w:szCs w:val="18"/>
              </w:rPr>
              <w:t>”</w:t>
            </w:r>
            <w:r>
              <w:rPr>
                <w:rFonts w:hint="eastAsia" w:ascii="宋体" w:hAnsi="宋体"/>
                <w:sz w:val="18"/>
                <w:szCs w:val="18"/>
              </w:rPr>
              <w:t>栏内注明作废原因。</w:t>
            </w:r>
          </w:p>
          <w:p w14:paraId="1CA9C7FF">
            <w:pPr>
              <w:adjustRightInd w:val="0"/>
              <w:snapToGrid w:val="0"/>
              <w:rPr>
                <w:rFonts w:ascii="宋体" w:hAnsi="宋体"/>
                <w:sz w:val="18"/>
                <w:szCs w:val="18"/>
              </w:rPr>
            </w:pPr>
            <w:r>
              <w:rPr>
                <w:rFonts w:hint="eastAsia" w:ascii="宋体" w:hAnsi="宋体"/>
                <w:sz w:val="18"/>
                <w:szCs w:val="18"/>
                <w:lang w:val="en-US" w:eastAsia="zh-CN"/>
              </w:rPr>
              <w:t>c</w:t>
            </w:r>
            <w:r>
              <w:rPr>
                <w:rFonts w:hint="eastAsia" w:ascii="宋体" w:hAnsi="宋体"/>
                <w:sz w:val="18"/>
                <w:szCs w:val="18"/>
              </w:rPr>
              <w:t>）巡视检查应符合下列要求：</w:t>
            </w:r>
          </w:p>
          <w:p w14:paraId="500B26EA">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）有专人值班的变配电室每班应至少巡视检查</w:t>
            </w:r>
            <w:r>
              <w:rPr>
                <w:rFonts w:ascii="宋体" w:hAnsi="宋体"/>
                <w:sz w:val="18"/>
                <w:szCs w:val="18"/>
              </w:rPr>
              <w:t>1</w:t>
            </w:r>
            <w:r>
              <w:rPr>
                <w:rFonts w:hint="eastAsia" w:ascii="宋体" w:hAnsi="宋体"/>
                <w:sz w:val="18"/>
                <w:szCs w:val="18"/>
              </w:rPr>
              <w:t>次；</w:t>
            </w:r>
          </w:p>
          <w:p w14:paraId="71F4698A">
            <w:pPr>
              <w:keepNext w:val="0"/>
              <w:keepLines w:val="0"/>
              <w:pageBreakBefore w:val="0"/>
              <w:widowControl w:val="0"/>
              <w:kinsoku/>
              <w:wordWrap/>
              <w:overflowPunct/>
              <w:topLinePunct w:val="0"/>
              <w:autoSpaceDE/>
              <w:autoSpaceDN/>
              <w:bidi w:val="0"/>
              <w:adjustRightInd w:val="0"/>
              <w:snapToGrid w:val="0"/>
              <w:ind w:firstLine="180" w:firstLineChars="100"/>
              <w:textAlignment w:val="auto"/>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）无专人值班的变配电室应根据电气运行环境、电气设备运行工况、负载等具体情况安排巡视检查，每周至少</w:t>
            </w:r>
            <w:r>
              <w:rPr>
                <w:rFonts w:ascii="宋体" w:hAnsi="宋体"/>
                <w:sz w:val="18"/>
                <w:szCs w:val="18"/>
              </w:rPr>
              <w:t>1</w:t>
            </w:r>
            <w:r>
              <w:rPr>
                <w:rFonts w:hint="eastAsia" w:ascii="宋体" w:hAnsi="宋体"/>
                <w:sz w:val="18"/>
                <w:szCs w:val="18"/>
              </w:rPr>
              <w:t>次。</w:t>
            </w:r>
          </w:p>
        </w:tc>
        <w:tc>
          <w:tcPr>
            <w:tcW w:w="633" w:type="dxa"/>
            <w:noWrap w:val="0"/>
            <w:vAlign w:val="center"/>
          </w:tcPr>
          <w:p w14:paraId="1145D776">
            <w:pPr>
              <w:numPr>
                <w:ilvl w:val="3"/>
                <w:numId w:val="0"/>
              </w:numPr>
              <w:adjustRightInd w:val="0"/>
              <w:snapToGrid w:val="0"/>
              <w:jc w:val="center"/>
              <w:rPr>
                <w:rFonts w:ascii="宋体" w:hAnsi="宋体"/>
                <w:sz w:val="18"/>
                <w:szCs w:val="18"/>
              </w:rPr>
            </w:pPr>
          </w:p>
        </w:tc>
        <w:tc>
          <w:tcPr>
            <w:tcW w:w="633" w:type="dxa"/>
            <w:noWrap w:val="0"/>
            <w:vAlign w:val="center"/>
          </w:tcPr>
          <w:p w14:paraId="0C0452C7">
            <w:pPr>
              <w:numPr>
                <w:ilvl w:val="3"/>
                <w:numId w:val="0"/>
              </w:numPr>
              <w:adjustRightInd w:val="0"/>
              <w:snapToGrid w:val="0"/>
              <w:jc w:val="center"/>
              <w:rPr>
                <w:rFonts w:ascii="宋体" w:hAnsi="宋体"/>
                <w:sz w:val="18"/>
                <w:szCs w:val="18"/>
              </w:rPr>
            </w:pPr>
          </w:p>
        </w:tc>
        <w:tc>
          <w:tcPr>
            <w:tcW w:w="602" w:type="dxa"/>
            <w:noWrap w:val="0"/>
            <w:vAlign w:val="center"/>
          </w:tcPr>
          <w:p w14:paraId="68990265">
            <w:pPr>
              <w:jc w:val="center"/>
              <w:rPr>
                <w:rFonts w:hint="eastAsia" w:ascii="宋体" w:hAnsi="宋体" w:eastAsia="宋体"/>
                <w:sz w:val="18"/>
                <w:szCs w:val="18"/>
                <w:lang w:eastAsia="zh-CN"/>
              </w:rPr>
            </w:pPr>
            <w:r>
              <w:rPr>
                <w:rFonts w:hint="eastAsia" w:ascii="宋体" w:hAnsi="宋体"/>
                <w:sz w:val="18"/>
                <w:szCs w:val="18"/>
                <w:lang w:val="en-US" w:eastAsia="zh-CN"/>
              </w:rPr>
              <w:t>5</w:t>
            </w:r>
          </w:p>
        </w:tc>
        <w:tc>
          <w:tcPr>
            <w:tcW w:w="2113" w:type="dxa"/>
            <w:noWrap w:val="0"/>
            <w:vAlign w:val="center"/>
          </w:tcPr>
          <w:p w14:paraId="516FEB64">
            <w:pPr>
              <w:numPr>
                <w:ilvl w:val="3"/>
                <w:numId w:val="0"/>
              </w:numPr>
              <w:adjustRightInd w:val="0"/>
              <w:snapToGrid w:val="0"/>
              <w:jc w:val="left"/>
              <w:rPr>
                <w:rFonts w:ascii="宋体" w:hAnsi="宋体"/>
                <w:sz w:val="18"/>
                <w:szCs w:val="18"/>
              </w:rPr>
            </w:pPr>
            <w:r>
              <w:rPr>
                <w:rFonts w:hint="eastAsia" w:ascii="宋体" w:hAnsi="宋体"/>
                <w:sz w:val="18"/>
                <w:szCs w:val="18"/>
              </w:rPr>
              <w:t>1）</w:t>
            </w:r>
            <w:r>
              <w:rPr>
                <w:rFonts w:ascii="宋体" w:hAnsi="宋体"/>
                <w:sz w:val="18"/>
                <w:szCs w:val="18"/>
              </w:rPr>
              <w:t>无工作票</w:t>
            </w:r>
            <w:r>
              <w:rPr>
                <w:rFonts w:hint="eastAsia" w:ascii="宋体" w:hAnsi="宋体"/>
                <w:sz w:val="18"/>
                <w:szCs w:val="18"/>
                <w:lang w:eastAsia="zh-CN"/>
              </w:rPr>
              <w:t>、</w:t>
            </w:r>
            <w:r>
              <w:rPr>
                <w:rFonts w:hint="eastAsia" w:ascii="宋体" w:hAnsi="宋体"/>
                <w:sz w:val="18"/>
                <w:szCs w:val="18"/>
                <w:lang w:val="en-US" w:eastAsia="zh-CN"/>
              </w:rPr>
              <w:t>操作票</w:t>
            </w:r>
            <w:r>
              <w:rPr>
                <w:rFonts w:ascii="宋体" w:hAnsi="宋体"/>
                <w:sz w:val="18"/>
                <w:szCs w:val="18"/>
              </w:rPr>
              <w:t>的，</w:t>
            </w:r>
            <w:r>
              <w:rPr>
                <w:rFonts w:hint="eastAsia" w:ascii="宋体" w:hAnsi="宋体"/>
                <w:sz w:val="18"/>
                <w:szCs w:val="18"/>
                <w:lang w:val="en-US" w:eastAsia="zh-CN"/>
              </w:rPr>
              <w:t>不得分</w:t>
            </w:r>
            <w:r>
              <w:rPr>
                <w:rFonts w:ascii="宋体" w:hAnsi="宋体"/>
                <w:sz w:val="18"/>
                <w:szCs w:val="18"/>
              </w:rPr>
              <w:t>；</w:t>
            </w:r>
          </w:p>
          <w:p w14:paraId="29E837D7">
            <w:pPr>
              <w:numPr>
                <w:ilvl w:val="3"/>
                <w:numId w:val="0"/>
              </w:numPr>
              <w:adjustRightInd w:val="0"/>
              <w:snapToGrid w:val="0"/>
              <w:jc w:val="left"/>
              <w:rPr>
                <w:rFonts w:ascii="宋体" w:hAnsi="宋体"/>
                <w:bCs/>
                <w:sz w:val="18"/>
                <w:szCs w:val="18"/>
              </w:rPr>
            </w:pPr>
            <w:r>
              <w:rPr>
                <w:rFonts w:hint="eastAsia" w:ascii="宋体" w:hAnsi="宋体"/>
                <w:sz w:val="18"/>
                <w:szCs w:val="18"/>
              </w:rPr>
              <w:t>2）</w:t>
            </w:r>
            <w:r>
              <w:rPr>
                <w:rFonts w:hint="eastAsia" w:ascii="宋体" w:hAnsi="宋体"/>
                <w:sz w:val="18"/>
                <w:szCs w:val="18"/>
                <w:lang w:val="en-US" w:eastAsia="zh-CN"/>
              </w:rPr>
              <w:t>其他</w:t>
            </w:r>
            <w:r>
              <w:rPr>
                <w:rFonts w:hint="eastAsia" w:ascii="宋体" w:hAnsi="宋体"/>
                <w:sz w:val="18"/>
                <w:szCs w:val="18"/>
              </w:rPr>
              <w:t>一</w:t>
            </w:r>
            <w:r>
              <w:rPr>
                <w:rFonts w:ascii="宋体" w:hAnsi="宋体"/>
                <w:sz w:val="18"/>
                <w:szCs w:val="18"/>
              </w:rPr>
              <w:t>处不符合要求的，扣</w:t>
            </w:r>
            <w:r>
              <w:rPr>
                <w:rFonts w:hint="eastAsia" w:ascii="宋体" w:hAnsi="宋体"/>
                <w:sz w:val="18"/>
                <w:szCs w:val="18"/>
                <w:lang w:val="en-US" w:eastAsia="zh-CN"/>
              </w:rPr>
              <w:t>2</w:t>
            </w:r>
            <w:r>
              <w:rPr>
                <w:rFonts w:ascii="宋体" w:hAnsi="宋体"/>
                <w:sz w:val="18"/>
                <w:szCs w:val="18"/>
              </w:rPr>
              <w:t>分</w:t>
            </w:r>
            <w:r>
              <w:rPr>
                <w:rFonts w:hint="eastAsia" w:ascii="宋体" w:hAnsi="宋体"/>
                <w:sz w:val="18"/>
                <w:szCs w:val="18"/>
              </w:rPr>
              <w:t>。</w:t>
            </w:r>
          </w:p>
        </w:tc>
        <w:tc>
          <w:tcPr>
            <w:tcW w:w="633" w:type="dxa"/>
            <w:noWrap w:val="0"/>
            <w:vAlign w:val="center"/>
          </w:tcPr>
          <w:p w14:paraId="1165FD87">
            <w:pPr>
              <w:widowControl/>
              <w:jc w:val="center"/>
              <w:rPr>
                <w:rFonts w:ascii="宋体" w:hAnsi="宋体"/>
                <w:bCs/>
                <w:sz w:val="18"/>
                <w:szCs w:val="18"/>
              </w:rPr>
            </w:pPr>
          </w:p>
        </w:tc>
        <w:tc>
          <w:tcPr>
            <w:tcW w:w="1799" w:type="dxa"/>
            <w:noWrap w:val="0"/>
            <w:vAlign w:val="center"/>
          </w:tcPr>
          <w:p w14:paraId="30476ACD">
            <w:pPr>
              <w:widowControl/>
              <w:jc w:val="center"/>
              <w:rPr>
                <w:rFonts w:ascii="宋体" w:hAnsi="宋体"/>
                <w:bCs/>
                <w:sz w:val="18"/>
                <w:szCs w:val="18"/>
              </w:rPr>
            </w:pPr>
          </w:p>
        </w:tc>
        <w:tc>
          <w:tcPr>
            <w:tcW w:w="1139" w:type="dxa"/>
            <w:noWrap w:val="0"/>
            <w:vAlign w:val="center"/>
          </w:tcPr>
          <w:p w14:paraId="6D85CF9E">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r w14:paraId="39F55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tblHeader/>
        </w:trPr>
        <w:tc>
          <w:tcPr>
            <w:tcW w:w="941" w:type="dxa"/>
            <w:noWrap w:val="0"/>
            <w:vAlign w:val="center"/>
          </w:tcPr>
          <w:p w14:paraId="3FC2025A">
            <w:pPr>
              <w:widowControl/>
              <w:jc w:val="center"/>
              <w:rPr>
                <w:rFonts w:ascii="宋体" w:hAnsi="宋体"/>
                <w:bCs/>
                <w:sz w:val="18"/>
                <w:szCs w:val="18"/>
              </w:rPr>
            </w:pPr>
            <w:r>
              <w:rPr>
                <w:rFonts w:hint="eastAsia" w:ascii="宋体" w:hAnsi="宋体"/>
                <w:sz w:val="18"/>
                <w:szCs w:val="18"/>
              </w:rPr>
              <w:t>6.1.4</w:t>
            </w:r>
          </w:p>
        </w:tc>
        <w:tc>
          <w:tcPr>
            <w:tcW w:w="6860" w:type="dxa"/>
            <w:noWrap w:val="0"/>
            <w:vAlign w:val="center"/>
          </w:tcPr>
          <w:p w14:paraId="0612896E">
            <w:pPr>
              <w:snapToGrid w:val="0"/>
              <w:spacing w:line="240" w:lineRule="exact"/>
              <w:jc w:val="left"/>
              <w:rPr>
                <w:rFonts w:hint="eastAsia" w:ascii="宋体" w:hAnsi="宋体"/>
                <w:sz w:val="18"/>
                <w:szCs w:val="18"/>
              </w:rPr>
            </w:pPr>
            <w:r>
              <w:rPr>
                <w:rFonts w:hint="eastAsia" w:ascii="宋体" w:hAnsi="宋体"/>
                <w:sz w:val="18"/>
                <w:szCs w:val="18"/>
              </w:rPr>
              <w:t>人员要求</w:t>
            </w:r>
          </w:p>
        </w:tc>
        <w:tc>
          <w:tcPr>
            <w:tcW w:w="633" w:type="dxa"/>
            <w:noWrap w:val="0"/>
            <w:vAlign w:val="center"/>
          </w:tcPr>
          <w:p w14:paraId="6485D81D">
            <w:pPr>
              <w:numPr>
                <w:ilvl w:val="3"/>
                <w:numId w:val="0"/>
              </w:numPr>
              <w:adjustRightInd w:val="0"/>
              <w:snapToGrid w:val="0"/>
              <w:jc w:val="center"/>
              <w:rPr>
                <w:rFonts w:ascii="宋体" w:hAnsi="宋体"/>
                <w:sz w:val="18"/>
                <w:szCs w:val="18"/>
              </w:rPr>
            </w:pPr>
          </w:p>
        </w:tc>
        <w:tc>
          <w:tcPr>
            <w:tcW w:w="633" w:type="dxa"/>
            <w:noWrap w:val="0"/>
            <w:vAlign w:val="center"/>
          </w:tcPr>
          <w:p w14:paraId="7CEC2059">
            <w:pPr>
              <w:numPr>
                <w:ilvl w:val="3"/>
                <w:numId w:val="0"/>
              </w:numPr>
              <w:adjustRightInd w:val="0"/>
              <w:snapToGrid w:val="0"/>
              <w:jc w:val="center"/>
              <w:rPr>
                <w:rFonts w:ascii="宋体" w:hAnsi="宋体"/>
                <w:sz w:val="18"/>
                <w:szCs w:val="18"/>
              </w:rPr>
            </w:pPr>
          </w:p>
        </w:tc>
        <w:tc>
          <w:tcPr>
            <w:tcW w:w="602" w:type="dxa"/>
            <w:noWrap w:val="0"/>
            <w:vAlign w:val="center"/>
          </w:tcPr>
          <w:p w14:paraId="5FF086EF">
            <w:pPr>
              <w:widowControl/>
              <w:jc w:val="center"/>
              <w:rPr>
                <w:rFonts w:ascii="宋体" w:hAnsi="宋体"/>
                <w:bCs/>
                <w:sz w:val="18"/>
                <w:szCs w:val="18"/>
              </w:rPr>
            </w:pPr>
          </w:p>
        </w:tc>
        <w:tc>
          <w:tcPr>
            <w:tcW w:w="2113" w:type="dxa"/>
            <w:noWrap w:val="0"/>
            <w:vAlign w:val="center"/>
          </w:tcPr>
          <w:p w14:paraId="4DF4A297">
            <w:pPr>
              <w:numPr>
                <w:ilvl w:val="3"/>
                <w:numId w:val="0"/>
              </w:numPr>
              <w:adjustRightInd w:val="0"/>
              <w:snapToGrid w:val="0"/>
              <w:jc w:val="left"/>
              <w:rPr>
                <w:rFonts w:hint="eastAsia" w:ascii="宋体" w:hAnsi="宋体"/>
                <w:sz w:val="18"/>
                <w:szCs w:val="18"/>
              </w:rPr>
            </w:pPr>
          </w:p>
        </w:tc>
        <w:tc>
          <w:tcPr>
            <w:tcW w:w="633" w:type="dxa"/>
            <w:noWrap w:val="0"/>
            <w:vAlign w:val="center"/>
          </w:tcPr>
          <w:p w14:paraId="133D1678">
            <w:pPr>
              <w:widowControl/>
              <w:jc w:val="center"/>
              <w:rPr>
                <w:rFonts w:ascii="宋体" w:hAnsi="宋体"/>
                <w:bCs/>
                <w:sz w:val="18"/>
                <w:szCs w:val="18"/>
              </w:rPr>
            </w:pPr>
          </w:p>
        </w:tc>
        <w:tc>
          <w:tcPr>
            <w:tcW w:w="1799" w:type="dxa"/>
            <w:noWrap w:val="0"/>
            <w:vAlign w:val="center"/>
          </w:tcPr>
          <w:p w14:paraId="6257B252">
            <w:pPr>
              <w:widowControl/>
              <w:jc w:val="center"/>
              <w:rPr>
                <w:rFonts w:ascii="宋体" w:hAnsi="宋体"/>
                <w:bCs/>
                <w:sz w:val="18"/>
                <w:szCs w:val="18"/>
              </w:rPr>
            </w:pPr>
          </w:p>
        </w:tc>
        <w:tc>
          <w:tcPr>
            <w:tcW w:w="1139" w:type="dxa"/>
            <w:noWrap w:val="0"/>
            <w:vAlign w:val="center"/>
          </w:tcPr>
          <w:p w14:paraId="23614144">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r w14:paraId="4ADFA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tblHeader/>
        </w:trPr>
        <w:tc>
          <w:tcPr>
            <w:tcW w:w="941" w:type="dxa"/>
            <w:noWrap w:val="0"/>
            <w:vAlign w:val="center"/>
          </w:tcPr>
          <w:p w14:paraId="13F8A353">
            <w:pPr>
              <w:jc w:val="center"/>
              <w:rPr>
                <w:rFonts w:hint="eastAsia" w:ascii="宋体" w:hAnsi="宋体"/>
                <w:sz w:val="18"/>
                <w:szCs w:val="18"/>
              </w:rPr>
            </w:pPr>
            <w:r>
              <w:rPr>
                <w:rFonts w:hint="eastAsia" w:ascii="宋体" w:hAnsi="宋体"/>
                <w:sz w:val="18"/>
                <w:szCs w:val="18"/>
              </w:rPr>
              <w:t>6.1.4.1</w:t>
            </w:r>
          </w:p>
        </w:tc>
        <w:tc>
          <w:tcPr>
            <w:tcW w:w="6860" w:type="dxa"/>
            <w:noWrap w:val="0"/>
            <w:vAlign w:val="center"/>
          </w:tcPr>
          <w:p w14:paraId="78DDF7C0">
            <w:pPr>
              <w:snapToGrid w:val="0"/>
              <w:spacing w:line="240" w:lineRule="exact"/>
              <w:jc w:val="left"/>
              <w:rPr>
                <w:rFonts w:hint="eastAsia" w:ascii="宋体" w:hAnsi="宋体"/>
                <w:sz w:val="18"/>
                <w:szCs w:val="18"/>
                <w:lang w:val="en-US" w:eastAsia="zh-CN"/>
              </w:rPr>
            </w:pPr>
            <w:r>
              <w:rPr>
                <w:rFonts w:hint="eastAsia" w:ascii="宋体" w:hAnsi="宋体"/>
                <w:sz w:val="18"/>
                <w:szCs w:val="18"/>
                <w:lang w:val="en-US" w:eastAsia="zh-CN"/>
              </w:rPr>
              <w:t>人员要求应符合下列要求：</w:t>
            </w:r>
          </w:p>
          <w:p w14:paraId="1705E41F">
            <w:pPr>
              <w:snapToGrid w:val="0"/>
              <w:spacing w:line="240" w:lineRule="exact"/>
              <w:jc w:val="left"/>
              <w:rPr>
                <w:rFonts w:hint="eastAsia" w:ascii="宋体" w:hAnsi="宋体"/>
                <w:sz w:val="18"/>
                <w:szCs w:val="18"/>
              </w:rPr>
            </w:pPr>
            <w:r>
              <w:rPr>
                <w:rFonts w:hint="eastAsia" w:ascii="宋体" w:hAnsi="宋体"/>
                <w:sz w:val="18"/>
                <w:szCs w:val="18"/>
              </w:rPr>
              <w:t>★</w:t>
            </w:r>
            <w:r>
              <w:rPr>
                <w:rFonts w:ascii="宋体" w:hAnsi="宋体"/>
                <w:sz w:val="18"/>
                <w:szCs w:val="18"/>
              </w:rPr>
              <w:t>a</w:t>
            </w:r>
            <w:r>
              <w:rPr>
                <w:rFonts w:hint="eastAsia" w:ascii="宋体" w:hAnsi="宋体"/>
                <w:sz w:val="18"/>
                <w:szCs w:val="18"/>
              </w:rPr>
              <w:t>）电工岗位人员应取得合格有效的电工作业操作资格，操作证原件由电工人员上岗时随身携带或由</w:t>
            </w:r>
            <w:r>
              <w:rPr>
                <w:rFonts w:hint="eastAsia" w:ascii="宋体" w:hAnsi="宋体"/>
                <w:sz w:val="18"/>
                <w:szCs w:val="18"/>
                <w:lang w:eastAsia="zh-CN"/>
              </w:rPr>
              <w:t>景区</w:t>
            </w:r>
            <w:r>
              <w:rPr>
                <w:rFonts w:hint="eastAsia" w:ascii="宋体" w:hAnsi="宋体"/>
                <w:sz w:val="18"/>
                <w:szCs w:val="18"/>
              </w:rPr>
              <w:t>统一进行管理</w:t>
            </w:r>
            <w:r>
              <w:rPr>
                <w:rFonts w:hint="eastAsia" w:ascii="宋体" w:hAnsi="宋体"/>
                <w:sz w:val="18"/>
                <w:szCs w:val="18"/>
                <w:lang w:eastAsia="zh-CN"/>
              </w:rPr>
              <w:t>；</w:t>
            </w:r>
          </w:p>
        </w:tc>
        <w:tc>
          <w:tcPr>
            <w:tcW w:w="633" w:type="dxa"/>
            <w:noWrap w:val="0"/>
            <w:vAlign w:val="center"/>
          </w:tcPr>
          <w:p w14:paraId="7FB42FD3">
            <w:pPr>
              <w:adjustRightInd w:val="0"/>
              <w:snapToGrid w:val="0"/>
              <w:jc w:val="center"/>
              <w:rPr>
                <w:rFonts w:hint="eastAsia" w:ascii="宋体" w:hAnsi="宋体"/>
                <w:bCs/>
                <w:sz w:val="18"/>
                <w:szCs w:val="18"/>
              </w:rPr>
            </w:pPr>
          </w:p>
        </w:tc>
        <w:tc>
          <w:tcPr>
            <w:tcW w:w="633" w:type="dxa"/>
            <w:noWrap w:val="0"/>
            <w:vAlign w:val="center"/>
          </w:tcPr>
          <w:p w14:paraId="74864B91">
            <w:pPr>
              <w:adjustRightInd w:val="0"/>
              <w:snapToGrid w:val="0"/>
              <w:jc w:val="center"/>
              <w:rPr>
                <w:rFonts w:hint="eastAsia" w:ascii="宋体" w:hAnsi="宋体"/>
                <w:bCs/>
                <w:sz w:val="18"/>
                <w:szCs w:val="18"/>
              </w:rPr>
            </w:pPr>
          </w:p>
        </w:tc>
        <w:tc>
          <w:tcPr>
            <w:tcW w:w="602" w:type="dxa"/>
            <w:noWrap w:val="0"/>
            <w:vAlign w:val="center"/>
          </w:tcPr>
          <w:p w14:paraId="1CEE1E8C">
            <w:pPr>
              <w:jc w:val="center"/>
              <w:rPr>
                <w:rFonts w:hint="eastAsia" w:ascii="宋体" w:hAnsi="宋体" w:eastAsia="宋体"/>
                <w:sz w:val="18"/>
                <w:szCs w:val="18"/>
                <w:lang w:eastAsia="zh-CN"/>
              </w:rPr>
            </w:pPr>
            <w:r>
              <w:rPr>
                <w:rFonts w:hint="eastAsia" w:ascii="宋体" w:hAnsi="宋体"/>
                <w:sz w:val="18"/>
                <w:szCs w:val="18"/>
                <w:lang w:val="en-US" w:eastAsia="zh-CN"/>
              </w:rPr>
              <w:t>5</w:t>
            </w:r>
          </w:p>
        </w:tc>
        <w:tc>
          <w:tcPr>
            <w:tcW w:w="2113" w:type="dxa"/>
            <w:noWrap w:val="0"/>
            <w:vAlign w:val="center"/>
          </w:tcPr>
          <w:p w14:paraId="15CC592C">
            <w:pPr>
              <w:numPr>
                <w:ilvl w:val="3"/>
                <w:numId w:val="0"/>
              </w:numPr>
              <w:adjustRightInd w:val="0"/>
              <w:snapToGrid w:val="0"/>
              <w:jc w:val="left"/>
              <w:rPr>
                <w:rFonts w:ascii="宋体" w:hAnsi="宋体"/>
                <w:sz w:val="18"/>
                <w:szCs w:val="18"/>
              </w:rPr>
            </w:pPr>
            <w:r>
              <w:rPr>
                <w:rFonts w:ascii="宋体" w:hAnsi="宋体"/>
                <w:sz w:val="18"/>
                <w:szCs w:val="18"/>
              </w:rPr>
              <w:t>1</w:t>
            </w:r>
            <w:r>
              <w:rPr>
                <w:rFonts w:hint="eastAsia" w:ascii="宋体" w:hAnsi="宋体"/>
                <w:sz w:val="18"/>
                <w:szCs w:val="18"/>
              </w:rPr>
              <w:t>）</w:t>
            </w:r>
            <w:r>
              <w:rPr>
                <w:rFonts w:hint="eastAsia" w:ascii="宋体" w:hAnsi="宋体"/>
                <w:sz w:val="18"/>
                <w:szCs w:val="18"/>
                <w:lang w:val="en-US" w:eastAsia="zh-CN"/>
              </w:rPr>
              <w:t>电工有</w:t>
            </w:r>
            <w:r>
              <w:rPr>
                <w:rFonts w:ascii="宋体" w:hAnsi="宋体"/>
                <w:sz w:val="18"/>
                <w:szCs w:val="18"/>
              </w:rPr>
              <w:t>未持合格有效证件的，</w:t>
            </w:r>
            <w:r>
              <w:rPr>
                <w:rFonts w:hint="eastAsia" w:ascii="宋体" w:hAnsi="宋体"/>
                <w:sz w:val="18"/>
                <w:szCs w:val="18"/>
                <w:lang w:eastAsia="zh-CN"/>
              </w:rPr>
              <w:t>“</w:t>
            </w:r>
            <w:r>
              <w:rPr>
                <w:rFonts w:hint="eastAsia" w:ascii="宋体" w:hAnsi="宋体"/>
                <w:sz w:val="18"/>
                <w:szCs w:val="18"/>
                <w:lang w:val="en-US" w:eastAsia="zh-CN"/>
              </w:rPr>
              <w:t>用电要素</w:t>
            </w:r>
            <w:r>
              <w:rPr>
                <w:rFonts w:hint="eastAsia" w:ascii="宋体" w:hAnsi="宋体"/>
                <w:sz w:val="18"/>
                <w:szCs w:val="18"/>
                <w:lang w:eastAsia="zh-CN"/>
              </w:rPr>
              <w:t>”</w:t>
            </w:r>
            <w:r>
              <w:rPr>
                <w:rFonts w:hint="eastAsia" w:ascii="宋体" w:hAnsi="宋体"/>
                <w:sz w:val="18"/>
                <w:szCs w:val="18"/>
                <w:lang w:val="en-US" w:eastAsia="zh-CN"/>
              </w:rPr>
              <w:t>不得分</w:t>
            </w:r>
            <w:r>
              <w:rPr>
                <w:rFonts w:ascii="宋体" w:hAnsi="宋体"/>
                <w:sz w:val="18"/>
                <w:szCs w:val="18"/>
              </w:rPr>
              <w:t>；</w:t>
            </w:r>
          </w:p>
        </w:tc>
        <w:tc>
          <w:tcPr>
            <w:tcW w:w="633" w:type="dxa"/>
            <w:noWrap w:val="0"/>
            <w:vAlign w:val="center"/>
          </w:tcPr>
          <w:p w14:paraId="1DEDF6DF">
            <w:pPr>
              <w:widowControl/>
              <w:jc w:val="center"/>
              <w:rPr>
                <w:rFonts w:ascii="宋体" w:hAnsi="宋体"/>
                <w:bCs/>
                <w:sz w:val="18"/>
                <w:szCs w:val="18"/>
              </w:rPr>
            </w:pPr>
          </w:p>
        </w:tc>
        <w:tc>
          <w:tcPr>
            <w:tcW w:w="1799" w:type="dxa"/>
            <w:noWrap w:val="0"/>
            <w:vAlign w:val="center"/>
          </w:tcPr>
          <w:p w14:paraId="41CBA2FB">
            <w:pPr>
              <w:widowControl/>
              <w:jc w:val="center"/>
              <w:rPr>
                <w:rFonts w:ascii="宋体" w:hAnsi="宋体"/>
                <w:bCs/>
                <w:sz w:val="18"/>
                <w:szCs w:val="18"/>
              </w:rPr>
            </w:pPr>
          </w:p>
        </w:tc>
        <w:tc>
          <w:tcPr>
            <w:tcW w:w="1139" w:type="dxa"/>
            <w:noWrap w:val="0"/>
            <w:vAlign w:val="center"/>
          </w:tcPr>
          <w:p w14:paraId="186A7A33">
            <w:pPr>
              <w:widowControl/>
              <w:jc w:val="center"/>
              <w:rPr>
                <w:rFonts w:ascii="宋体" w:hAnsi="宋体"/>
                <w:bCs/>
                <w:sz w:val="18"/>
                <w:szCs w:val="18"/>
              </w:rPr>
            </w:pPr>
            <w:r>
              <w:rPr>
                <w:rFonts w:hint="eastAsia" w:ascii="宋体" w:hAnsi="宋体"/>
                <w:sz w:val="18"/>
                <w:szCs w:val="18"/>
                <w:lang w:eastAsia="zh-CN"/>
              </w:rPr>
              <w:t>4.6</w:t>
            </w:r>
            <w:r>
              <w:rPr>
                <w:rFonts w:ascii="宋体" w:hAnsi="宋体"/>
                <w:sz w:val="18"/>
                <w:szCs w:val="18"/>
              </w:rPr>
              <w:t>.1</w:t>
            </w:r>
          </w:p>
        </w:tc>
      </w:tr>
    </w:tbl>
    <w:p w14:paraId="590263EE">
      <w:pPr>
        <w:pStyle w:val="168"/>
        <w:numPr>
          <w:ilvl w:val="1"/>
          <w:numId w:val="0"/>
        </w:numPr>
        <w:spacing w:before="156" w:after="156"/>
        <w:ind w:left="6237" w:leftChars="0" w:hanging="567" w:firstLineChars="0"/>
        <w:jc w:val="both"/>
        <w:rPr>
          <w:rFonts w:hint="eastAsia" w:ascii="黑体" w:hAnsi="Times New Roman" w:eastAsia="黑体" w:cs="Times New Roman"/>
          <w:kern w:val="2"/>
          <w:sz w:val="21"/>
          <w:szCs w:val="21"/>
          <w:lang w:val="en-US" w:eastAsia="zh-CN" w:bidi="ar-SA"/>
        </w:rPr>
      </w:pPr>
    </w:p>
    <w:p w14:paraId="066D08D6">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1"/>
        <w:gridCol w:w="6860"/>
        <w:gridCol w:w="633"/>
        <w:gridCol w:w="633"/>
        <w:gridCol w:w="602"/>
        <w:gridCol w:w="2113"/>
        <w:gridCol w:w="633"/>
        <w:gridCol w:w="1799"/>
        <w:gridCol w:w="1139"/>
      </w:tblGrid>
      <w:tr w14:paraId="1BF52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41" w:type="dxa"/>
            <w:noWrap w:val="0"/>
            <w:vAlign w:val="center"/>
          </w:tcPr>
          <w:p w14:paraId="59239717">
            <w:pPr>
              <w:adjustRightInd w:val="0"/>
              <w:snapToGrid w:val="0"/>
              <w:jc w:val="center"/>
              <w:rPr>
                <w:rFonts w:ascii="宋体" w:hAnsi="宋体"/>
                <w:bCs/>
                <w:sz w:val="18"/>
                <w:szCs w:val="18"/>
              </w:rPr>
            </w:pPr>
            <w:r>
              <w:rPr>
                <w:rFonts w:ascii="宋体" w:hAnsi="宋体"/>
                <w:bCs/>
                <w:sz w:val="18"/>
                <w:szCs w:val="18"/>
              </w:rPr>
              <w:t>序号</w:t>
            </w:r>
          </w:p>
        </w:tc>
        <w:tc>
          <w:tcPr>
            <w:tcW w:w="6860" w:type="dxa"/>
            <w:noWrap w:val="0"/>
            <w:vAlign w:val="center"/>
          </w:tcPr>
          <w:p w14:paraId="71C56B6C">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63F240C3">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71AC14C5">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00941386">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3" w:type="dxa"/>
            <w:noWrap w:val="0"/>
            <w:vAlign w:val="center"/>
          </w:tcPr>
          <w:p w14:paraId="7C4FD9B1">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3B619ADD">
            <w:pPr>
              <w:adjustRightInd w:val="0"/>
              <w:snapToGrid w:val="0"/>
              <w:jc w:val="center"/>
              <w:rPr>
                <w:rFonts w:ascii="宋体" w:hAnsi="宋体"/>
                <w:bCs/>
                <w:sz w:val="18"/>
                <w:szCs w:val="18"/>
              </w:rPr>
            </w:pPr>
            <w:r>
              <w:rPr>
                <w:rFonts w:hint="eastAsia" w:ascii="宋体" w:hAnsi="宋体"/>
                <w:bCs/>
                <w:sz w:val="18"/>
                <w:szCs w:val="18"/>
              </w:rPr>
              <w:t>评定得分</w:t>
            </w:r>
          </w:p>
        </w:tc>
        <w:tc>
          <w:tcPr>
            <w:tcW w:w="1799" w:type="dxa"/>
            <w:noWrap w:val="0"/>
            <w:vAlign w:val="center"/>
          </w:tcPr>
          <w:p w14:paraId="2FA6085B">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12469700">
            <w:pPr>
              <w:adjustRightInd w:val="0"/>
              <w:snapToGrid w:val="0"/>
              <w:jc w:val="center"/>
              <w:rPr>
                <w:rFonts w:ascii="宋体" w:hAnsi="宋体"/>
                <w:bCs/>
                <w:sz w:val="18"/>
                <w:szCs w:val="18"/>
              </w:rPr>
            </w:pPr>
            <w:r>
              <w:rPr>
                <w:rFonts w:ascii="宋体" w:hAnsi="宋体"/>
                <w:bCs/>
                <w:sz w:val="18"/>
                <w:szCs w:val="18"/>
              </w:rPr>
              <w:t>对应条款编号</w:t>
            </w:r>
          </w:p>
        </w:tc>
      </w:tr>
      <w:tr w14:paraId="702AD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tblHeader/>
        </w:trPr>
        <w:tc>
          <w:tcPr>
            <w:tcW w:w="941" w:type="dxa"/>
            <w:noWrap w:val="0"/>
            <w:vAlign w:val="center"/>
          </w:tcPr>
          <w:p w14:paraId="10064EAA">
            <w:pPr>
              <w:jc w:val="center"/>
              <w:rPr>
                <w:rFonts w:hint="eastAsia" w:ascii="宋体" w:hAnsi="宋体"/>
                <w:sz w:val="18"/>
                <w:szCs w:val="18"/>
              </w:rPr>
            </w:pPr>
          </w:p>
        </w:tc>
        <w:tc>
          <w:tcPr>
            <w:tcW w:w="6860" w:type="dxa"/>
            <w:vMerge w:val="restart"/>
            <w:noWrap w:val="0"/>
            <w:vAlign w:val="center"/>
          </w:tcPr>
          <w:p w14:paraId="28513D7A">
            <w:pPr>
              <w:adjustRightInd w:val="0"/>
              <w:snapToGrid w:val="0"/>
              <w:rPr>
                <w:rFonts w:ascii="宋体" w:hAnsi="宋体"/>
                <w:sz w:val="18"/>
                <w:szCs w:val="18"/>
              </w:rPr>
            </w:pPr>
            <w:r>
              <w:rPr>
                <w:rFonts w:hint="eastAsia" w:ascii="宋体" w:hAnsi="宋体"/>
                <w:sz w:val="18"/>
                <w:szCs w:val="18"/>
                <w:lang w:val="en-US" w:eastAsia="zh-CN"/>
              </w:rPr>
              <w:t>b</w:t>
            </w:r>
            <w:r>
              <w:rPr>
                <w:rFonts w:hint="eastAsia" w:ascii="宋体" w:hAnsi="宋体"/>
                <w:sz w:val="18"/>
                <w:szCs w:val="18"/>
              </w:rPr>
              <w:t>）值班人员的配置应符合下列要求：</w:t>
            </w:r>
          </w:p>
          <w:p w14:paraId="1930D5CF">
            <w:pPr>
              <w:adjustRightInd w:val="0"/>
              <w:snapToGrid w:val="0"/>
              <w:ind w:firstLine="360" w:firstLineChars="200"/>
              <w:rPr>
                <w:rFonts w:ascii="宋体" w:hAnsi="宋体"/>
                <w:sz w:val="18"/>
                <w:szCs w:val="18"/>
              </w:rPr>
            </w:pPr>
            <w:r>
              <w:rPr>
                <w:rFonts w:hint="eastAsia" w:ascii="宋体" w:hAnsi="宋体"/>
                <w:sz w:val="18"/>
                <w:szCs w:val="18"/>
                <w:lang w:val="en-US" w:eastAsia="zh-CN"/>
              </w:rPr>
              <w:t>1</w:t>
            </w:r>
            <w:r>
              <w:rPr>
                <w:rFonts w:hint="eastAsia" w:ascii="宋体" w:hAnsi="宋体"/>
                <w:sz w:val="18"/>
                <w:szCs w:val="18"/>
              </w:rPr>
              <w:t>）</w:t>
            </w:r>
            <w:r>
              <w:rPr>
                <w:rFonts w:ascii="宋体" w:hAnsi="宋体"/>
                <w:sz w:val="18"/>
                <w:szCs w:val="18"/>
              </w:rPr>
              <w:t>35</w:t>
            </w:r>
            <w:r>
              <w:rPr>
                <w:rFonts w:hint="eastAsia" w:ascii="宋体" w:hAnsi="宋体"/>
                <w:sz w:val="18"/>
                <w:szCs w:val="18"/>
              </w:rPr>
              <w:t xml:space="preserve"> </w:t>
            </w:r>
            <w:r>
              <w:rPr>
                <w:rFonts w:ascii="宋体" w:hAnsi="宋体"/>
                <w:sz w:val="18"/>
                <w:szCs w:val="18"/>
              </w:rPr>
              <w:t>kV</w:t>
            </w:r>
            <w:r>
              <w:rPr>
                <w:rFonts w:hint="eastAsia" w:ascii="宋体" w:hAnsi="宋体"/>
                <w:sz w:val="18"/>
                <w:szCs w:val="18"/>
              </w:rPr>
              <w:t>电压等级的变配电室，</w:t>
            </w:r>
            <w:r>
              <w:rPr>
                <w:rFonts w:ascii="宋体" w:hAnsi="宋体"/>
                <w:sz w:val="18"/>
                <w:szCs w:val="18"/>
              </w:rPr>
              <w:t>10/6</w:t>
            </w:r>
            <w:r>
              <w:rPr>
                <w:rFonts w:hint="eastAsia" w:ascii="宋体" w:hAnsi="宋体"/>
                <w:sz w:val="18"/>
                <w:szCs w:val="18"/>
              </w:rPr>
              <w:t xml:space="preserve"> </w:t>
            </w:r>
            <w:r>
              <w:rPr>
                <w:rFonts w:ascii="宋体" w:hAnsi="宋体"/>
                <w:sz w:val="18"/>
                <w:szCs w:val="18"/>
              </w:rPr>
              <w:t>kV</w:t>
            </w:r>
            <w:r>
              <w:rPr>
                <w:rFonts w:hint="eastAsia" w:ascii="宋体" w:hAnsi="宋体"/>
                <w:sz w:val="18"/>
                <w:szCs w:val="18"/>
              </w:rPr>
              <w:t>电压等级、变压器容量在</w:t>
            </w:r>
            <w:r>
              <w:rPr>
                <w:rFonts w:ascii="宋体" w:hAnsi="宋体"/>
                <w:sz w:val="18"/>
                <w:szCs w:val="18"/>
              </w:rPr>
              <w:t>630</w:t>
            </w:r>
            <w:r>
              <w:rPr>
                <w:rFonts w:hint="eastAsia" w:ascii="宋体" w:hAnsi="宋体"/>
                <w:sz w:val="18"/>
                <w:szCs w:val="18"/>
              </w:rPr>
              <w:t xml:space="preserve"> </w:t>
            </w:r>
            <w:r>
              <w:rPr>
                <w:rFonts w:ascii="宋体" w:hAnsi="宋体"/>
                <w:sz w:val="18"/>
                <w:szCs w:val="18"/>
              </w:rPr>
              <w:t>kVA</w:t>
            </w:r>
            <w:r>
              <w:rPr>
                <w:rFonts w:hint="eastAsia" w:ascii="宋体" w:hAnsi="宋体"/>
                <w:sz w:val="18"/>
                <w:szCs w:val="18"/>
              </w:rPr>
              <w:t>及以上的主变配电室，应安排专人值班，值班人员不少于</w:t>
            </w:r>
            <w:r>
              <w:rPr>
                <w:rFonts w:ascii="宋体" w:hAnsi="宋体"/>
                <w:sz w:val="18"/>
                <w:szCs w:val="18"/>
              </w:rPr>
              <w:t>2</w:t>
            </w:r>
            <w:r>
              <w:rPr>
                <w:rFonts w:hint="eastAsia" w:ascii="宋体" w:hAnsi="宋体"/>
                <w:sz w:val="18"/>
                <w:szCs w:val="18"/>
              </w:rPr>
              <w:t>人，且应明确其中</w:t>
            </w:r>
            <w:r>
              <w:rPr>
                <w:rFonts w:ascii="宋体" w:hAnsi="宋体"/>
                <w:sz w:val="18"/>
                <w:szCs w:val="18"/>
              </w:rPr>
              <w:t>1</w:t>
            </w:r>
            <w:r>
              <w:rPr>
                <w:rFonts w:hint="eastAsia" w:ascii="宋体" w:hAnsi="宋体"/>
                <w:sz w:val="18"/>
                <w:szCs w:val="18"/>
              </w:rPr>
              <w:t>人为值长；</w:t>
            </w:r>
          </w:p>
          <w:p w14:paraId="56A7F8E0">
            <w:pPr>
              <w:snapToGrid w:val="0"/>
              <w:spacing w:line="240" w:lineRule="atLeast"/>
              <w:ind w:firstLine="360" w:firstLineChars="200"/>
              <w:jc w:val="left"/>
              <w:rPr>
                <w:rFonts w:hint="eastAsia" w:ascii="宋体" w:hAnsi="宋体"/>
                <w:sz w:val="18"/>
                <w:szCs w:val="18"/>
                <w:lang w:eastAsia="zh-CN"/>
              </w:rPr>
            </w:pPr>
            <w:r>
              <w:rPr>
                <w:rFonts w:hint="eastAsia" w:ascii="宋体" w:hAnsi="宋体"/>
                <w:sz w:val="18"/>
                <w:szCs w:val="18"/>
                <w:lang w:val="en-US" w:eastAsia="zh-CN"/>
              </w:rPr>
              <w:t>2</w:t>
            </w:r>
            <w:r>
              <w:rPr>
                <w:rFonts w:hint="eastAsia" w:ascii="宋体" w:hAnsi="宋体"/>
                <w:sz w:val="18"/>
                <w:szCs w:val="18"/>
              </w:rPr>
              <w:t>）</w:t>
            </w:r>
            <w:r>
              <w:rPr>
                <w:rFonts w:ascii="宋体" w:hAnsi="宋体"/>
                <w:sz w:val="18"/>
                <w:szCs w:val="18"/>
              </w:rPr>
              <w:t>10/6</w:t>
            </w:r>
            <w:r>
              <w:rPr>
                <w:rFonts w:hint="eastAsia" w:ascii="宋体" w:hAnsi="宋体"/>
                <w:sz w:val="18"/>
                <w:szCs w:val="18"/>
              </w:rPr>
              <w:t xml:space="preserve"> </w:t>
            </w:r>
            <w:r>
              <w:rPr>
                <w:rFonts w:ascii="宋体" w:hAnsi="宋体"/>
                <w:sz w:val="18"/>
                <w:szCs w:val="18"/>
              </w:rPr>
              <w:t>kV</w:t>
            </w:r>
            <w:r>
              <w:rPr>
                <w:rFonts w:hint="eastAsia" w:ascii="宋体" w:hAnsi="宋体"/>
                <w:sz w:val="18"/>
                <w:szCs w:val="18"/>
              </w:rPr>
              <w:t>电压等级、变压器容量在</w:t>
            </w:r>
            <w:r>
              <w:rPr>
                <w:rFonts w:ascii="宋体" w:hAnsi="宋体"/>
                <w:sz w:val="18"/>
                <w:szCs w:val="18"/>
              </w:rPr>
              <w:t>500</w:t>
            </w:r>
            <w:r>
              <w:rPr>
                <w:rFonts w:hint="eastAsia" w:ascii="宋体" w:hAnsi="宋体"/>
                <w:sz w:val="18"/>
                <w:szCs w:val="18"/>
              </w:rPr>
              <w:t xml:space="preserve"> </w:t>
            </w:r>
            <w:r>
              <w:rPr>
                <w:rFonts w:ascii="宋体" w:hAnsi="宋体"/>
                <w:sz w:val="18"/>
                <w:szCs w:val="18"/>
              </w:rPr>
              <w:t>kVA</w:t>
            </w:r>
            <w:r>
              <w:rPr>
                <w:rFonts w:hint="eastAsia" w:ascii="宋体" w:hAnsi="宋体"/>
                <w:sz w:val="18"/>
                <w:szCs w:val="18"/>
              </w:rPr>
              <w:t>及以下的变配电室，可不设专人值班，但应由电工人员负责运行检查工作</w:t>
            </w:r>
            <w:r>
              <w:rPr>
                <w:rFonts w:hint="eastAsia" w:ascii="宋体" w:hAnsi="宋体"/>
                <w:sz w:val="18"/>
                <w:szCs w:val="18"/>
                <w:lang w:eastAsia="zh-CN"/>
              </w:rPr>
              <w:t>；</w:t>
            </w:r>
          </w:p>
          <w:p w14:paraId="65F6B773">
            <w:pPr>
              <w:snapToGrid w:val="0"/>
              <w:spacing w:line="240" w:lineRule="atLeast"/>
              <w:ind w:firstLine="360" w:firstLineChars="200"/>
              <w:jc w:val="left"/>
              <w:rPr>
                <w:rFonts w:hint="eastAsia" w:ascii="宋体" w:hAnsi="宋体"/>
                <w:sz w:val="18"/>
                <w:szCs w:val="18"/>
                <w:lang w:val="en-US" w:eastAsia="zh-CN"/>
              </w:rPr>
            </w:pPr>
            <w:r>
              <w:rPr>
                <w:rFonts w:hint="eastAsia" w:ascii="宋体" w:hAnsi="宋体"/>
                <w:sz w:val="18"/>
                <w:szCs w:val="18"/>
                <w:lang w:val="en-US" w:eastAsia="zh-CN"/>
              </w:rPr>
              <w:t>3)</w:t>
            </w:r>
            <w:r>
              <w:rPr>
                <w:rFonts w:hint="eastAsia" w:ascii="宋体" w:hAnsi="宋体"/>
                <w:sz w:val="18"/>
                <w:szCs w:val="18"/>
              </w:rPr>
              <w:t>采用智能化运维模式的配电室可不设专人值班</w:t>
            </w:r>
            <w:r>
              <w:rPr>
                <w:rFonts w:hint="eastAsia" w:ascii="宋体" w:hAnsi="宋体"/>
                <w:sz w:val="18"/>
                <w:szCs w:val="18"/>
                <w:lang w:eastAsia="zh-CN"/>
              </w:rPr>
              <w:t>。</w:t>
            </w:r>
          </w:p>
          <w:p w14:paraId="77BA322D">
            <w:pPr>
              <w:adjustRightInd w:val="0"/>
              <w:snapToGrid w:val="0"/>
              <w:rPr>
                <w:rFonts w:ascii="宋体" w:hAnsi="宋体"/>
                <w:sz w:val="18"/>
                <w:szCs w:val="18"/>
              </w:rPr>
            </w:pPr>
            <w:r>
              <w:rPr>
                <w:rFonts w:ascii="宋体" w:hAnsi="宋体"/>
                <w:sz w:val="18"/>
                <w:szCs w:val="18"/>
              </w:rPr>
              <w:t>c</w:t>
            </w:r>
            <w:r>
              <w:rPr>
                <w:rFonts w:hint="eastAsia" w:ascii="宋体" w:hAnsi="宋体"/>
                <w:sz w:val="18"/>
                <w:szCs w:val="18"/>
              </w:rPr>
              <w:t>）值班人员上岗期间应穿全棉长袖工作服和绝缘鞋，且不应有下列行为：</w:t>
            </w:r>
          </w:p>
          <w:p w14:paraId="530E2ECA">
            <w:pPr>
              <w:adjustRightInd w:val="0"/>
              <w:snapToGrid w:val="0"/>
              <w:ind w:firstLine="360" w:firstLineChars="200"/>
              <w:rPr>
                <w:rFonts w:hint="eastAsia" w:ascii="宋体" w:hAnsi="宋体"/>
                <w:sz w:val="18"/>
                <w:szCs w:val="18"/>
              </w:rPr>
            </w:pPr>
            <w:r>
              <w:rPr>
                <w:rFonts w:hint="eastAsia" w:ascii="宋体" w:hAnsi="宋体"/>
                <w:sz w:val="18"/>
                <w:szCs w:val="18"/>
                <w:lang w:val="en-US" w:eastAsia="zh-CN"/>
              </w:rPr>
              <w:t>1</w:t>
            </w:r>
            <w:r>
              <w:rPr>
                <w:rFonts w:hint="eastAsia" w:ascii="宋体" w:hAnsi="宋体"/>
                <w:sz w:val="18"/>
                <w:szCs w:val="18"/>
              </w:rPr>
              <w:t>）非配电室值班人员因工作需要进入配电室设备区时应登记；</w:t>
            </w:r>
          </w:p>
          <w:p w14:paraId="39DA0703">
            <w:pPr>
              <w:adjustRightInd w:val="0"/>
              <w:snapToGrid w:val="0"/>
              <w:ind w:firstLine="360" w:firstLineChars="200"/>
              <w:rPr>
                <w:rFonts w:ascii="宋体" w:hAnsi="宋体"/>
                <w:sz w:val="18"/>
                <w:szCs w:val="18"/>
              </w:rPr>
            </w:pPr>
            <w:r>
              <w:rPr>
                <w:rFonts w:hint="eastAsia" w:ascii="宋体" w:hAnsi="宋体"/>
                <w:sz w:val="18"/>
                <w:szCs w:val="18"/>
                <w:lang w:val="en-US" w:eastAsia="zh-CN"/>
              </w:rPr>
              <w:t>2</w:t>
            </w:r>
            <w:r>
              <w:rPr>
                <w:rFonts w:hint="eastAsia" w:ascii="宋体" w:hAnsi="宋体"/>
                <w:sz w:val="18"/>
                <w:szCs w:val="18"/>
              </w:rPr>
              <w:t>）接班前及当班期间违反劳动纪律；</w:t>
            </w:r>
          </w:p>
          <w:p w14:paraId="1746D392">
            <w:pPr>
              <w:adjustRightInd w:val="0"/>
              <w:snapToGrid w:val="0"/>
              <w:ind w:firstLine="360" w:firstLineChars="200"/>
              <w:rPr>
                <w:rFonts w:ascii="宋体" w:hAnsi="宋体"/>
                <w:sz w:val="18"/>
                <w:szCs w:val="18"/>
              </w:rPr>
            </w:pPr>
            <w:r>
              <w:rPr>
                <w:rFonts w:hint="eastAsia" w:ascii="宋体" w:hAnsi="宋体"/>
                <w:sz w:val="18"/>
                <w:szCs w:val="18"/>
                <w:lang w:val="en-US" w:eastAsia="zh-CN"/>
              </w:rPr>
              <w:t>3</w:t>
            </w:r>
            <w:r>
              <w:rPr>
                <w:rFonts w:hint="eastAsia" w:ascii="宋体" w:hAnsi="宋体"/>
                <w:sz w:val="18"/>
                <w:szCs w:val="18"/>
              </w:rPr>
              <w:t>）擅自拆除闭锁装置或者使其失效；</w:t>
            </w:r>
          </w:p>
          <w:p w14:paraId="52A6F1AD">
            <w:pPr>
              <w:adjustRightInd w:val="0"/>
              <w:snapToGrid w:val="0"/>
              <w:spacing w:line="240" w:lineRule="atLeast"/>
              <w:ind w:firstLine="360" w:firstLineChars="200"/>
              <w:jc w:val="left"/>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）进行其他与工作无关的活动。</w:t>
            </w:r>
          </w:p>
        </w:tc>
        <w:tc>
          <w:tcPr>
            <w:tcW w:w="633" w:type="dxa"/>
            <w:noWrap w:val="0"/>
            <w:vAlign w:val="center"/>
          </w:tcPr>
          <w:p w14:paraId="6B8B39B7">
            <w:pPr>
              <w:numPr>
                <w:ilvl w:val="3"/>
                <w:numId w:val="0"/>
              </w:numPr>
              <w:adjustRightInd w:val="0"/>
              <w:snapToGrid w:val="0"/>
              <w:jc w:val="center"/>
              <w:rPr>
                <w:rFonts w:ascii="宋体" w:hAnsi="宋体"/>
                <w:sz w:val="18"/>
                <w:szCs w:val="18"/>
              </w:rPr>
            </w:pPr>
          </w:p>
        </w:tc>
        <w:tc>
          <w:tcPr>
            <w:tcW w:w="633" w:type="dxa"/>
            <w:noWrap w:val="0"/>
            <w:vAlign w:val="center"/>
          </w:tcPr>
          <w:p w14:paraId="19EDA991">
            <w:pPr>
              <w:numPr>
                <w:ilvl w:val="3"/>
                <w:numId w:val="0"/>
              </w:numPr>
              <w:adjustRightInd w:val="0"/>
              <w:snapToGrid w:val="0"/>
              <w:jc w:val="center"/>
              <w:rPr>
                <w:rFonts w:ascii="宋体" w:hAnsi="宋体"/>
                <w:sz w:val="18"/>
                <w:szCs w:val="18"/>
              </w:rPr>
            </w:pPr>
          </w:p>
        </w:tc>
        <w:tc>
          <w:tcPr>
            <w:tcW w:w="602" w:type="dxa"/>
            <w:noWrap w:val="0"/>
            <w:vAlign w:val="center"/>
          </w:tcPr>
          <w:p w14:paraId="1D78CB76">
            <w:pPr>
              <w:jc w:val="center"/>
              <w:rPr>
                <w:rFonts w:hint="eastAsia" w:ascii="宋体" w:hAnsi="宋体"/>
                <w:sz w:val="18"/>
                <w:szCs w:val="18"/>
              </w:rPr>
            </w:pPr>
          </w:p>
        </w:tc>
        <w:tc>
          <w:tcPr>
            <w:tcW w:w="2113" w:type="dxa"/>
            <w:noWrap w:val="0"/>
            <w:vAlign w:val="center"/>
          </w:tcPr>
          <w:p w14:paraId="03F1319E">
            <w:pPr>
              <w:numPr>
                <w:ilvl w:val="0"/>
                <w:numId w:val="66"/>
              </w:numPr>
              <w:adjustRightInd w:val="0"/>
              <w:snapToGrid w:val="0"/>
              <w:jc w:val="left"/>
              <w:rPr>
                <w:rFonts w:hint="eastAsia" w:ascii="宋体" w:hAnsi="宋体"/>
                <w:sz w:val="18"/>
                <w:szCs w:val="18"/>
                <w:lang w:eastAsia="zh-CN"/>
              </w:rPr>
            </w:pPr>
            <w:r>
              <w:rPr>
                <w:rFonts w:hint="eastAsia" w:ascii="宋体" w:hAnsi="宋体"/>
                <w:sz w:val="18"/>
                <w:szCs w:val="18"/>
                <w:lang w:val="en-US" w:eastAsia="zh-CN"/>
              </w:rPr>
              <w:t>电工配备不足</w:t>
            </w:r>
            <w:r>
              <w:rPr>
                <w:rFonts w:ascii="宋体" w:hAnsi="宋体"/>
                <w:sz w:val="18"/>
                <w:szCs w:val="18"/>
              </w:rPr>
              <w:t>的，</w:t>
            </w:r>
            <w:r>
              <w:rPr>
                <w:rFonts w:hint="eastAsia" w:ascii="宋体" w:hAnsi="宋体"/>
                <w:sz w:val="18"/>
                <w:szCs w:val="18"/>
                <w:lang w:val="en-US" w:eastAsia="zh-CN"/>
              </w:rPr>
              <w:t>不得分</w:t>
            </w:r>
            <w:r>
              <w:rPr>
                <w:rFonts w:hint="eastAsia" w:ascii="宋体" w:hAnsi="宋体"/>
                <w:sz w:val="18"/>
                <w:szCs w:val="18"/>
                <w:lang w:eastAsia="zh-CN"/>
              </w:rPr>
              <w:t>；</w:t>
            </w:r>
          </w:p>
          <w:p w14:paraId="7F14AD98">
            <w:pPr>
              <w:numPr>
                <w:ilvl w:val="0"/>
                <w:numId w:val="66"/>
              </w:numPr>
              <w:adjustRightInd w:val="0"/>
              <w:snapToGrid w:val="0"/>
              <w:jc w:val="left"/>
              <w:rPr>
                <w:rFonts w:ascii="宋体" w:hAnsi="宋体"/>
                <w:sz w:val="18"/>
                <w:szCs w:val="18"/>
              </w:rPr>
            </w:pPr>
            <w:r>
              <w:rPr>
                <w:rFonts w:hint="eastAsia" w:ascii="宋体" w:hAnsi="宋体"/>
                <w:sz w:val="18"/>
                <w:szCs w:val="18"/>
                <w:lang w:val="en-US" w:eastAsia="zh-CN"/>
              </w:rPr>
              <w:t>其他一处不符合</w:t>
            </w:r>
            <w:r>
              <w:rPr>
                <w:rFonts w:ascii="宋体" w:hAnsi="宋体"/>
                <w:sz w:val="18"/>
                <w:szCs w:val="18"/>
              </w:rPr>
              <w:t>，扣</w:t>
            </w:r>
            <w:r>
              <w:rPr>
                <w:rFonts w:hint="eastAsia" w:ascii="宋体" w:hAnsi="宋体"/>
                <w:sz w:val="18"/>
                <w:szCs w:val="18"/>
                <w:lang w:val="en-US" w:eastAsia="zh-CN"/>
              </w:rPr>
              <w:t>2</w:t>
            </w:r>
            <w:r>
              <w:rPr>
                <w:rFonts w:ascii="宋体" w:hAnsi="宋体"/>
                <w:sz w:val="18"/>
                <w:szCs w:val="18"/>
              </w:rPr>
              <w:t>分</w:t>
            </w:r>
            <w:r>
              <w:rPr>
                <w:rFonts w:hint="eastAsia" w:ascii="宋体" w:hAnsi="宋体"/>
                <w:sz w:val="18"/>
                <w:szCs w:val="18"/>
                <w:lang w:eastAsia="zh-CN"/>
              </w:rPr>
              <w:t>。</w:t>
            </w:r>
          </w:p>
        </w:tc>
        <w:tc>
          <w:tcPr>
            <w:tcW w:w="633" w:type="dxa"/>
            <w:noWrap w:val="0"/>
            <w:vAlign w:val="center"/>
          </w:tcPr>
          <w:p w14:paraId="5F2CD08E">
            <w:pPr>
              <w:widowControl/>
              <w:jc w:val="center"/>
              <w:rPr>
                <w:rFonts w:ascii="宋体" w:hAnsi="宋体"/>
                <w:bCs/>
                <w:sz w:val="18"/>
                <w:szCs w:val="18"/>
              </w:rPr>
            </w:pPr>
          </w:p>
        </w:tc>
        <w:tc>
          <w:tcPr>
            <w:tcW w:w="1799" w:type="dxa"/>
            <w:noWrap w:val="0"/>
            <w:vAlign w:val="center"/>
          </w:tcPr>
          <w:p w14:paraId="0DC16A63">
            <w:pPr>
              <w:widowControl/>
              <w:jc w:val="center"/>
              <w:rPr>
                <w:rFonts w:ascii="宋体" w:hAnsi="宋体"/>
                <w:bCs/>
                <w:sz w:val="18"/>
                <w:szCs w:val="18"/>
              </w:rPr>
            </w:pPr>
          </w:p>
        </w:tc>
        <w:tc>
          <w:tcPr>
            <w:tcW w:w="1139" w:type="dxa"/>
            <w:noWrap w:val="0"/>
            <w:vAlign w:val="center"/>
          </w:tcPr>
          <w:p w14:paraId="08274EA4">
            <w:pPr>
              <w:widowControl/>
              <w:jc w:val="center"/>
              <w:rPr>
                <w:rFonts w:ascii="宋体" w:hAnsi="宋体"/>
                <w:bCs/>
                <w:sz w:val="18"/>
                <w:szCs w:val="18"/>
              </w:rPr>
            </w:pPr>
          </w:p>
        </w:tc>
      </w:tr>
      <w:tr w14:paraId="42478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2" w:hRule="atLeast"/>
          <w:tblHeader/>
        </w:trPr>
        <w:tc>
          <w:tcPr>
            <w:tcW w:w="941" w:type="dxa"/>
            <w:noWrap w:val="0"/>
            <w:vAlign w:val="center"/>
          </w:tcPr>
          <w:p w14:paraId="72A11FF1">
            <w:pPr>
              <w:adjustRightInd w:val="0"/>
              <w:snapToGrid w:val="0"/>
              <w:jc w:val="center"/>
              <w:rPr>
                <w:rFonts w:ascii="宋体" w:hAnsi="宋体"/>
                <w:bCs/>
                <w:sz w:val="18"/>
                <w:szCs w:val="18"/>
              </w:rPr>
            </w:pPr>
            <w:r>
              <w:rPr>
                <w:rFonts w:hint="eastAsia" w:ascii="宋体" w:hAnsi="宋体"/>
                <w:sz w:val="18"/>
                <w:szCs w:val="18"/>
              </w:rPr>
              <w:t>6.1.5</w:t>
            </w:r>
          </w:p>
        </w:tc>
        <w:tc>
          <w:tcPr>
            <w:tcW w:w="6860" w:type="dxa"/>
            <w:noWrap w:val="0"/>
            <w:vAlign w:val="center"/>
          </w:tcPr>
          <w:p w14:paraId="2D0BBD59">
            <w:pPr>
              <w:adjustRightInd w:val="0"/>
              <w:snapToGrid w:val="0"/>
              <w:spacing w:line="240" w:lineRule="atLeast"/>
              <w:jc w:val="left"/>
              <w:rPr>
                <w:rFonts w:hint="eastAsia" w:ascii="宋体" w:hAnsi="宋体"/>
                <w:sz w:val="18"/>
                <w:szCs w:val="18"/>
              </w:rPr>
            </w:pPr>
            <w:r>
              <w:rPr>
                <w:rFonts w:hint="eastAsia" w:ascii="宋体" w:hAnsi="宋体"/>
                <w:sz w:val="18"/>
                <w:szCs w:val="18"/>
              </w:rPr>
              <w:t>变压器室应符合下列要求：</w:t>
            </w:r>
          </w:p>
          <w:p w14:paraId="6BAAC71C">
            <w:pPr>
              <w:adjustRightInd w:val="0"/>
              <w:snapToGrid w:val="0"/>
              <w:spacing w:line="240" w:lineRule="atLeast"/>
              <w:jc w:val="left"/>
              <w:rPr>
                <w:rFonts w:hint="eastAsia" w:ascii="宋体" w:hAnsi="宋体"/>
                <w:sz w:val="18"/>
                <w:szCs w:val="18"/>
              </w:rPr>
            </w:pPr>
            <w:r>
              <w:rPr>
                <w:rFonts w:hint="eastAsia" w:ascii="宋体" w:hAnsi="宋体"/>
                <w:sz w:val="18"/>
                <w:szCs w:val="18"/>
              </w:rPr>
              <w:t>a）变压器室耐火等级不应低于二级；</w:t>
            </w:r>
          </w:p>
          <w:p w14:paraId="6E2F1CD3">
            <w:pPr>
              <w:adjustRightInd w:val="0"/>
              <w:snapToGrid w:val="0"/>
              <w:spacing w:line="240" w:lineRule="atLeast"/>
              <w:jc w:val="left"/>
              <w:rPr>
                <w:rFonts w:hint="eastAsia" w:ascii="宋体" w:hAnsi="宋体"/>
                <w:sz w:val="18"/>
                <w:szCs w:val="18"/>
              </w:rPr>
            </w:pPr>
            <w:r>
              <w:rPr>
                <w:rFonts w:hint="eastAsia" w:ascii="宋体" w:hAnsi="宋体"/>
                <w:sz w:val="18"/>
                <w:szCs w:val="18"/>
              </w:rPr>
              <w:t>b）变压器室门向外开启；</w:t>
            </w:r>
          </w:p>
          <w:p w14:paraId="2E51A27A">
            <w:pPr>
              <w:adjustRightInd w:val="0"/>
              <w:snapToGrid w:val="0"/>
              <w:spacing w:line="240" w:lineRule="atLeast"/>
              <w:jc w:val="left"/>
              <w:rPr>
                <w:rFonts w:hint="eastAsia" w:ascii="宋体" w:hAnsi="宋体"/>
                <w:sz w:val="18"/>
                <w:szCs w:val="18"/>
              </w:rPr>
            </w:pPr>
            <w:r>
              <w:rPr>
                <w:rFonts w:hint="eastAsia" w:ascii="宋体" w:hAnsi="宋体"/>
                <w:sz w:val="18"/>
                <w:szCs w:val="18"/>
              </w:rPr>
              <w:t>c）变压器室的通风窗应采用非燃烧材料；</w:t>
            </w:r>
          </w:p>
          <w:p w14:paraId="432806BF">
            <w:pPr>
              <w:adjustRightInd w:val="0"/>
              <w:snapToGrid w:val="0"/>
              <w:spacing w:line="240" w:lineRule="atLeast"/>
              <w:jc w:val="left"/>
              <w:rPr>
                <w:rFonts w:hint="eastAsia" w:ascii="宋体" w:hAnsi="宋体"/>
                <w:sz w:val="18"/>
                <w:szCs w:val="18"/>
              </w:rPr>
            </w:pPr>
            <w:r>
              <w:rPr>
                <w:rFonts w:hint="eastAsia" w:ascii="宋体" w:hAnsi="宋体"/>
                <w:sz w:val="18"/>
                <w:szCs w:val="18"/>
              </w:rPr>
              <w:t>d）变压器室应设置防止雨、雪和小动物从采光窗、通风窗、门、电缆沟等处进入室内的设施；</w:t>
            </w:r>
          </w:p>
          <w:p w14:paraId="7FC705A0">
            <w:pPr>
              <w:adjustRightInd w:val="0"/>
              <w:snapToGrid w:val="0"/>
              <w:spacing w:line="240" w:lineRule="atLeast"/>
              <w:jc w:val="left"/>
              <w:rPr>
                <w:rFonts w:hint="eastAsia" w:ascii="宋体" w:hAnsi="宋体"/>
                <w:sz w:val="18"/>
                <w:szCs w:val="18"/>
              </w:rPr>
            </w:pPr>
            <w:r>
              <w:rPr>
                <w:rFonts w:hint="eastAsia" w:ascii="宋体" w:hAnsi="宋体"/>
                <w:sz w:val="18"/>
                <w:szCs w:val="18"/>
              </w:rPr>
              <w:t>e）变压器室内不应有无关的管道和线路通过；</w:t>
            </w:r>
          </w:p>
          <w:p w14:paraId="0D5B627A">
            <w:pPr>
              <w:adjustRightInd w:val="0"/>
              <w:snapToGrid w:val="0"/>
              <w:spacing w:line="240" w:lineRule="atLeast"/>
              <w:jc w:val="left"/>
              <w:rPr>
                <w:rFonts w:hint="eastAsia" w:ascii="宋体" w:hAnsi="宋体"/>
                <w:sz w:val="18"/>
                <w:szCs w:val="18"/>
              </w:rPr>
            </w:pPr>
            <w:r>
              <w:rPr>
                <w:rFonts w:hint="eastAsia" w:ascii="宋体" w:hAnsi="宋体"/>
                <w:sz w:val="18"/>
                <w:szCs w:val="18"/>
              </w:rPr>
              <w:t>f）变压器安装地点附近，应挂有明显醒目的“高压危险”警示标志；</w:t>
            </w:r>
          </w:p>
          <w:p w14:paraId="6C509DAC">
            <w:pPr>
              <w:adjustRightInd w:val="0"/>
              <w:snapToGrid w:val="0"/>
              <w:spacing w:line="240" w:lineRule="atLeast"/>
              <w:jc w:val="left"/>
              <w:rPr>
                <w:rFonts w:hint="eastAsia" w:ascii="宋体" w:hAnsi="宋体"/>
                <w:sz w:val="18"/>
                <w:szCs w:val="18"/>
              </w:rPr>
            </w:pPr>
            <w:r>
              <w:rPr>
                <w:rFonts w:hint="eastAsia" w:ascii="宋体" w:hAnsi="宋体"/>
                <w:sz w:val="18"/>
                <w:szCs w:val="18"/>
              </w:rPr>
              <w:t>g）高层建筑物的裙房和多层建筑物内的附设的油浸变压器室，应设置容量为100% 变压器油量的储油池；</w:t>
            </w:r>
          </w:p>
          <w:p w14:paraId="14675162">
            <w:pPr>
              <w:adjustRightInd w:val="0"/>
              <w:snapToGrid w:val="0"/>
              <w:spacing w:line="240" w:lineRule="atLeast"/>
              <w:jc w:val="left"/>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）在变压器正上方不应布置灯具；</w:t>
            </w:r>
          </w:p>
          <w:p w14:paraId="189A56EF">
            <w:pPr>
              <w:adjustRightInd w:val="0"/>
              <w:snapToGrid w:val="0"/>
              <w:spacing w:line="240" w:lineRule="atLeast"/>
              <w:jc w:val="left"/>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）露天或半露天变压器四周应设高度不低于1.8 m的固定围栏或围墙；</w:t>
            </w:r>
          </w:p>
          <w:p w14:paraId="229DC642">
            <w:pPr>
              <w:adjustRightInd w:val="0"/>
              <w:snapToGrid w:val="0"/>
              <w:spacing w:line="240" w:lineRule="atLeast"/>
              <w:jc w:val="left"/>
              <w:rPr>
                <w:rFonts w:hint="eastAsia" w:ascii="宋体" w:hAnsi="宋体"/>
                <w:sz w:val="18"/>
                <w:szCs w:val="18"/>
              </w:rPr>
            </w:pPr>
            <w:r>
              <w:rPr>
                <w:rFonts w:hint="eastAsia" w:ascii="宋体" w:hAnsi="宋体"/>
                <w:sz w:val="18"/>
                <w:szCs w:val="18"/>
              </w:rPr>
              <w:t>j）设置于变电所内的非封闭式干式变压器，应装设高度不低于1.8 m的固定遮栏，围栏网孔不应大于40 mm×40 mm，变压器之间的净距不应小于1.0 m；</w:t>
            </w:r>
          </w:p>
          <w:p w14:paraId="633D694B">
            <w:pPr>
              <w:adjustRightInd w:val="0"/>
              <w:snapToGrid w:val="0"/>
              <w:spacing w:line="240" w:lineRule="atLeast"/>
              <w:jc w:val="left"/>
              <w:rPr>
                <w:rFonts w:ascii="宋体" w:hAnsi="宋体"/>
                <w:sz w:val="18"/>
                <w:szCs w:val="18"/>
              </w:rPr>
            </w:pPr>
            <w:r>
              <w:rPr>
                <w:rFonts w:hint="eastAsia" w:ascii="宋体" w:hAnsi="宋体"/>
                <w:sz w:val="18"/>
                <w:szCs w:val="18"/>
                <w:lang w:val="en-US" w:eastAsia="zh-CN"/>
              </w:rPr>
              <w:t>k</w:t>
            </w:r>
            <w:r>
              <w:rPr>
                <w:rFonts w:hint="eastAsia" w:ascii="宋体" w:hAnsi="宋体"/>
                <w:sz w:val="18"/>
                <w:szCs w:val="18"/>
              </w:rPr>
              <w:t>）变压器室宜采用自然通风，当自然通风不能满足要求时，应增设机械通风。</w:t>
            </w:r>
          </w:p>
        </w:tc>
        <w:tc>
          <w:tcPr>
            <w:tcW w:w="633" w:type="dxa"/>
            <w:noWrap w:val="0"/>
            <w:vAlign w:val="center"/>
          </w:tcPr>
          <w:p w14:paraId="47DCD24F">
            <w:pPr>
              <w:numPr>
                <w:ilvl w:val="3"/>
                <w:numId w:val="0"/>
              </w:numPr>
              <w:adjustRightInd w:val="0"/>
              <w:snapToGrid w:val="0"/>
              <w:jc w:val="center"/>
              <w:rPr>
                <w:rFonts w:ascii="宋体" w:hAnsi="宋体"/>
                <w:sz w:val="18"/>
                <w:szCs w:val="18"/>
              </w:rPr>
            </w:pPr>
          </w:p>
        </w:tc>
        <w:tc>
          <w:tcPr>
            <w:tcW w:w="633" w:type="dxa"/>
            <w:noWrap w:val="0"/>
            <w:vAlign w:val="center"/>
          </w:tcPr>
          <w:p w14:paraId="32DD5E73">
            <w:pPr>
              <w:numPr>
                <w:ilvl w:val="3"/>
                <w:numId w:val="0"/>
              </w:numPr>
              <w:adjustRightInd w:val="0"/>
              <w:snapToGrid w:val="0"/>
              <w:jc w:val="center"/>
              <w:rPr>
                <w:rFonts w:ascii="宋体" w:hAnsi="宋体"/>
                <w:sz w:val="18"/>
                <w:szCs w:val="18"/>
              </w:rPr>
            </w:pPr>
          </w:p>
        </w:tc>
        <w:tc>
          <w:tcPr>
            <w:tcW w:w="602" w:type="dxa"/>
            <w:noWrap w:val="0"/>
            <w:vAlign w:val="center"/>
          </w:tcPr>
          <w:p w14:paraId="6A6083A0">
            <w:pPr>
              <w:adjustRightInd w:val="0"/>
              <w:snapToGrid w:val="0"/>
              <w:jc w:val="center"/>
              <w:rPr>
                <w:rFonts w:hint="eastAsia" w:ascii="宋体" w:hAnsi="宋体" w:eastAsia="宋体"/>
                <w:bCs/>
                <w:sz w:val="18"/>
                <w:szCs w:val="18"/>
                <w:lang w:eastAsia="zh-CN"/>
              </w:rPr>
            </w:pPr>
            <w:r>
              <w:rPr>
                <w:rFonts w:hint="eastAsia" w:ascii="宋体" w:hAnsi="宋体"/>
                <w:sz w:val="18"/>
                <w:szCs w:val="18"/>
                <w:lang w:val="en-US" w:eastAsia="zh-CN"/>
              </w:rPr>
              <w:t>5</w:t>
            </w:r>
          </w:p>
        </w:tc>
        <w:tc>
          <w:tcPr>
            <w:tcW w:w="2113" w:type="dxa"/>
            <w:noWrap w:val="0"/>
            <w:vAlign w:val="center"/>
          </w:tcPr>
          <w:p w14:paraId="6B83CB32">
            <w:pPr>
              <w:adjustRightInd w:val="0"/>
              <w:snapToGrid w:val="0"/>
              <w:jc w:val="left"/>
              <w:rPr>
                <w:rFonts w:ascii="宋体" w:hAnsi="宋体"/>
                <w:bCs/>
                <w:sz w:val="18"/>
                <w:szCs w:val="18"/>
              </w:rPr>
            </w:pPr>
            <w:r>
              <w:rPr>
                <w:rFonts w:hint="eastAsia" w:ascii="宋体" w:hAnsi="宋体" w:cs="宋体"/>
                <w:sz w:val="18"/>
                <w:szCs w:val="18"/>
              </w:rPr>
              <w:t>一处不符合扣1分。</w:t>
            </w:r>
          </w:p>
        </w:tc>
        <w:tc>
          <w:tcPr>
            <w:tcW w:w="633" w:type="dxa"/>
            <w:noWrap w:val="0"/>
            <w:vAlign w:val="center"/>
          </w:tcPr>
          <w:p w14:paraId="0A725849">
            <w:pPr>
              <w:adjustRightInd w:val="0"/>
              <w:snapToGrid w:val="0"/>
              <w:jc w:val="center"/>
              <w:rPr>
                <w:rFonts w:ascii="宋体" w:hAnsi="宋体"/>
                <w:bCs/>
                <w:sz w:val="18"/>
                <w:szCs w:val="18"/>
              </w:rPr>
            </w:pPr>
          </w:p>
        </w:tc>
        <w:tc>
          <w:tcPr>
            <w:tcW w:w="1799" w:type="dxa"/>
            <w:noWrap w:val="0"/>
            <w:vAlign w:val="center"/>
          </w:tcPr>
          <w:p w14:paraId="5B240459">
            <w:pPr>
              <w:adjustRightInd w:val="0"/>
              <w:snapToGrid w:val="0"/>
              <w:jc w:val="center"/>
              <w:rPr>
                <w:rFonts w:ascii="宋体" w:hAnsi="宋体"/>
                <w:bCs/>
                <w:sz w:val="18"/>
                <w:szCs w:val="18"/>
              </w:rPr>
            </w:pPr>
          </w:p>
        </w:tc>
        <w:tc>
          <w:tcPr>
            <w:tcW w:w="1139" w:type="dxa"/>
            <w:noWrap w:val="0"/>
            <w:vAlign w:val="center"/>
          </w:tcPr>
          <w:p w14:paraId="1FF75F66">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eastAsia="zh-CN"/>
              </w:rPr>
              <w:t>4.6</w:t>
            </w:r>
            <w:r>
              <w:rPr>
                <w:rFonts w:ascii="宋体" w:hAnsi="宋体"/>
                <w:bCs/>
                <w:sz w:val="18"/>
                <w:szCs w:val="18"/>
              </w:rPr>
              <w:t>.</w:t>
            </w:r>
            <w:r>
              <w:rPr>
                <w:rFonts w:hint="eastAsia" w:ascii="宋体" w:hAnsi="宋体"/>
                <w:bCs/>
                <w:sz w:val="18"/>
                <w:szCs w:val="18"/>
                <w:lang w:val="en-US" w:eastAsia="zh-CN"/>
              </w:rPr>
              <w:t>1</w:t>
            </w:r>
          </w:p>
        </w:tc>
      </w:tr>
    </w:tbl>
    <w:p w14:paraId="7D501DE5">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47F05364">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
        <w:gridCol w:w="6860"/>
        <w:gridCol w:w="633"/>
        <w:gridCol w:w="633"/>
        <w:gridCol w:w="602"/>
        <w:gridCol w:w="2113"/>
        <w:gridCol w:w="633"/>
        <w:gridCol w:w="1888"/>
        <w:gridCol w:w="1139"/>
      </w:tblGrid>
      <w:tr w14:paraId="596DB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77486B58">
            <w:pPr>
              <w:adjustRightInd w:val="0"/>
              <w:snapToGrid w:val="0"/>
              <w:jc w:val="center"/>
              <w:rPr>
                <w:rFonts w:ascii="宋体" w:hAnsi="宋体"/>
                <w:bCs/>
                <w:sz w:val="18"/>
                <w:szCs w:val="18"/>
                <w:highlight w:val="none"/>
              </w:rPr>
            </w:pPr>
            <w:r>
              <w:rPr>
                <w:rFonts w:ascii="宋体" w:hAnsi="宋体"/>
                <w:bCs/>
                <w:sz w:val="18"/>
                <w:szCs w:val="18"/>
                <w:highlight w:val="none"/>
              </w:rPr>
              <w:t>序号</w:t>
            </w:r>
          </w:p>
        </w:tc>
        <w:tc>
          <w:tcPr>
            <w:tcW w:w="6860" w:type="dxa"/>
            <w:noWrap w:val="0"/>
            <w:vAlign w:val="center"/>
          </w:tcPr>
          <w:p w14:paraId="7A7F3F22">
            <w:pPr>
              <w:adjustRightInd w:val="0"/>
              <w:snapToGrid w:val="0"/>
              <w:jc w:val="center"/>
              <w:rPr>
                <w:rFonts w:ascii="宋体" w:hAnsi="宋体"/>
                <w:bCs/>
                <w:sz w:val="18"/>
                <w:szCs w:val="18"/>
                <w:highlight w:val="none"/>
              </w:rPr>
            </w:pPr>
            <w:r>
              <w:rPr>
                <w:rFonts w:ascii="宋体" w:hAnsi="宋体"/>
                <w:bCs/>
                <w:sz w:val="18"/>
                <w:szCs w:val="18"/>
                <w:highlight w:val="none"/>
              </w:rPr>
              <w:t>评定内容</w:t>
            </w:r>
          </w:p>
        </w:tc>
        <w:tc>
          <w:tcPr>
            <w:tcW w:w="633" w:type="dxa"/>
            <w:noWrap w:val="0"/>
            <w:vAlign w:val="center"/>
          </w:tcPr>
          <w:p w14:paraId="533D2933">
            <w:pPr>
              <w:adjustRightInd w:val="0"/>
              <w:snapToGrid w:val="0"/>
              <w:jc w:val="center"/>
              <w:rPr>
                <w:rFonts w:ascii="宋体" w:hAnsi="宋体"/>
                <w:bCs/>
                <w:sz w:val="18"/>
                <w:szCs w:val="18"/>
                <w:highlight w:val="none"/>
              </w:rPr>
            </w:pPr>
            <w:r>
              <w:rPr>
                <w:rFonts w:hint="eastAsia" w:ascii="宋体" w:hAnsi="宋体"/>
                <w:bCs/>
                <w:sz w:val="18"/>
                <w:szCs w:val="18"/>
                <w:highlight w:val="none"/>
              </w:rPr>
              <w:t>评定要素分值</w:t>
            </w:r>
          </w:p>
        </w:tc>
        <w:tc>
          <w:tcPr>
            <w:tcW w:w="633" w:type="dxa"/>
            <w:noWrap w:val="0"/>
            <w:vAlign w:val="center"/>
          </w:tcPr>
          <w:p w14:paraId="3A4D43A5">
            <w:pPr>
              <w:adjustRightInd w:val="0"/>
              <w:snapToGrid w:val="0"/>
              <w:jc w:val="center"/>
              <w:rPr>
                <w:rFonts w:ascii="宋体" w:hAnsi="宋体"/>
                <w:bCs/>
                <w:sz w:val="18"/>
                <w:szCs w:val="18"/>
                <w:highlight w:val="none"/>
              </w:rPr>
            </w:pPr>
            <w:r>
              <w:rPr>
                <w:rFonts w:hint="eastAsia" w:ascii="宋体" w:hAnsi="宋体"/>
                <w:bCs/>
                <w:sz w:val="18"/>
                <w:szCs w:val="18"/>
                <w:highlight w:val="none"/>
              </w:rPr>
              <w:t>评定细项分值</w:t>
            </w:r>
          </w:p>
        </w:tc>
        <w:tc>
          <w:tcPr>
            <w:tcW w:w="602" w:type="dxa"/>
            <w:noWrap w:val="0"/>
            <w:vAlign w:val="center"/>
          </w:tcPr>
          <w:p w14:paraId="223197DB">
            <w:pPr>
              <w:adjustRightInd w:val="0"/>
              <w:snapToGrid w:val="0"/>
              <w:jc w:val="center"/>
              <w:rPr>
                <w:rFonts w:ascii="宋体" w:hAnsi="宋体"/>
                <w:bCs/>
                <w:sz w:val="18"/>
                <w:szCs w:val="18"/>
                <w:highlight w:val="none"/>
              </w:rPr>
            </w:pPr>
            <w:r>
              <w:rPr>
                <w:rFonts w:hint="eastAsia" w:ascii="宋体" w:hAnsi="宋体"/>
                <w:bCs/>
                <w:sz w:val="18"/>
                <w:szCs w:val="18"/>
                <w:highlight w:val="none"/>
              </w:rPr>
              <w:t>评定条款分值</w:t>
            </w:r>
          </w:p>
        </w:tc>
        <w:tc>
          <w:tcPr>
            <w:tcW w:w="2113" w:type="dxa"/>
            <w:noWrap w:val="0"/>
            <w:vAlign w:val="center"/>
          </w:tcPr>
          <w:p w14:paraId="24359462">
            <w:pPr>
              <w:adjustRightInd w:val="0"/>
              <w:snapToGrid w:val="0"/>
              <w:jc w:val="center"/>
              <w:rPr>
                <w:rFonts w:ascii="宋体" w:hAnsi="宋体"/>
                <w:bCs/>
                <w:sz w:val="18"/>
                <w:szCs w:val="18"/>
                <w:highlight w:val="none"/>
              </w:rPr>
            </w:pPr>
            <w:r>
              <w:rPr>
                <w:rFonts w:ascii="宋体" w:hAnsi="宋体"/>
                <w:bCs/>
                <w:sz w:val="18"/>
                <w:szCs w:val="18"/>
                <w:highlight w:val="none"/>
              </w:rPr>
              <w:t>评分标准</w:t>
            </w:r>
          </w:p>
        </w:tc>
        <w:tc>
          <w:tcPr>
            <w:tcW w:w="633" w:type="dxa"/>
            <w:noWrap w:val="0"/>
            <w:vAlign w:val="center"/>
          </w:tcPr>
          <w:p w14:paraId="5DF5C270">
            <w:pPr>
              <w:adjustRightInd w:val="0"/>
              <w:snapToGrid w:val="0"/>
              <w:jc w:val="center"/>
              <w:rPr>
                <w:rFonts w:ascii="宋体" w:hAnsi="宋体"/>
                <w:bCs/>
                <w:sz w:val="18"/>
                <w:szCs w:val="18"/>
                <w:highlight w:val="none"/>
              </w:rPr>
            </w:pPr>
            <w:r>
              <w:rPr>
                <w:rFonts w:hint="eastAsia" w:ascii="宋体" w:hAnsi="宋体"/>
                <w:bCs/>
                <w:sz w:val="18"/>
                <w:szCs w:val="18"/>
                <w:highlight w:val="none"/>
              </w:rPr>
              <w:t>评定得分</w:t>
            </w:r>
          </w:p>
        </w:tc>
        <w:tc>
          <w:tcPr>
            <w:tcW w:w="1888" w:type="dxa"/>
            <w:noWrap w:val="0"/>
            <w:vAlign w:val="center"/>
          </w:tcPr>
          <w:p w14:paraId="23E8883B">
            <w:pPr>
              <w:adjustRightInd w:val="0"/>
              <w:snapToGrid w:val="0"/>
              <w:jc w:val="center"/>
              <w:rPr>
                <w:rFonts w:ascii="宋体" w:hAnsi="宋体"/>
                <w:bCs/>
                <w:sz w:val="18"/>
                <w:szCs w:val="18"/>
                <w:highlight w:val="none"/>
              </w:rPr>
            </w:pPr>
            <w:r>
              <w:rPr>
                <w:rFonts w:hint="eastAsia" w:ascii="宋体" w:hAnsi="宋体"/>
                <w:bCs/>
                <w:sz w:val="18"/>
                <w:szCs w:val="18"/>
                <w:highlight w:val="none"/>
              </w:rPr>
              <w:t>扣分说明</w:t>
            </w:r>
          </w:p>
        </w:tc>
        <w:tc>
          <w:tcPr>
            <w:tcW w:w="1139" w:type="dxa"/>
            <w:noWrap w:val="0"/>
            <w:vAlign w:val="center"/>
          </w:tcPr>
          <w:p w14:paraId="5B345BDF">
            <w:pPr>
              <w:adjustRightInd w:val="0"/>
              <w:snapToGrid w:val="0"/>
              <w:jc w:val="center"/>
              <w:rPr>
                <w:rFonts w:ascii="宋体" w:hAnsi="宋体"/>
                <w:bCs/>
                <w:sz w:val="18"/>
                <w:szCs w:val="18"/>
                <w:highlight w:val="none"/>
              </w:rPr>
            </w:pPr>
            <w:r>
              <w:rPr>
                <w:rFonts w:ascii="宋体" w:hAnsi="宋体"/>
                <w:bCs/>
                <w:sz w:val="18"/>
                <w:szCs w:val="18"/>
                <w:highlight w:val="none"/>
              </w:rPr>
              <w:t>对应条款编号</w:t>
            </w:r>
          </w:p>
        </w:tc>
      </w:tr>
      <w:tr w14:paraId="4D216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1205BDEE">
            <w:pPr>
              <w:adjustRightInd w:val="0"/>
              <w:snapToGrid w:val="0"/>
              <w:jc w:val="center"/>
              <w:rPr>
                <w:rFonts w:ascii="宋体" w:hAnsi="宋体"/>
                <w:bCs/>
                <w:sz w:val="18"/>
                <w:szCs w:val="18"/>
                <w:highlight w:val="none"/>
              </w:rPr>
            </w:pPr>
            <w:r>
              <w:rPr>
                <w:rFonts w:hint="eastAsia" w:ascii="宋体" w:hAnsi="宋体"/>
                <w:sz w:val="18"/>
                <w:szCs w:val="18"/>
                <w:highlight w:val="none"/>
              </w:rPr>
              <w:t>6.2</w:t>
            </w:r>
          </w:p>
        </w:tc>
        <w:tc>
          <w:tcPr>
            <w:tcW w:w="6860" w:type="dxa"/>
            <w:noWrap w:val="0"/>
            <w:vAlign w:val="center"/>
          </w:tcPr>
          <w:p w14:paraId="78B2BA75">
            <w:pPr>
              <w:numPr>
                <w:ilvl w:val="3"/>
                <w:numId w:val="0"/>
              </w:numPr>
              <w:adjustRightInd w:val="0"/>
              <w:snapToGrid w:val="0"/>
              <w:jc w:val="left"/>
              <w:rPr>
                <w:rFonts w:hint="eastAsia" w:ascii="宋体" w:hAnsi="宋体"/>
                <w:sz w:val="18"/>
                <w:szCs w:val="18"/>
                <w:highlight w:val="none"/>
              </w:rPr>
            </w:pPr>
            <w:r>
              <w:rPr>
                <w:rFonts w:hint="eastAsia" w:ascii="宋体" w:hAnsi="宋体"/>
                <w:sz w:val="18"/>
                <w:szCs w:val="18"/>
                <w:highlight w:val="none"/>
              </w:rPr>
              <w:t>用电场所</w:t>
            </w:r>
          </w:p>
        </w:tc>
        <w:tc>
          <w:tcPr>
            <w:tcW w:w="633" w:type="dxa"/>
            <w:noWrap w:val="0"/>
            <w:vAlign w:val="center"/>
          </w:tcPr>
          <w:p w14:paraId="3DA67E7C">
            <w:pPr>
              <w:adjustRightInd w:val="0"/>
              <w:snapToGrid w:val="0"/>
              <w:jc w:val="center"/>
              <w:rPr>
                <w:rFonts w:ascii="宋体" w:hAnsi="宋体"/>
                <w:bCs/>
                <w:sz w:val="18"/>
                <w:szCs w:val="18"/>
                <w:highlight w:val="none"/>
              </w:rPr>
            </w:pPr>
          </w:p>
        </w:tc>
        <w:tc>
          <w:tcPr>
            <w:tcW w:w="633" w:type="dxa"/>
            <w:noWrap w:val="0"/>
            <w:vAlign w:val="center"/>
          </w:tcPr>
          <w:p w14:paraId="46C8D813">
            <w:pPr>
              <w:adjustRightInd w:val="0"/>
              <w:snapToGrid w:val="0"/>
              <w:jc w:val="center"/>
              <w:rPr>
                <w:rFonts w:hint="default" w:ascii="宋体" w:hAnsi="宋体" w:eastAsia="宋体"/>
                <w:bCs/>
                <w:sz w:val="18"/>
                <w:szCs w:val="18"/>
                <w:highlight w:val="none"/>
                <w:lang w:val="en-US" w:eastAsia="zh-CN"/>
              </w:rPr>
            </w:pPr>
            <w:r>
              <w:rPr>
                <w:rFonts w:hint="eastAsia" w:ascii="宋体" w:hAnsi="宋体"/>
                <w:bCs/>
                <w:sz w:val="18"/>
                <w:szCs w:val="18"/>
                <w:highlight w:val="none"/>
                <w:lang w:val="en-US" w:eastAsia="zh-CN"/>
              </w:rPr>
              <w:t>60</w:t>
            </w:r>
          </w:p>
        </w:tc>
        <w:tc>
          <w:tcPr>
            <w:tcW w:w="602" w:type="dxa"/>
            <w:noWrap w:val="0"/>
            <w:vAlign w:val="center"/>
          </w:tcPr>
          <w:p w14:paraId="5609458D">
            <w:pPr>
              <w:adjustRightInd w:val="0"/>
              <w:snapToGrid w:val="0"/>
              <w:jc w:val="center"/>
              <w:rPr>
                <w:rFonts w:hint="eastAsia" w:ascii="宋体" w:hAnsi="宋体"/>
                <w:snapToGrid w:val="0"/>
                <w:kern w:val="21"/>
                <w:sz w:val="18"/>
                <w:szCs w:val="18"/>
                <w:highlight w:val="none"/>
              </w:rPr>
            </w:pPr>
          </w:p>
        </w:tc>
        <w:tc>
          <w:tcPr>
            <w:tcW w:w="2113" w:type="dxa"/>
            <w:noWrap w:val="0"/>
            <w:vAlign w:val="center"/>
          </w:tcPr>
          <w:p w14:paraId="06FCE6B6">
            <w:pPr>
              <w:adjustRightInd w:val="0"/>
              <w:snapToGrid w:val="0"/>
              <w:jc w:val="center"/>
              <w:rPr>
                <w:rFonts w:ascii="宋体" w:hAnsi="宋体"/>
                <w:bCs/>
                <w:sz w:val="18"/>
                <w:szCs w:val="18"/>
                <w:highlight w:val="none"/>
              </w:rPr>
            </w:pPr>
          </w:p>
        </w:tc>
        <w:tc>
          <w:tcPr>
            <w:tcW w:w="633" w:type="dxa"/>
            <w:noWrap w:val="0"/>
            <w:vAlign w:val="center"/>
          </w:tcPr>
          <w:p w14:paraId="5592FCCE">
            <w:pPr>
              <w:adjustRightInd w:val="0"/>
              <w:snapToGrid w:val="0"/>
              <w:jc w:val="center"/>
              <w:rPr>
                <w:rFonts w:ascii="宋体" w:hAnsi="宋体"/>
                <w:bCs/>
                <w:sz w:val="18"/>
                <w:szCs w:val="18"/>
                <w:highlight w:val="none"/>
              </w:rPr>
            </w:pPr>
          </w:p>
        </w:tc>
        <w:tc>
          <w:tcPr>
            <w:tcW w:w="1888" w:type="dxa"/>
            <w:noWrap w:val="0"/>
            <w:vAlign w:val="center"/>
          </w:tcPr>
          <w:p w14:paraId="03AA5F30">
            <w:pPr>
              <w:adjustRightInd w:val="0"/>
              <w:snapToGrid w:val="0"/>
              <w:jc w:val="center"/>
              <w:rPr>
                <w:rFonts w:ascii="宋体" w:hAnsi="宋体"/>
                <w:bCs/>
                <w:sz w:val="18"/>
                <w:szCs w:val="18"/>
                <w:highlight w:val="none"/>
              </w:rPr>
            </w:pPr>
          </w:p>
        </w:tc>
        <w:tc>
          <w:tcPr>
            <w:tcW w:w="1139" w:type="dxa"/>
            <w:noWrap w:val="0"/>
            <w:vAlign w:val="center"/>
          </w:tcPr>
          <w:p w14:paraId="497302A7">
            <w:pPr>
              <w:adjustRightInd w:val="0"/>
              <w:snapToGrid w:val="0"/>
              <w:jc w:val="center"/>
              <w:rPr>
                <w:rFonts w:ascii="宋体" w:hAnsi="宋体"/>
                <w:bCs/>
                <w:sz w:val="18"/>
                <w:szCs w:val="18"/>
                <w:highlight w:val="none"/>
              </w:rPr>
            </w:pPr>
            <w:r>
              <w:rPr>
                <w:rFonts w:hint="eastAsia" w:ascii="宋体" w:hAnsi="宋体"/>
                <w:bCs/>
                <w:sz w:val="18"/>
                <w:szCs w:val="18"/>
                <w:highlight w:val="none"/>
                <w:lang w:eastAsia="zh-CN"/>
              </w:rPr>
              <w:t>4.6</w:t>
            </w:r>
            <w:r>
              <w:rPr>
                <w:rFonts w:ascii="宋体" w:hAnsi="宋体"/>
                <w:bCs/>
                <w:sz w:val="18"/>
                <w:szCs w:val="18"/>
                <w:highlight w:val="none"/>
              </w:rPr>
              <w:t>.</w:t>
            </w:r>
            <w:r>
              <w:rPr>
                <w:rFonts w:hint="eastAsia" w:ascii="宋体" w:hAnsi="宋体"/>
                <w:bCs/>
                <w:sz w:val="18"/>
                <w:szCs w:val="18"/>
                <w:highlight w:val="none"/>
                <w:lang w:val="en-US" w:eastAsia="zh-CN"/>
              </w:rPr>
              <w:t>1</w:t>
            </w:r>
          </w:p>
        </w:tc>
      </w:tr>
      <w:tr w14:paraId="682C4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7DA52676">
            <w:pPr>
              <w:adjustRightInd w:val="0"/>
              <w:snapToGrid w:val="0"/>
              <w:jc w:val="center"/>
              <w:rPr>
                <w:rFonts w:ascii="宋体" w:hAnsi="宋体"/>
                <w:bCs/>
                <w:sz w:val="18"/>
                <w:szCs w:val="18"/>
                <w:highlight w:val="none"/>
              </w:rPr>
            </w:pPr>
            <w:r>
              <w:rPr>
                <w:rFonts w:hint="eastAsia" w:ascii="宋体" w:hAnsi="宋体"/>
                <w:sz w:val="18"/>
                <w:szCs w:val="18"/>
                <w:highlight w:val="none"/>
              </w:rPr>
              <w:t>6</w:t>
            </w:r>
            <w:r>
              <w:rPr>
                <w:rFonts w:ascii="宋体" w:hAnsi="宋体"/>
                <w:sz w:val="18"/>
                <w:szCs w:val="18"/>
                <w:highlight w:val="none"/>
              </w:rPr>
              <w:t>.</w:t>
            </w:r>
            <w:r>
              <w:rPr>
                <w:rFonts w:hint="eastAsia" w:ascii="宋体" w:hAnsi="宋体"/>
                <w:sz w:val="18"/>
                <w:szCs w:val="18"/>
                <w:highlight w:val="none"/>
              </w:rPr>
              <w:t>2.1</w:t>
            </w:r>
          </w:p>
        </w:tc>
        <w:tc>
          <w:tcPr>
            <w:tcW w:w="6860" w:type="dxa"/>
            <w:noWrap w:val="0"/>
            <w:vAlign w:val="center"/>
          </w:tcPr>
          <w:p w14:paraId="3CCDD084">
            <w:pPr>
              <w:adjustRightInd w:val="0"/>
              <w:snapToGrid w:val="0"/>
              <w:jc w:val="left"/>
              <w:rPr>
                <w:rFonts w:ascii="宋体" w:hAnsi="宋体"/>
                <w:bCs/>
                <w:sz w:val="18"/>
                <w:szCs w:val="18"/>
                <w:highlight w:val="none"/>
              </w:rPr>
            </w:pPr>
            <w:r>
              <w:rPr>
                <w:rFonts w:hint="eastAsia" w:ascii="宋体" w:hAnsi="宋体"/>
                <w:sz w:val="18"/>
                <w:szCs w:val="18"/>
                <w:highlight w:val="none"/>
              </w:rPr>
              <w:t>固定电气线路</w:t>
            </w:r>
          </w:p>
        </w:tc>
        <w:tc>
          <w:tcPr>
            <w:tcW w:w="633" w:type="dxa"/>
            <w:noWrap w:val="0"/>
            <w:vAlign w:val="center"/>
          </w:tcPr>
          <w:p w14:paraId="32A70F79">
            <w:pPr>
              <w:adjustRightInd w:val="0"/>
              <w:snapToGrid w:val="0"/>
              <w:jc w:val="center"/>
              <w:rPr>
                <w:rFonts w:ascii="宋体" w:hAnsi="宋体"/>
                <w:bCs/>
                <w:sz w:val="18"/>
                <w:szCs w:val="18"/>
                <w:highlight w:val="none"/>
              </w:rPr>
            </w:pPr>
          </w:p>
        </w:tc>
        <w:tc>
          <w:tcPr>
            <w:tcW w:w="633" w:type="dxa"/>
            <w:noWrap w:val="0"/>
            <w:vAlign w:val="center"/>
          </w:tcPr>
          <w:p w14:paraId="4BAC0E8B">
            <w:pPr>
              <w:adjustRightInd w:val="0"/>
              <w:snapToGrid w:val="0"/>
              <w:jc w:val="center"/>
              <w:rPr>
                <w:rFonts w:ascii="宋体" w:hAnsi="宋体"/>
                <w:bCs/>
                <w:sz w:val="18"/>
                <w:szCs w:val="18"/>
                <w:highlight w:val="none"/>
              </w:rPr>
            </w:pPr>
          </w:p>
        </w:tc>
        <w:tc>
          <w:tcPr>
            <w:tcW w:w="602" w:type="dxa"/>
            <w:noWrap w:val="0"/>
            <w:vAlign w:val="center"/>
          </w:tcPr>
          <w:p w14:paraId="4E27A495">
            <w:pPr>
              <w:adjustRightInd w:val="0"/>
              <w:snapToGrid w:val="0"/>
              <w:jc w:val="center"/>
              <w:rPr>
                <w:rFonts w:hint="default" w:ascii="宋体" w:hAnsi="宋体" w:eastAsia="宋体"/>
                <w:bCs/>
                <w:sz w:val="18"/>
                <w:szCs w:val="18"/>
                <w:highlight w:val="none"/>
                <w:lang w:val="en-US" w:eastAsia="zh-CN"/>
              </w:rPr>
            </w:pPr>
          </w:p>
        </w:tc>
        <w:tc>
          <w:tcPr>
            <w:tcW w:w="2113" w:type="dxa"/>
            <w:noWrap w:val="0"/>
            <w:vAlign w:val="center"/>
          </w:tcPr>
          <w:p w14:paraId="1CD8D5EF">
            <w:pPr>
              <w:adjustRightInd w:val="0"/>
              <w:snapToGrid w:val="0"/>
              <w:jc w:val="center"/>
              <w:rPr>
                <w:rFonts w:ascii="宋体" w:hAnsi="宋体"/>
                <w:bCs/>
                <w:sz w:val="18"/>
                <w:szCs w:val="18"/>
                <w:highlight w:val="none"/>
              </w:rPr>
            </w:pPr>
          </w:p>
        </w:tc>
        <w:tc>
          <w:tcPr>
            <w:tcW w:w="633" w:type="dxa"/>
            <w:noWrap w:val="0"/>
            <w:vAlign w:val="center"/>
          </w:tcPr>
          <w:p w14:paraId="74719F56">
            <w:pPr>
              <w:adjustRightInd w:val="0"/>
              <w:snapToGrid w:val="0"/>
              <w:jc w:val="center"/>
              <w:rPr>
                <w:rFonts w:ascii="宋体" w:hAnsi="宋体"/>
                <w:bCs/>
                <w:sz w:val="18"/>
                <w:szCs w:val="18"/>
                <w:highlight w:val="none"/>
              </w:rPr>
            </w:pPr>
          </w:p>
        </w:tc>
        <w:tc>
          <w:tcPr>
            <w:tcW w:w="1888" w:type="dxa"/>
            <w:noWrap w:val="0"/>
            <w:vAlign w:val="center"/>
          </w:tcPr>
          <w:p w14:paraId="072D91A8">
            <w:pPr>
              <w:adjustRightInd w:val="0"/>
              <w:snapToGrid w:val="0"/>
              <w:jc w:val="center"/>
              <w:rPr>
                <w:rFonts w:ascii="宋体" w:hAnsi="宋体"/>
                <w:bCs/>
                <w:sz w:val="18"/>
                <w:szCs w:val="18"/>
                <w:highlight w:val="none"/>
              </w:rPr>
            </w:pPr>
          </w:p>
        </w:tc>
        <w:tc>
          <w:tcPr>
            <w:tcW w:w="1139" w:type="dxa"/>
            <w:noWrap w:val="0"/>
            <w:vAlign w:val="center"/>
          </w:tcPr>
          <w:p w14:paraId="40A8B1B0">
            <w:pPr>
              <w:adjustRightInd w:val="0"/>
              <w:snapToGrid w:val="0"/>
              <w:jc w:val="center"/>
              <w:rPr>
                <w:rFonts w:ascii="宋体" w:hAnsi="宋体"/>
                <w:bCs/>
                <w:sz w:val="18"/>
                <w:szCs w:val="18"/>
                <w:highlight w:val="none"/>
              </w:rPr>
            </w:pPr>
            <w:r>
              <w:rPr>
                <w:rFonts w:hint="eastAsia" w:ascii="宋体" w:hAnsi="宋体"/>
                <w:bCs/>
                <w:sz w:val="18"/>
                <w:szCs w:val="18"/>
                <w:highlight w:val="none"/>
                <w:lang w:eastAsia="zh-CN"/>
              </w:rPr>
              <w:t>4.6</w:t>
            </w:r>
            <w:r>
              <w:rPr>
                <w:rFonts w:ascii="宋体" w:hAnsi="宋体"/>
                <w:bCs/>
                <w:sz w:val="18"/>
                <w:szCs w:val="18"/>
                <w:highlight w:val="none"/>
              </w:rPr>
              <w:t>.</w:t>
            </w:r>
            <w:r>
              <w:rPr>
                <w:rFonts w:hint="eastAsia" w:ascii="宋体" w:hAnsi="宋体"/>
                <w:bCs/>
                <w:sz w:val="18"/>
                <w:szCs w:val="18"/>
                <w:highlight w:val="none"/>
                <w:lang w:val="en-US" w:eastAsia="zh-CN"/>
              </w:rPr>
              <w:t>1</w:t>
            </w:r>
          </w:p>
        </w:tc>
      </w:tr>
      <w:tr w14:paraId="0B713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tblHeader/>
        </w:trPr>
        <w:tc>
          <w:tcPr>
            <w:tcW w:w="852" w:type="dxa"/>
            <w:noWrap w:val="0"/>
            <w:vAlign w:val="center"/>
          </w:tcPr>
          <w:p w14:paraId="060D4396">
            <w:pPr>
              <w:adjustRightInd w:val="0"/>
              <w:snapToGrid w:val="0"/>
              <w:jc w:val="center"/>
              <w:rPr>
                <w:rFonts w:hint="eastAsia" w:ascii="宋体" w:hAnsi="宋体"/>
                <w:sz w:val="18"/>
                <w:szCs w:val="18"/>
                <w:highlight w:val="none"/>
              </w:rPr>
            </w:pPr>
            <w:r>
              <w:rPr>
                <w:rFonts w:hint="eastAsia" w:ascii="宋体" w:hAnsi="宋体"/>
                <w:sz w:val="18"/>
                <w:szCs w:val="18"/>
                <w:highlight w:val="none"/>
              </w:rPr>
              <w:t>6.2.1.1</w:t>
            </w:r>
          </w:p>
        </w:tc>
        <w:tc>
          <w:tcPr>
            <w:tcW w:w="6860" w:type="dxa"/>
            <w:noWrap w:val="0"/>
            <w:vAlign w:val="center"/>
          </w:tcPr>
          <w:p w14:paraId="638434AC">
            <w:pPr>
              <w:adjustRightInd w:val="0"/>
              <w:snapToGrid w:val="0"/>
              <w:jc w:val="left"/>
              <w:rPr>
                <w:rFonts w:hint="default" w:ascii="宋体" w:hAnsi="宋体" w:eastAsia="宋体"/>
                <w:sz w:val="18"/>
                <w:szCs w:val="18"/>
                <w:highlight w:val="none"/>
                <w:lang w:val="en-US" w:eastAsia="zh-CN"/>
              </w:rPr>
            </w:pPr>
            <w:r>
              <w:rPr>
                <w:rFonts w:hint="eastAsia" w:ascii="宋体" w:hAnsi="宋体"/>
                <w:sz w:val="18"/>
                <w:szCs w:val="18"/>
                <w:highlight w:val="none"/>
                <w:lang w:val="en-US" w:eastAsia="zh-CN"/>
              </w:rPr>
              <w:t>固定线路敷设应符合下列要求：</w:t>
            </w:r>
          </w:p>
          <w:p w14:paraId="0103E18F">
            <w:pPr>
              <w:adjustRightInd w:val="0"/>
              <w:snapToGrid w:val="0"/>
              <w:jc w:val="left"/>
              <w:rPr>
                <w:rFonts w:hint="eastAsia" w:ascii="宋体" w:hAnsi="宋体"/>
                <w:sz w:val="18"/>
                <w:szCs w:val="18"/>
                <w:highlight w:val="none"/>
              </w:rPr>
            </w:pPr>
            <w:r>
              <w:rPr>
                <w:rFonts w:hint="eastAsia" w:ascii="宋体" w:hAnsi="宋体"/>
                <w:sz w:val="18"/>
                <w:szCs w:val="18"/>
                <w:highlight w:val="none"/>
              </w:rPr>
              <w:t>a）系统布线的敷设，应避免因环境温度、外部热源、浸水、灰尘聚集及腐蚀性或污染物质等外部影响对布线系统带来的损害，并应防止在敷设和使用过程中因受撞击、振动、电线或电缆自重和建筑物的变形等各种机械应力作用而带来的损害</w:t>
            </w:r>
            <w:r>
              <w:rPr>
                <w:rFonts w:hint="eastAsia" w:ascii="宋体" w:hAnsi="宋体"/>
                <w:sz w:val="18"/>
                <w:szCs w:val="18"/>
                <w:highlight w:val="none"/>
                <w:lang w:eastAsia="zh-CN"/>
              </w:rPr>
              <w:t>；</w:t>
            </w:r>
          </w:p>
          <w:p w14:paraId="71ECEB00">
            <w:pPr>
              <w:adjustRightInd w:val="0"/>
              <w:snapToGrid w:val="0"/>
              <w:jc w:val="left"/>
              <w:rPr>
                <w:rFonts w:hint="eastAsia" w:cs="Times New Roman"/>
                <w:sz w:val="18"/>
                <w:szCs w:val="18"/>
                <w:highlight w:val="none"/>
              </w:rPr>
            </w:pPr>
            <w:r>
              <w:rPr>
                <w:rFonts w:hint="eastAsia" w:ascii="宋体" w:hAnsi="宋体"/>
                <w:sz w:val="18"/>
                <w:szCs w:val="18"/>
                <w:highlight w:val="none"/>
                <w:lang w:val="en-US" w:eastAsia="zh-CN"/>
              </w:rPr>
              <w:t>b</w:t>
            </w:r>
            <w:r>
              <w:rPr>
                <w:rFonts w:hint="eastAsia" w:ascii="宋体" w:hAnsi="宋体"/>
                <w:sz w:val="18"/>
                <w:szCs w:val="18"/>
                <w:highlight w:val="none"/>
              </w:rPr>
              <w:t>）在有可燃物的闷顶和吊顶内敷设</w:t>
            </w:r>
            <w:r>
              <w:rPr>
                <w:rFonts w:hint="eastAsia" w:ascii="宋体" w:hAnsi="宋体"/>
                <w:sz w:val="18"/>
                <w:szCs w:val="18"/>
                <w:highlight w:val="none"/>
                <w:lang w:val="en-US" w:eastAsia="zh-CN"/>
              </w:rPr>
              <w:t>电力线缆</w:t>
            </w:r>
            <w:r>
              <w:rPr>
                <w:rFonts w:hint="eastAsia" w:ascii="宋体" w:hAnsi="宋体"/>
                <w:sz w:val="18"/>
                <w:szCs w:val="18"/>
                <w:highlight w:val="none"/>
              </w:rPr>
              <w:t>时，应采用不燃材料导管或电缆槽盒保护</w:t>
            </w:r>
            <w:r>
              <w:rPr>
                <w:rFonts w:hint="eastAsia" w:ascii="宋体" w:hAnsi="宋体"/>
                <w:sz w:val="18"/>
                <w:szCs w:val="18"/>
                <w:highlight w:val="none"/>
                <w:lang w:eastAsia="zh-CN"/>
              </w:rPr>
              <w:t>；</w:t>
            </w:r>
          </w:p>
          <w:p w14:paraId="547F7DCF">
            <w:pPr>
              <w:adjustRightInd w:val="0"/>
              <w:snapToGrid w:val="0"/>
              <w:jc w:val="left"/>
              <w:rPr>
                <w:rFonts w:hint="eastAsia" w:cs="Times New Roman"/>
                <w:sz w:val="18"/>
                <w:szCs w:val="18"/>
                <w:highlight w:val="none"/>
                <w:lang w:val="en-US" w:eastAsia="zh-CN"/>
              </w:rPr>
            </w:pPr>
            <w:r>
              <w:rPr>
                <w:rFonts w:hint="eastAsia" w:ascii="宋体" w:hAnsi="宋体"/>
                <w:sz w:val="18"/>
                <w:szCs w:val="18"/>
                <w:highlight w:val="none"/>
                <w:lang w:val="en-US" w:eastAsia="zh-CN"/>
              </w:rPr>
              <w:t>c</w:t>
            </w:r>
            <w:r>
              <w:rPr>
                <w:rFonts w:hint="eastAsia" w:ascii="宋体" w:hAnsi="宋体"/>
                <w:sz w:val="18"/>
                <w:szCs w:val="18"/>
                <w:highlight w:val="none"/>
              </w:rPr>
              <w:t>）布线用各种电缆、导管、电缆桥架及母线槽在穿越防火分区楼板、隔墙及防火卷帘上方的防火隔板时，其空隙应采用相当于建筑构件耐火极限的不燃烧材料</w:t>
            </w:r>
            <w:r>
              <w:rPr>
                <w:rFonts w:hint="eastAsia" w:ascii="宋体" w:hAnsi="宋体"/>
                <w:sz w:val="18"/>
                <w:szCs w:val="18"/>
                <w:highlight w:val="none"/>
                <w:lang w:val="en-US" w:eastAsia="zh-CN"/>
              </w:rPr>
              <w:t>封堵</w:t>
            </w:r>
            <w:r>
              <w:rPr>
                <w:rFonts w:hint="eastAsia" w:ascii="宋体" w:hAnsi="宋体"/>
                <w:sz w:val="18"/>
                <w:szCs w:val="18"/>
                <w:highlight w:val="none"/>
                <w:lang w:eastAsia="zh-CN"/>
              </w:rPr>
              <w:t>；</w:t>
            </w:r>
          </w:p>
          <w:p w14:paraId="234BE667">
            <w:pPr>
              <w:adjustRightInd w:val="0"/>
              <w:snapToGrid w:val="0"/>
              <w:jc w:val="left"/>
              <w:rPr>
                <w:rFonts w:hint="eastAsia" w:cs="Times New Roman"/>
                <w:sz w:val="18"/>
                <w:szCs w:val="18"/>
                <w:highlight w:val="none"/>
              </w:rPr>
            </w:pPr>
            <w:r>
              <w:rPr>
                <w:rFonts w:hint="eastAsia" w:ascii="宋体" w:hAnsi="宋体"/>
                <w:sz w:val="18"/>
                <w:szCs w:val="18"/>
                <w:highlight w:val="none"/>
                <w:lang w:val="en-US" w:eastAsia="zh-CN"/>
              </w:rPr>
              <w:t>d</w:t>
            </w:r>
            <w:r>
              <w:rPr>
                <w:rFonts w:hint="eastAsia" w:ascii="宋体" w:hAnsi="宋体"/>
                <w:sz w:val="18"/>
                <w:szCs w:val="18"/>
                <w:highlight w:val="none"/>
              </w:rPr>
              <w:t>）</w:t>
            </w:r>
            <w:r>
              <w:rPr>
                <w:rFonts w:hint="eastAsia" w:cs="Times New Roman"/>
                <w:sz w:val="18"/>
                <w:szCs w:val="18"/>
                <w:highlight w:val="none"/>
                <w:lang w:val="en-US" w:eastAsia="zh-CN"/>
              </w:rPr>
              <w:t>导线的接头不应裸露，不同电压等级的导线接头应分别经绝缘处理后设置在各自的专用接线盒(箱)或器具内，最小截面积应符合表G.4的规定，并应满足机械强度要求。</w:t>
            </w:r>
          </w:p>
        </w:tc>
        <w:tc>
          <w:tcPr>
            <w:tcW w:w="633" w:type="dxa"/>
            <w:noWrap w:val="0"/>
            <w:vAlign w:val="center"/>
          </w:tcPr>
          <w:p w14:paraId="3FDA52FD">
            <w:pPr>
              <w:adjustRightInd w:val="0"/>
              <w:snapToGrid w:val="0"/>
              <w:jc w:val="center"/>
              <w:rPr>
                <w:rFonts w:ascii="宋体" w:hAnsi="宋体"/>
                <w:bCs/>
                <w:sz w:val="18"/>
                <w:szCs w:val="18"/>
                <w:highlight w:val="none"/>
              </w:rPr>
            </w:pPr>
          </w:p>
        </w:tc>
        <w:tc>
          <w:tcPr>
            <w:tcW w:w="633" w:type="dxa"/>
            <w:noWrap w:val="0"/>
            <w:vAlign w:val="center"/>
          </w:tcPr>
          <w:p w14:paraId="6A26C3C3">
            <w:pPr>
              <w:adjustRightInd w:val="0"/>
              <w:snapToGrid w:val="0"/>
              <w:jc w:val="center"/>
              <w:rPr>
                <w:rFonts w:hint="eastAsia" w:ascii="宋体" w:hAnsi="宋体"/>
                <w:bCs/>
                <w:sz w:val="18"/>
                <w:szCs w:val="18"/>
                <w:highlight w:val="none"/>
              </w:rPr>
            </w:pPr>
          </w:p>
        </w:tc>
        <w:tc>
          <w:tcPr>
            <w:tcW w:w="602" w:type="dxa"/>
            <w:noWrap w:val="0"/>
            <w:vAlign w:val="center"/>
          </w:tcPr>
          <w:p w14:paraId="79CFE22B">
            <w:pPr>
              <w:adjustRightInd w:val="0"/>
              <w:snapToGrid w:val="0"/>
              <w:jc w:val="center"/>
              <w:rPr>
                <w:rFonts w:ascii="宋体" w:hAnsi="宋体"/>
                <w:bCs/>
                <w:sz w:val="18"/>
                <w:szCs w:val="18"/>
                <w:highlight w:val="none"/>
              </w:rPr>
            </w:pPr>
            <w:r>
              <w:rPr>
                <w:rFonts w:hint="eastAsia" w:ascii="宋体" w:hAnsi="宋体"/>
                <w:sz w:val="18"/>
                <w:szCs w:val="18"/>
                <w:highlight w:val="none"/>
                <w:lang w:val="en-US" w:eastAsia="zh-CN"/>
              </w:rPr>
              <w:t>4</w:t>
            </w:r>
          </w:p>
        </w:tc>
        <w:tc>
          <w:tcPr>
            <w:tcW w:w="2113" w:type="dxa"/>
            <w:noWrap w:val="0"/>
            <w:vAlign w:val="center"/>
          </w:tcPr>
          <w:p w14:paraId="45543B39">
            <w:pPr>
              <w:adjustRightInd w:val="0"/>
              <w:snapToGrid w:val="0"/>
              <w:jc w:val="left"/>
              <w:rPr>
                <w:rFonts w:ascii="宋体" w:hAnsi="宋体"/>
                <w:bCs/>
                <w:sz w:val="18"/>
                <w:szCs w:val="18"/>
                <w:highlight w:val="none"/>
              </w:rPr>
            </w:pPr>
            <w:r>
              <w:rPr>
                <w:rFonts w:hint="eastAsia" w:ascii="宋体" w:hAnsi="宋体"/>
                <w:sz w:val="18"/>
                <w:szCs w:val="18"/>
                <w:highlight w:val="none"/>
                <w:lang w:val="en-US" w:eastAsia="zh-CN"/>
              </w:rPr>
              <w:t>一处不符合扣2分。</w:t>
            </w:r>
          </w:p>
        </w:tc>
        <w:tc>
          <w:tcPr>
            <w:tcW w:w="633" w:type="dxa"/>
            <w:noWrap w:val="0"/>
            <w:vAlign w:val="center"/>
          </w:tcPr>
          <w:p w14:paraId="0086B2DA">
            <w:pPr>
              <w:adjustRightInd w:val="0"/>
              <w:snapToGrid w:val="0"/>
              <w:jc w:val="center"/>
              <w:rPr>
                <w:rFonts w:ascii="宋体" w:hAnsi="宋体"/>
                <w:bCs/>
                <w:sz w:val="18"/>
                <w:szCs w:val="18"/>
                <w:highlight w:val="none"/>
              </w:rPr>
            </w:pPr>
          </w:p>
        </w:tc>
        <w:tc>
          <w:tcPr>
            <w:tcW w:w="1888" w:type="dxa"/>
            <w:noWrap w:val="0"/>
            <w:vAlign w:val="center"/>
          </w:tcPr>
          <w:p w14:paraId="7795F119">
            <w:pPr>
              <w:adjustRightInd w:val="0"/>
              <w:snapToGrid w:val="0"/>
              <w:jc w:val="center"/>
              <w:rPr>
                <w:rFonts w:ascii="宋体" w:hAnsi="宋体"/>
                <w:bCs/>
                <w:sz w:val="18"/>
                <w:szCs w:val="18"/>
                <w:highlight w:val="none"/>
              </w:rPr>
            </w:pPr>
          </w:p>
        </w:tc>
        <w:tc>
          <w:tcPr>
            <w:tcW w:w="1139" w:type="dxa"/>
            <w:noWrap w:val="0"/>
            <w:vAlign w:val="center"/>
          </w:tcPr>
          <w:p w14:paraId="59943DC0">
            <w:pPr>
              <w:adjustRightInd w:val="0"/>
              <w:snapToGrid w:val="0"/>
              <w:jc w:val="center"/>
              <w:rPr>
                <w:rFonts w:ascii="宋体" w:hAnsi="宋体"/>
                <w:bCs/>
                <w:sz w:val="18"/>
                <w:szCs w:val="18"/>
                <w:highlight w:val="none"/>
              </w:rPr>
            </w:pPr>
            <w:r>
              <w:rPr>
                <w:rFonts w:hint="eastAsia" w:ascii="宋体" w:hAnsi="宋体"/>
                <w:bCs/>
                <w:sz w:val="18"/>
                <w:szCs w:val="18"/>
                <w:highlight w:val="none"/>
                <w:lang w:eastAsia="zh-CN"/>
              </w:rPr>
              <w:t>4.6</w:t>
            </w:r>
            <w:r>
              <w:rPr>
                <w:rFonts w:ascii="宋体" w:hAnsi="宋体"/>
                <w:bCs/>
                <w:sz w:val="18"/>
                <w:szCs w:val="18"/>
                <w:highlight w:val="none"/>
              </w:rPr>
              <w:t>.</w:t>
            </w:r>
            <w:r>
              <w:rPr>
                <w:rFonts w:hint="eastAsia" w:ascii="宋体" w:hAnsi="宋体"/>
                <w:bCs/>
                <w:sz w:val="18"/>
                <w:szCs w:val="18"/>
                <w:highlight w:val="none"/>
                <w:lang w:val="en-US" w:eastAsia="zh-CN"/>
              </w:rPr>
              <w:t>1</w:t>
            </w:r>
          </w:p>
        </w:tc>
      </w:tr>
      <w:tr w14:paraId="708FC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tblHeader/>
        </w:trPr>
        <w:tc>
          <w:tcPr>
            <w:tcW w:w="852" w:type="dxa"/>
            <w:noWrap w:val="0"/>
            <w:vAlign w:val="center"/>
          </w:tcPr>
          <w:p w14:paraId="5649D3DB">
            <w:pPr>
              <w:adjustRightInd w:val="0"/>
              <w:snapToGrid w:val="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rPr>
              <w:t>6.2.1.</w:t>
            </w:r>
            <w:r>
              <w:rPr>
                <w:rFonts w:hint="eastAsia" w:ascii="宋体" w:hAnsi="宋体"/>
                <w:sz w:val="18"/>
                <w:szCs w:val="18"/>
                <w:highlight w:val="none"/>
                <w:lang w:val="en-US" w:eastAsia="zh-CN"/>
              </w:rPr>
              <w:t>2</w:t>
            </w:r>
          </w:p>
        </w:tc>
        <w:tc>
          <w:tcPr>
            <w:tcW w:w="6860" w:type="dxa"/>
            <w:noWrap w:val="0"/>
            <w:vAlign w:val="center"/>
          </w:tcPr>
          <w:p w14:paraId="6C88B7BA">
            <w:pPr>
              <w:adjustRightInd w:val="0"/>
              <w:spacing w:line="240" w:lineRule="exact"/>
              <w:jc w:val="left"/>
              <w:rPr>
                <w:rFonts w:hint="eastAsia" w:ascii="宋体" w:hAnsi="宋体"/>
                <w:sz w:val="18"/>
                <w:szCs w:val="18"/>
                <w:highlight w:val="none"/>
              </w:rPr>
            </w:pPr>
            <w:r>
              <w:rPr>
                <w:rFonts w:hint="eastAsia" w:ascii="宋体" w:hAnsi="宋体"/>
                <w:sz w:val="18"/>
                <w:szCs w:val="18"/>
                <w:highlight w:val="none"/>
              </w:rPr>
              <w:t>室内直敷布线应符合下列规定：</w:t>
            </w:r>
          </w:p>
          <w:p w14:paraId="7740BC9E">
            <w:pPr>
              <w:adjustRightInd/>
              <w:snapToGrid w:val="0"/>
              <w:spacing w:line="240" w:lineRule="exact"/>
              <w:jc w:val="left"/>
              <w:rPr>
                <w:rFonts w:hint="eastAsia" w:ascii="宋体" w:hAnsi="宋体"/>
                <w:sz w:val="18"/>
                <w:szCs w:val="18"/>
                <w:highlight w:val="none"/>
              </w:rPr>
            </w:pPr>
            <w:r>
              <w:rPr>
                <w:rFonts w:hint="eastAsia" w:ascii="宋体" w:hAnsi="宋体"/>
                <w:sz w:val="18"/>
                <w:szCs w:val="18"/>
                <w:highlight w:val="none"/>
              </w:rPr>
              <w:t>a）直敷布线应采用不低于B2级阻燃护套绝缘电线；</w:t>
            </w:r>
          </w:p>
          <w:p w14:paraId="361F7BE6">
            <w:pPr>
              <w:adjustRightInd/>
              <w:snapToGrid w:val="0"/>
              <w:spacing w:line="240" w:lineRule="exact"/>
              <w:jc w:val="left"/>
              <w:rPr>
                <w:rFonts w:hint="eastAsia" w:ascii="宋体" w:hAnsi="宋体"/>
                <w:sz w:val="18"/>
                <w:szCs w:val="18"/>
                <w:highlight w:val="none"/>
              </w:rPr>
            </w:pPr>
            <w:r>
              <w:rPr>
                <w:rFonts w:hint="eastAsia" w:ascii="宋体" w:hAnsi="宋体"/>
                <w:sz w:val="18"/>
                <w:szCs w:val="18"/>
                <w:highlight w:val="none"/>
              </w:rPr>
              <w:t>b）当护套绝缘电线水平敷设至地面的距离不应小于 2.5 m，垂直敷设至地面低于 1.8 m 的部分应穿管保护；</w:t>
            </w:r>
          </w:p>
          <w:p w14:paraId="417CD3AB">
            <w:pPr>
              <w:adjustRightInd/>
              <w:snapToGrid w:val="0"/>
              <w:spacing w:line="240" w:lineRule="exact"/>
              <w:jc w:val="left"/>
              <w:rPr>
                <w:rFonts w:hint="eastAsia" w:ascii="宋体" w:hAnsi="宋体"/>
                <w:sz w:val="18"/>
                <w:szCs w:val="18"/>
                <w:highlight w:val="none"/>
              </w:rPr>
            </w:pPr>
            <w:r>
              <w:rPr>
                <w:rFonts w:hint="eastAsia" w:ascii="宋体" w:hAnsi="宋体"/>
                <w:sz w:val="18"/>
                <w:szCs w:val="18"/>
                <w:highlight w:val="none"/>
              </w:rPr>
              <w:t>c）护套绝缘电线与不发热的管道紧贴交叉时，应加导管保护；敷设在易受机械损伤的场所应用钢管保护；</w:t>
            </w:r>
          </w:p>
          <w:p w14:paraId="105B54F5">
            <w:pPr>
              <w:adjustRightInd/>
              <w:snapToGrid w:val="0"/>
              <w:spacing w:line="240" w:lineRule="exact"/>
              <w:jc w:val="left"/>
              <w:rPr>
                <w:rFonts w:hint="eastAsia" w:ascii="宋体" w:hAnsi="宋体"/>
                <w:sz w:val="18"/>
                <w:szCs w:val="18"/>
                <w:highlight w:val="none"/>
                <w:lang w:eastAsia="zh-CN"/>
              </w:rPr>
            </w:pPr>
            <w:r>
              <w:rPr>
                <w:rFonts w:hint="eastAsia" w:ascii="宋体" w:hAnsi="宋体"/>
                <w:sz w:val="18"/>
                <w:szCs w:val="18"/>
                <w:highlight w:val="none"/>
              </w:rPr>
              <w:t>d）建筑物顶棚内、墙体及顶棚的抹灰层、保温层及装饰面板内或在易受机械损伤的场所不应采用直敷布线</w:t>
            </w:r>
            <w:r>
              <w:rPr>
                <w:rFonts w:hint="eastAsia" w:ascii="宋体" w:hAnsi="宋体"/>
                <w:sz w:val="18"/>
                <w:szCs w:val="18"/>
                <w:highlight w:val="none"/>
                <w:lang w:eastAsia="zh-CN"/>
              </w:rPr>
              <w:t>；</w:t>
            </w:r>
          </w:p>
          <w:p w14:paraId="6646797E">
            <w:pPr>
              <w:adjustRightInd w:val="0"/>
              <w:snapToGrid/>
              <w:spacing w:line="240" w:lineRule="exact"/>
              <w:jc w:val="left"/>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e</w:t>
            </w:r>
            <w:r>
              <w:rPr>
                <w:rFonts w:hint="eastAsia" w:ascii="宋体" w:hAnsi="宋体"/>
                <w:sz w:val="18"/>
                <w:szCs w:val="18"/>
                <w:highlight w:val="none"/>
              </w:rPr>
              <w:t>）</w:t>
            </w:r>
            <w:r>
              <w:rPr>
                <w:rFonts w:hint="eastAsia" w:ascii="宋体" w:hAnsi="宋体" w:eastAsia="宋体" w:cs="宋体"/>
                <w:kern w:val="2"/>
                <w:sz w:val="18"/>
                <w:szCs w:val="18"/>
                <w:highlight w:val="none"/>
              </w:rPr>
              <w:t>不应使用绝缘老化或失去绝缘性能的电气线路，不应在电气线路上悬挂物品。</w:t>
            </w:r>
          </w:p>
        </w:tc>
        <w:tc>
          <w:tcPr>
            <w:tcW w:w="633" w:type="dxa"/>
            <w:noWrap w:val="0"/>
            <w:vAlign w:val="center"/>
          </w:tcPr>
          <w:p w14:paraId="158CCF4D">
            <w:pPr>
              <w:adjustRightInd w:val="0"/>
              <w:snapToGrid w:val="0"/>
              <w:jc w:val="center"/>
              <w:rPr>
                <w:rFonts w:ascii="宋体" w:hAnsi="宋体" w:eastAsia="宋体" w:cs="Times New Roman"/>
                <w:bCs/>
                <w:kern w:val="2"/>
                <w:sz w:val="18"/>
                <w:szCs w:val="18"/>
                <w:highlight w:val="none"/>
                <w:lang w:val="en-US" w:eastAsia="zh-CN" w:bidi="ar-SA"/>
              </w:rPr>
            </w:pPr>
          </w:p>
        </w:tc>
        <w:tc>
          <w:tcPr>
            <w:tcW w:w="633" w:type="dxa"/>
            <w:noWrap w:val="0"/>
            <w:vAlign w:val="center"/>
          </w:tcPr>
          <w:p w14:paraId="076B0DFB">
            <w:pPr>
              <w:adjustRightInd w:val="0"/>
              <w:snapToGrid w:val="0"/>
              <w:jc w:val="center"/>
              <w:rPr>
                <w:rFonts w:hint="eastAsia" w:ascii="宋体" w:hAnsi="宋体" w:eastAsia="宋体" w:cs="Times New Roman"/>
                <w:bCs/>
                <w:kern w:val="2"/>
                <w:sz w:val="18"/>
                <w:szCs w:val="18"/>
                <w:highlight w:val="none"/>
                <w:lang w:val="en-US" w:eastAsia="zh-CN" w:bidi="ar-SA"/>
              </w:rPr>
            </w:pPr>
          </w:p>
        </w:tc>
        <w:tc>
          <w:tcPr>
            <w:tcW w:w="602" w:type="dxa"/>
            <w:noWrap w:val="0"/>
            <w:vAlign w:val="center"/>
          </w:tcPr>
          <w:p w14:paraId="23325F84">
            <w:pPr>
              <w:adjustRightInd w:val="0"/>
              <w:snapToGrid w:val="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3</w:t>
            </w:r>
          </w:p>
        </w:tc>
        <w:tc>
          <w:tcPr>
            <w:tcW w:w="2113" w:type="dxa"/>
            <w:noWrap w:val="0"/>
            <w:vAlign w:val="center"/>
          </w:tcPr>
          <w:p w14:paraId="0592D609">
            <w:pPr>
              <w:adjustRightInd w:val="0"/>
              <w:snapToGrid w:val="0"/>
              <w:jc w:val="left"/>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一处不符合扣2分。</w:t>
            </w:r>
          </w:p>
        </w:tc>
        <w:tc>
          <w:tcPr>
            <w:tcW w:w="633" w:type="dxa"/>
            <w:noWrap w:val="0"/>
            <w:vAlign w:val="center"/>
          </w:tcPr>
          <w:p w14:paraId="212651C4">
            <w:pPr>
              <w:adjustRightInd w:val="0"/>
              <w:snapToGrid w:val="0"/>
              <w:jc w:val="center"/>
              <w:rPr>
                <w:rFonts w:ascii="宋体" w:hAnsi="宋体" w:eastAsia="宋体" w:cs="Times New Roman"/>
                <w:bCs/>
                <w:kern w:val="2"/>
                <w:sz w:val="18"/>
                <w:szCs w:val="18"/>
                <w:highlight w:val="none"/>
                <w:lang w:val="en-US" w:eastAsia="zh-CN" w:bidi="ar-SA"/>
              </w:rPr>
            </w:pPr>
          </w:p>
        </w:tc>
        <w:tc>
          <w:tcPr>
            <w:tcW w:w="1888" w:type="dxa"/>
            <w:noWrap w:val="0"/>
            <w:vAlign w:val="center"/>
          </w:tcPr>
          <w:p w14:paraId="6F57A8A2">
            <w:pPr>
              <w:adjustRightInd w:val="0"/>
              <w:snapToGrid w:val="0"/>
              <w:jc w:val="center"/>
              <w:rPr>
                <w:rFonts w:ascii="宋体" w:hAnsi="宋体" w:eastAsia="宋体" w:cs="Times New Roman"/>
                <w:bCs/>
                <w:kern w:val="2"/>
                <w:sz w:val="18"/>
                <w:szCs w:val="18"/>
                <w:highlight w:val="none"/>
                <w:lang w:val="en-US" w:eastAsia="zh-CN" w:bidi="ar-SA"/>
              </w:rPr>
            </w:pPr>
          </w:p>
        </w:tc>
        <w:tc>
          <w:tcPr>
            <w:tcW w:w="1139" w:type="dxa"/>
            <w:noWrap w:val="0"/>
            <w:vAlign w:val="center"/>
          </w:tcPr>
          <w:p w14:paraId="371EB33C">
            <w:pPr>
              <w:adjustRightInd w:val="0"/>
              <w:snapToGrid w:val="0"/>
              <w:jc w:val="center"/>
              <w:rPr>
                <w:rFonts w:ascii="宋体" w:hAnsi="宋体" w:eastAsia="宋体" w:cs="Times New Roman"/>
                <w:bCs/>
                <w:kern w:val="2"/>
                <w:sz w:val="18"/>
                <w:szCs w:val="18"/>
                <w:highlight w:val="none"/>
                <w:lang w:val="en-US" w:eastAsia="zh-CN" w:bidi="ar-SA"/>
              </w:rPr>
            </w:pPr>
            <w:r>
              <w:rPr>
                <w:rFonts w:hint="eastAsia" w:ascii="宋体" w:hAnsi="宋体"/>
                <w:bCs/>
                <w:sz w:val="18"/>
                <w:szCs w:val="18"/>
                <w:highlight w:val="none"/>
                <w:lang w:eastAsia="zh-CN"/>
              </w:rPr>
              <w:t>4.6</w:t>
            </w:r>
            <w:r>
              <w:rPr>
                <w:rFonts w:ascii="宋体" w:hAnsi="宋体"/>
                <w:bCs/>
                <w:sz w:val="18"/>
                <w:szCs w:val="18"/>
                <w:highlight w:val="none"/>
              </w:rPr>
              <w:t>.</w:t>
            </w:r>
            <w:r>
              <w:rPr>
                <w:rFonts w:hint="eastAsia" w:ascii="宋体" w:hAnsi="宋体"/>
                <w:bCs/>
                <w:sz w:val="18"/>
                <w:szCs w:val="18"/>
                <w:highlight w:val="none"/>
                <w:lang w:val="en-US" w:eastAsia="zh-CN"/>
              </w:rPr>
              <w:t>1</w:t>
            </w:r>
          </w:p>
        </w:tc>
      </w:tr>
      <w:tr w14:paraId="3EFC4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tblHeader/>
        </w:trPr>
        <w:tc>
          <w:tcPr>
            <w:tcW w:w="0" w:type="auto"/>
            <w:vAlign w:val="center"/>
          </w:tcPr>
          <w:p w14:paraId="1A233279">
            <w:pPr>
              <w:adjustRightInd w:val="0"/>
              <w:snapToGrid w:val="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rPr>
              <w:t>6.2.1.</w:t>
            </w:r>
            <w:r>
              <w:rPr>
                <w:rFonts w:hint="eastAsia" w:ascii="宋体" w:hAnsi="宋体"/>
                <w:sz w:val="18"/>
                <w:szCs w:val="18"/>
                <w:highlight w:val="none"/>
                <w:lang w:val="en-US" w:eastAsia="zh-CN"/>
              </w:rPr>
              <w:t>3</w:t>
            </w:r>
          </w:p>
        </w:tc>
        <w:tc>
          <w:tcPr>
            <w:tcW w:w="0" w:type="auto"/>
            <w:vAlign w:val="center"/>
          </w:tcPr>
          <w:p w14:paraId="221B7A15">
            <w:pPr>
              <w:adjustRightInd w:val="0"/>
              <w:spacing w:line="240" w:lineRule="exact"/>
              <w:jc w:val="left"/>
              <w:rPr>
                <w:rFonts w:ascii="宋体" w:hAnsi="宋体"/>
                <w:sz w:val="18"/>
                <w:szCs w:val="18"/>
                <w:highlight w:val="none"/>
              </w:rPr>
            </w:pPr>
            <w:r>
              <w:rPr>
                <w:rFonts w:hint="eastAsia" w:ascii="宋体" w:hAnsi="宋体"/>
                <w:sz w:val="18"/>
                <w:szCs w:val="18"/>
                <w:highlight w:val="none"/>
              </w:rPr>
              <w:t>电缆桥架和金属线槽应符合下列规定：</w:t>
            </w:r>
          </w:p>
          <w:p w14:paraId="2B08FBA2">
            <w:pPr>
              <w:adjustRightInd w:val="0"/>
              <w:spacing w:line="240" w:lineRule="exact"/>
              <w:jc w:val="left"/>
              <w:rPr>
                <w:rFonts w:ascii="宋体" w:hAnsi="宋体"/>
                <w:sz w:val="18"/>
                <w:szCs w:val="18"/>
                <w:highlight w:val="none"/>
              </w:rPr>
            </w:pPr>
            <w:r>
              <w:rPr>
                <w:rFonts w:ascii="宋体" w:hAnsi="宋体"/>
                <w:sz w:val="18"/>
                <w:szCs w:val="18"/>
                <w:highlight w:val="none"/>
              </w:rPr>
              <w:t>a</w:t>
            </w:r>
            <w:r>
              <w:rPr>
                <w:rFonts w:hint="eastAsia" w:ascii="宋体" w:hAnsi="宋体"/>
                <w:sz w:val="18"/>
                <w:szCs w:val="18"/>
                <w:highlight w:val="none"/>
              </w:rPr>
              <w:t>）电缆托盘和桥架与各种管道的最小净距应符合表G.</w:t>
            </w:r>
            <w:r>
              <w:rPr>
                <w:rFonts w:hint="eastAsia" w:ascii="宋体" w:hAnsi="宋体"/>
                <w:sz w:val="18"/>
                <w:szCs w:val="18"/>
                <w:highlight w:val="none"/>
                <w:lang w:val="en-US" w:eastAsia="zh-CN"/>
              </w:rPr>
              <w:t>5</w:t>
            </w:r>
            <w:r>
              <w:rPr>
                <w:rFonts w:hint="eastAsia" w:ascii="宋体" w:hAnsi="宋体"/>
                <w:sz w:val="18"/>
                <w:szCs w:val="18"/>
                <w:highlight w:val="none"/>
              </w:rPr>
              <w:t>的规定；</w:t>
            </w:r>
          </w:p>
          <w:p w14:paraId="11BF971C">
            <w:pPr>
              <w:adjustRightInd w:val="0"/>
              <w:spacing w:line="240" w:lineRule="exact"/>
              <w:jc w:val="left"/>
              <w:rPr>
                <w:rFonts w:ascii="宋体" w:hAnsi="宋体"/>
                <w:sz w:val="18"/>
                <w:szCs w:val="18"/>
                <w:highlight w:val="none"/>
              </w:rPr>
            </w:pPr>
            <w:r>
              <w:rPr>
                <w:rFonts w:ascii="宋体" w:hAnsi="宋体"/>
                <w:sz w:val="18"/>
                <w:szCs w:val="18"/>
                <w:highlight w:val="none"/>
              </w:rPr>
              <w:t>b</w:t>
            </w:r>
            <w:r>
              <w:rPr>
                <w:rFonts w:hint="eastAsia" w:ascii="宋体" w:hAnsi="宋体"/>
                <w:sz w:val="18"/>
                <w:szCs w:val="18"/>
                <w:highlight w:val="none"/>
              </w:rPr>
              <w:t>）电缆桥架水平敷设时，距地面高度不</w:t>
            </w:r>
            <w:r>
              <w:rPr>
                <w:rFonts w:hint="eastAsia" w:ascii="宋体" w:hAnsi="宋体"/>
                <w:sz w:val="18"/>
                <w:szCs w:val="18"/>
                <w:highlight w:val="none"/>
                <w:lang w:val="en-US" w:eastAsia="zh-CN"/>
              </w:rPr>
              <w:t>宜</w:t>
            </w:r>
            <w:r>
              <w:rPr>
                <w:rFonts w:hint="eastAsia" w:ascii="宋体" w:hAnsi="宋体"/>
                <w:sz w:val="18"/>
                <w:szCs w:val="18"/>
                <w:highlight w:val="none"/>
              </w:rPr>
              <w:t>低于</w:t>
            </w:r>
            <w:r>
              <w:rPr>
                <w:rFonts w:ascii="宋体" w:hAnsi="宋体"/>
                <w:sz w:val="18"/>
                <w:szCs w:val="18"/>
                <w:highlight w:val="none"/>
              </w:rPr>
              <w:t>2.</w:t>
            </w:r>
            <w:r>
              <w:rPr>
                <w:rFonts w:hint="eastAsia" w:ascii="宋体" w:hAnsi="宋体"/>
                <w:sz w:val="18"/>
                <w:szCs w:val="18"/>
                <w:highlight w:val="none"/>
                <w:lang w:val="en-US" w:eastAsia="zh-CN"/>
              </w:rPr>
              <w:t>2</w:t>
            </w:r>
            <w:r>
              <w:rPr>
                <w:rFonts w:hint="eastAsia" w:ascii="宋体" w:hAnsi="宋体"/>
                <w:sz w:val="18"/>
                <w:szCs w:val="18"/>
                <w:highlight w:val="none"/>
              </w:rPr>
              <w:t xml:space="preserve"> </w:t>
            </w:r>
            <w:r>
              <w:rPr>
                <w:rFonts w:ascii="宋体" w:hAnsi="宋体"/>
                <w:sz w:val="18"/>
                <w:szCs w:val="18"/>
                <w:highlight w:val="none"/>
              </w:rPr>
              <w:t>m</w:t>
            </w:r>
            <w:r>
              <w:rPr>
                <w:rFonts w:hint="eastAsia" w:ascii="宋体" w:hAnsi="宋体"/>
                <w:sz w:val="18"/>
                <w:szCs w:val="18"/>
                <w:highlight w:val="none"/>
              </w:rPr>
              <w:t>；垂直敷设时，线路1.8m以下应加防护措施；</w:t>
            </w:r>
          </w:p>
          <w:p w14:paraId="5624FEAE">
            <w:pPr>
              <w:adjustRightInd w:val="0"/>
              <w:snapToGrid w:val="0"/>
              <w:jc w:val="left"/>
              <w:rPr>
                <w:rFonts w:hint="eastAsia" w:ascii="宋体" w:hAnsi="宋体"/>
                <w:sz w:val="18"/>
                <w:szCs w:val="18"/>
                <w:highlight w:val="none"/>
              </w:rPr>
            </w:pPr>
            <w:r>
              <w:rPr>
                <w:rFonts w:ascii="宋体" w:hAnsi="宋体"/>
                <w:sz w:val="18"/>
                <w:szCs w:val="18"/>
                <w:highlight w:val="none"/>
              </w:rPr>
              <w:t>c</w:t>
            </w:r>
            <w:r>
              <w:rPr>
                <w:rFonts w:hint="eastAsia" w:ascii="宋体" w:hAnsi="宋体"/>
                <w:sz w:val="18"/>
                <w:szCs w:val="18"/>
                <w:highlight w:val="none"/>
              </w:rPr>
              <w:t>）电缆桥架不得在穿过楼板或墙体等处进行连接；</w:t>
            </w:r>
          </w:p>
          <w:p w14:paraId="777F5C31">
            <w:pPr>
              <w:adjustRightInd w:val="0"/>
              <w:snapToGrid w:val="0"/>
              <w:jc w:val="left"/>
              <w:rPr>
                <w:rFonts w:hint="eastAsia" w:ascii="宋体" w:hAnsi="宋体"/>
                <w:sz w:val="18"/>
                <w:szCs w:val="18"/>
                <w:highlight w:val="none"/>
                <w:lang w:eastAsia="zh-CN"/>
              </w:rPr>
            </w:pPr>
            <w:r>
              <w:rPr>
                <w:rFonts w:hint="eastAsia" w:ascii="宋体" w:hAnsi="宋体"/>
                <w:sz w:val="18"/>
                <w:szCs w:val="18"/>
                <w:highlight w:val="none"/>
                <w:lang w:val="en-US" w:eastAsia="zh-CN"/>
              </w:rPr>
              <w:t>d</w:t>
            </w:r>
            <w:r>
              <w:rPr>
                <w:rFonts w:hint="eastAsia" w:ascii="宋体" w:hAnsi="宋体"/>
                <w:sz w:val="18"/>
                <w:szCs w:val="18"/>
                <w:highlight w:val="none"/>
              </w:rPr>
              <w:t>）金属电缆桥架应与保护联结导体可靠连接，且全长不应少于2处接地</w:t>
            </w:r>
            <w:r>
              <w:rPr>
                <w:rFonts w:hint="eastAsia" w:ascii="宋体" w:hAnsi="宋体"/>
                <w:sz w:val="18"/>
                <w:szCs w:val="18"/>
                <w:highlight w:val="none"/>
                <w:lang w:eastAsia="zh-CN"/>
              </w:rPr>
              <w:t>；</w:t>
            </w:r>
          </w:p>
          <w:p w14:paraId="18D95FB1">
            <w:pPr>
              <w:adjustRightInd w:val="0"/>
              <w:spacing w:line="240" w:lineRule="exact"/>
              <w:jc w:val="left"/>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e</w:t>
            </w:r>
            <w:r>
              <w:rPr>
                <w:rFonts w:hint="eastAsia" w:ascii="宋体" w:hAnsi="宋体"/>
                <w:sz w:val="18"/>
                <w:szCs w:val="18"/>
                <w:highlight w:val="none"/>
              </w:rPr>
              <w:t>）厨房内电缆槽盒、设备电源线，应避开明火2.0m以外敷设</w:t>
            </w:r>
            <w:r>
              <w:rPr>
                <w:rFonts w:hint="eastAsia" w:ascii="宋体" w:hAnsi="宋体"/>
                <w:sz w:val="18"/>
                <w:szCs w:val="18"/>
                <w:highlight w:val="none"/>
                <w:lang w:eastAsia="zh-CN"/>
              </w:rPr>
              <w:t>；</w:t>
            </w:r>
          </w:p>
        </w:tc>
        <w:tc>
          <w:tcPr>
            <w:tcW w:w="0" w:type="auto"/>
            <w:vAlign w:val="center"/>
          </w:tcPr>
          <w:p w14:paraId="5ECD15D9">
            <w:pPr>
              <w:pStyle w:val="22"/>
              <w:numPr>
                <w:ilvl w:val="3"/>
                <w:numId w:val="0"/>
              </w:numPr>
              <w:adjustRightInd w:val="0"/>
              <w:snapToGrid w:val="0"/>
              <w:ind w:left="0" w:leftChars="0" w:right="-105" w:rightChars="0" w:firstLine="0" w:firstLineChars="0"/>
              <w:jc w:val="center"/>
              <w:rPr>
                <w:rFonts w:ascii="宋体" w:hAnsi="宋体" w:eastAsia="宋体" w:cs="Times New Roman"/>
                <w:kern w:val="2"/>
                <w:sz w:val="18"/>
                <w:szCs w:val="18"/>
                <w:highlight w:val="none"/>
                <w:lang w:val="en-US" w:eastAsia="zh-CN" w:bidi="ar-SA"/>
              </w:rPr>
            </w:pPr>
          </w:p>
        </w:tc>
        <w:tc>
          <w:tcPr>
            <w:tcW w:w="0" w:type="auto"/>
            <w:vAlign w:val="center"/>
          </w:tcPr>
          <w:p w14:paraId="5A970EC6">
            <w:pPr>
              <w:pStyle w:val="22"/>
              <w:numPr>
                <w:ilvl w:val="3"/>
                <w:numId w:val="0"/>
              </w:numPr>
              <w:adjustRightInd w:val="0"/>
              <w:snapToGrid w:val="0"/>
              <w:ind w:left="0" w:leftChars="0" w:right="-105" w:rightChars="0" w:firstLine="0" w:firstLineChars="0"/>
              <w:jc w:val="center"/>
              <w:rPr>
                <w:rFonts w:hint="eastAsia" w:ascii="宋体" w:hAnsi="宋体" w:eastAsia="宋体" w:cs="Times New Roman"/>
                <w:kern w:val="2"/>
                <w:sz w:val="18"/>
                <w:szCs w:val="18"/>
                <w:highlight w:val="none"/>
                <w:lang w:val="en-US" w:eastAsia="zh-CN" w:bidi="ar-SA"/>
              </w:rPr>
            </w:pPr>
          </w:p>
        </w:tc>
        <w:tc>
          <w:tcPr>
            <w:tcW w:w="0" w:type="auto"/>
            <w:vAlign w:val="center"/>
          </w:tcPr>
          <w:p w14:paraId="662E6620">
            <w:pPr>
              <w:adjustRightInd w:val="0"/>
              <w:snapToGrid w:val="0"/>
              <w:jc w:val="center"/>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3</w:t>
            </w:r>
          </w:p>
        </w:tc>
        <w:tc>
          <w:tcPr>
            <w:tcW w:w="0" w:type="auto"/>
            <w:vAlign w:val="center"/>
          </w:tcPr>
          <w:p w14:paraId="063FDBB9">
            <w:pPr>
              <w:adjustRightInd w:val="0"/>
              <w:spacing w:line="240" w:lineRule="exact"/>
              <w:jc w:val="left"/>
              <w:rPr>
                <w:rFonts w:hint="eastAsia" w:ascii="宋体" w:hAnsi="宋体" w:eastAsia="宋体" w:cs="Times New Roman"/>
                <w:kern w:val="2"/>
                <w:sz w:val="18"/>
                <w:szCs w:val="18"/>
                <w:highlight w:val="none"/>
                <w:lang w:val="en-US" w:eastAsia="zh-CN" w:bidi="ar-SA"/>
              </w:rPr>
            </w:pPr>
            <w:r>
              <w:rPr>
                <w:rFonts w:hint="eastAsia" w:ascii="宋体" w:hAnsi="宋体"/>
                <w:sz w:val="18"/>
                <w:szCs w:val="18"/>
                <w:highlight w:val="none"/>
                <w:lang w:val="en-US" w:eastAsia="zh-CN"/>
              </w:rPr>
              <w:t>一处不符合扣2分。</w:t>
            </w:r>
          </w:p>
        </w:tc>
        <w:tc>
          <w:tcPr>
            <w:tcW w:w="0" w:type="auto"/>
            <w:vAlign w:val="center"/>
          </w:tcPr>
          <w:p w14:paraId="332AD2F4">
            <w:pPr>
              <w:adjustRightInd w:val="0"/>
              <w:snapToGrid w:val="0"/>
              <w:jc w:val="center"/>
              <w:rPr>
                <w:rFonts w:ascii="宋体" w:hAnsi="宋体" w:eastAsia="宋体" w:cs="Times New Roman"/>
                <w:bCs/>
                <w:kern w:val="2"/>
                <w:sz w:val="18"/>
                <w:szCs w:val="18"/>
                <w:highlight w:val="none"/>
                <w:lang w:val="en-US" w:eastAsia="zh-CN" w:bidi="ar-SA"/>
              </w:rPr>
            </w:pPr>
          </w:p>
        </w:tc>
        <w:tc>
          <w:tcPr>
            <w:tcW w:w="0" w:type="auto"/>
            <w:vAlign w:val="center"/>
          </w:tcPr>
          <w:p w14:paraId="50C79798">
            <w:pPr>
              <w:adjustRightInd w:val="0"/>
              <w:snapToGrid w:val="0"/>
              <w:jc w:val="center"/>
              <w:rPr>
                <w:rFonts w:ascii="宋体" w:hAnsi="宋体" w:eastAsia="宋体" w:cs="Times New Roman"/>
                <w:bCs/>
                <w:kern w:val="2"/>
                <w:sz w:val="18"/>
                <w:szCs w:val="18"/>
                <w:highlight w:val="none"/>
                <w:lang w:val="en-US" w:eastAsia="zh-CN" w:bidi="ar-SA"/>
              </w:rPr>
            </w:pPr>
          </w:p>
        </w:tc>
        <w:tc>
          <w:tcPr>
            <w:tcW w:w="0" w:type="auto"/>
            <w:vAlign w:val="center"/>
          </w:tcPr>
          <w:p w14:paraId="039F8D6F">
            <w:pPr>
              <w:adjustRightInd w:val="0"/>
              <w:snapToGrid w:val="0"/>
              <w:jc w:val="center"/>
              <w:rPr>
                <w:rFonts w:ascii="宋体" w:hAnsi="宋体" w:eastAsia="宋体" w:cs="Times New Roman"/>
                <w:bCs/>
                <w:kern w:val="2"/>
                <w:sz w:val="18"/>
                <w:szCs w:val="18"/>
                <w:highlight w:val="none"/>
                <w:lang w:val="en-US" w:eastAsia="zh-CN" w:bidi="ar-SA"/>
              </w:rPr>
            </w:pPr>
            <w:r>
              <w:rPr>
                <w:rFonts w:hint="eastAsia" w:ascii="宋体" w:hAnsi="宋体"/>
                <w:bCs/>
                <w:sz w:val="18"/>
                <w:szCs w:val="18"/>
                <w:highlight w:val="none"/>
                <w:lang w:val="en-US" w:eastAsia="zh-CN"/>
              </w:rPr>
              <w:t>4</w:t>
            </w:r>
            <w:r>
              <w:rPr>
                <w:rFonts w:ascii="宋体" w:hAnsi="宋体"/>
                <w:bCs/>
                <w:sz w:val="18"/>
                <w:szCs w:val="18"/>
                <w:highlight w:val="none"/>
              </w:rPr>
              <w:t>.6.</w:t>
            </w:r>
            <w:r>
              <w:rPr>
                <w:rFonts w:hint="eastAsia" w:ascii="宋体" w:hAnsi="宋体"/>
                <w:bCs/>
                <w:sz w:val="18"/>
                <w:szCs w:val="18"/>
                <w:highlight w:val="none"/>
                <w:lang w:val="en-US" w:eastAsia="zh-CN"/>
              </w:rPr>
              <w:t>1</w:t>
            </w:r>
          </w:p>
        </w:tc>
      </w:tr>
    </w:tbl>
    <w:p w14:paraId="4EA4E1BA">
      <w:pPr>
        <w:spacing w:before="156" w:after="156"/>
        <w:jc w:val="both"/>
      </w:pPr>
      <w:r>
        <w:rPr>
          <w:rFonts w:hint="eastAsia"/>
        </w:rPr>
        <w:br w:type="page"/>
      </w:r>
    </w:p>
    <w:p w14:paraId="4B136ABA">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
        <w:gridCol w:w="6860"/>
        <w:gridCol w:w="633"/>
        <w:gridCol w:w="633"/>
        <w:gridCol w:w="602"/>
        <w:gridCol w:w="2113"/>
        <w:gridCol w:w="633"/>
        <w:gridCol w:w="1888"/>
        <w:gridCol w:w="1139"/>
      </w:tblGrid>
      <w:tr w14:paraId="6A425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444D213A">
            <w:pPr>
              <w:adjustRightInd w:val="0"/>
              <w:snapToGrid w:val="0"/>
              <w:jc w:val="center"/>
              <w:rPr>
                <w:rFonts w:ascii="宋体" w:hAnsi="宋体"/>
                <w:bCs/>
                <w:sz w:val="18"/>
                <w:szCs w:val="18"/>
              </w:rPr>
            </w:pPr>
            <w:r>
              <w:rPr>
                <w:rFonts w:ascii="宋体" w:hAnsi="宋体"/>
                <w:bCs/>
                <w:sz w:val="18"/>
                <w:szCs w:val="18"/>
              </w:rPr>
              <w:t>序号</w:t>
            </w:r>
          </w:p>
        </w:tc>
        <w:tc>
          <w:tcPr>
            <w:tcW w:w="6860" w:type="dxa"/>
            <w:noWrap w:val="0"/>
            <w:vAlign w:val="center"/>
          </w:tcPr>
          <w:p w14:paraId="3FDBFB2B">
            <w:pPr>
              <w:adjustRightInd w:val="0"/>
              <w:snapToGrid w:val="0"/>
              <w:jc w:val="center"/>
              <w:rPr>
                <w:rFonts w:ascii="宋体" w:hAnsi="宋体"/>
                <w:bCs/>
                <w:sz w:val="18"/>
                <w:szCs w:val="18"/>
              </w:rPr>
            </w:pPr>
            <w:r>
              <w:rPr>
                <w:rFonts w:ascii="宋体" w:hAnsi="宋体"/>
                <w:bCs/>
                <w:sz w:val="18"/>
                <w:szCs w:val="18"/>
              </w:rPr>
              <w:t>评定内容</w:t>
            </w:r>
          </w:p>
        </w:tc>
        <w:tc>
          <w:tcPr>
            <w:tcW w:w="633" w:type="dxa"/>
            <w:noWrap w:val="0"/>
            <w:vAlign w:val="center"/>
          </w:tcPr>
          <w:p w14:paraId="6A488743">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33" w:type="dxa"/>
            <w:noWrap w:val="0"/>
            <w:vAlign w:val="center"/>
          </w:tcPr>
          <w:p w14:paraId="4D531EB5">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02" w:type="dxa"/>
            <w:noWrap w:val="0"/>
            <w:vAlign w:val="center"/>
          </w:tcPr>
          <w:p w14:paraId="7C0339D0">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3" w:type="dxa"/>
            <w:noWrap w:val="0"/>
            <w:vAlign w:val="center"/>
          </w:tcPr>
          <w:p w14:paraId="4804CAA9">
            <w:pPr>
              <w:adjustRightInd w:val="0"/>
              <w:snapToGrid w:val="0"/>
              <w:jc w:val="center"/>
              <w:rPr>
                <w:rFonts w:ascii="宋体" w:hAnsi="宋体"/>
                <w:bCs/>
                <w:sz w:val="18"/>
                <w:szCs w:val="18"/>
              </w:rPr>
            </w:pPr>
            <w:r>
              <w:rPr>
                <w:rFonts w:ascii="宋体" w:hAnsi="宋体"/>
                <w:bCs/>
                <w:sz w:val="18"/>
                <w:szCs w:val="18"/>
              </w:rPr>
              <w:t>评分标准</w:t>
            </w:r>
          </w:p>
        </w:tc>
        <w:tc>
          <w:tcPr>
            <w:tcW w:w="633" w:type="dxa"/>
            <w:noWrap w:val="0"/>
            <w:vAlign w:val="center"/>
          </w:tcPr>
          <w:p w14:paraId="6B8DC1BA">
            <w:pPr>
              <w:adjustRightInd w:val="0"/>
              <w:snapToGrid w:val="0"/>
              <w:jc w:val="center"/>
              <w:rPr>
                <w:rFonts w:ascii="宋体" w:hAnsi="宋体"/>
                <w:bCs/>
                <w:sz w:val="18"/>
                <w:szCs w:val="18"/>
              </w:rPr>
            </w:pPr>
            <w:r>
              <w:rPr>
                <w:rFonts w:hint="eastAsia" w:ascii="宋体" w:hAnsi="宋体"/>
                <w:bCs/>
                <w:sz w:val="18"/>
                <w:szCs w:val="18"/>
              </w:rPr>
              <w:t>评定得分</w:t>
            </w:r>
          </w:p>
        </w:tc>
        <w:tc>
          <w:tcPr>
            <w:tcW w:w="1888" w:type="dxa"/>
            <w:noWrap w:val="0"/>
            <w:vAlign w:val="center"/>
          </w:tcPr>
          <w:p w14:paraId="66F38EE8">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559D01D9">
            <w:pPr>
              <w:adjustRightInd w:val="0"/>
              <w:snapToGrid w:val="0"/>
              <w:jc w:val="center"/>
              <w:rPr>
                <w:rFonts w:ascii="宋体" w:hAnsi="宋体"/>
                <w:bCs/>
                <w:sz w:val="18"/>
                <w:szCs w:val="18"/>
              </w:rPr>
            </w:pPr>
            <w:r>
              <w:rPr>
                <w:rFonts w:ascii="宋体" w:hAnsi="宋体"/>
                <w:bCs/>
                <w:sz w:val="18"/>
                <w:szCs w:val="18"/>
              </w:rPr>
              <w:t>对应条款编号</w:t>
            </w:r>
          </w:p>
        </w:tc>
      </w:tr>
      <w:tr w14:paraId="27854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852" w:type="dxa"/>
            <w:noWrap w:val="0"/>
            <w:vAlign w:val="center"/>
          </w:tcPr>
          <w:p w14:paraId="5B32FB8B">
            <w:pPr>
              <w:adjustRightInd w:val="0"/>
              <w:snapToGrid w:val="0"/>
              <w:jc w:val="center"/>
              <w:rPr>
                <w:rFonts w:ascii="宋体" w:hAnsi="宋体"/>
                <w:sz w:val="18"/>
                <w:szCs w:val="18"/>
              </w:rPr>
            </w:pPr>
            <w:r>
              <w:rPr>
                <w:rFonts w:hint="eastAsia" w:ascii="宋体" w:hAnsi="宋体"/>
                <w:sz w:val="18"/>
                <w:szCs w:val="18"/>
              </w:rPr>
              <w:t>6.2.2</w:t>
            </w:r>
          </w:p>
        </w:tc>
        <w:tc>
          <w:tcPr>
            <w:tcW w:w="6860" w:type="dxa"/>
            <w:noWrap w:val="0"/>
            <w:vAlign w:val="center"/>
          </w:tcPr>
          <w:p w14:paraId="64D8FDE9">
            <w:pPr>
              <w:adjustRightInd w:val="0"/>
              <w:spacing w:line="240" w:lineRule="exact"/>
              <w:jc w:val="left"/>
              <w:rPr>
                <w:rFonts w:ascii="宋体" w:hAnsi="宋体"/>
                <w:sz w:val="18"/>
                <w:szCs w:val="18"/>
              </w:rPr>
            </w:pPr>
            <w:r>
              <w:rPr>
                <w:rFonts w:hint="eastAsia" w:ascii="宋体" w:hAnsi="宋体"/>
                <w:sz w:val="18"/>
                <w:szCs w:val="18"/>
              </w:rPr>
              <w:t>临时低压电气线路</w:t>
            </w:r>
          </w:p>
        </w:tc>
        <w:tc>
          <w:tcPr>
            <w:tcW w:w="633" w:type="dxa"/>
            <w:noWrap w:val="0"/>
            <w:vAlign w:val="center"/>
          </w:tcPr>
          <w:p w14:paraId="28C9C4F7">
            <w:pPr>
              <w:pStyle w:val="22"/>
              <w:numPr>
                <w:ilvl w:val="3"/>
                <w:numId w:val="0"/>
              </w:numPr>
              <w:adjustRightInd w:val="0"/>
              <w:snapToGrid w:val="0"/>
              <w:ind w:right="-105"/>
              <w:jc w:val="center"/>
              <w:rPr>
                <w:rFonts w:ascii="宋体" w:hAnsi="宋体"/>
                <w:sz w:val="18"/>
                <w:szCs w:val="18"/>
              </w:rPr>
            </w:pPr>
          </w:p>
        </w:tc>
        <w:tc>
          <w:tcPr>
            <w:tcW w:w="633" w:type="dxa"/>
            <w:noWrap w:val="0"/>
            <w:vAlign w:val="center"/>
          </w:tcPr>
          <w:p w14:paraId="62DEF525">
            <w:pPr>
              <w:pStyle w:val="22"/>
              <w:numPr>
                <w:ilvl w:val="3"/>
                <w:numId w:val="0"/>
              </w:numPr>
              <w:adjustRightInd w:val="0"/>
              <w:snapToGrid w:val="0"/>
              <w:ind w:right="0"/>
              <w:jc w:val="center"/>
              <w:rPr>
                <w:rFonts w:hint="eastAsia" w:ascii="宋体" w:hAnsi="宋体" w:eastAsia="宋体"/>
                <w:sz w:val="18"/>
                <w:szCs w:val="18"/>
                <w:lang w:val="en-US" w:eastAsia="zh-CN"/>
              </w:rPr>
            </w:pPr>
          </w:p>
        </w:tc>
        <w:tc>
          <w:tcPr>
            <w:tcW w:w="602" w:type="dxa"/>
            <w:noWrap w:val="0"/>
            <w:vAlign w:val="center"/>
          </w:tcPr>
          <w:p w14:paraId="116F9D8D">
            <w:pPr>
              <w:adjustRightInd w:val="0"/>
              <w:snapToGrid w:val="0"/>
              <w:jc w:val="center"/>
              <w:rPr>
                <w:rFonts w:hint="eastAsia" w:ascii="宋体" w:hAnsi="宋体" w:eastAsia="宋体"/>
                <w:sz w:val="18"/>
                <w:szCs w:val="18"/>
                <w:lang w:val="en-US" w:eastAsia="zh-CN"/>
              </w:rPr>
            </w:pPr>
          </w:p>
        </w:tc>
        <w:tc>
          <w:tcPr>
            <w:tcW w:w="2113" w:type="dxa"/>
            <w:noWrap w:val="0"/>
            <w:vAlign w:val="center"/>
          </w:tcPr>
          <w:p w14:paraId="682964B7">
            <w:pPr>
              <w:adjustRightInd w:val="0"/>
              <w:spacing w:line="240" w:lineRule="exact"/>
              <w:jc w:val="left"/>
              <w:rPr>
                <w:rFonts w:hint="eastAsia" w:ascii="宋体" w:hAnsi="宋体"/>
                <w:sz w:val="18"/>
                <w:szCs w:val="18"/>
              </w:rPr>
            </w:pPr>
          </w:p>
        </w:tc>
        <w:tc>
          <w:tcPr>
            <w:tcW w:w="633" w:type="dxa"/>
            <w:noWrap w:val="0"/>
            <w:vAlign w:val="center"/>
          </w:tcPr>
          <w:p w14:paraId="01D614DC">
            <w:pPr>
              <w:adjustRightInd w:val="0"/>
              <w:snapToGrid w:val="0"/>
              <w:jc w:val="center"/>
              <w:rPr>
                <w:rFonts w:ascii="宋体" w:hAnsi="宋体"/>
                <w:bCs/>
                <w:sz w:val="18"/>
                <w:szCs w:val="18"/>
              </w:rPr>
            </w:pPr>
          </w:p>
        </w:tc>
        <w:tc>
          <w:tcPr>
            <w:tcW w:w="1888" w:type="dxa"/>
            <w:noWrap w:val="0"/>
            <w:vAlign w:val="center"/>
          </w:tcPr>
          <w:p w14:paraId="3FE0A8CE">
            <w:pPr>
              <w:adjustRightInd w:val="0"/>
              <w:snapToGrid w:val="0"/>
              <w:jc w:val="center"/>
              <w:rPr>
                <w:rFonts w:ascii="宋体" w:hAnsi="宋体"/>
                <w:bCs/>
                <w:sz w:val="18"/>
                <w:szCs w:val="18"/>
              </w:rPr>
            </w:pPr>
          </w:p>
        </w:tc>
        <w:tc>
          <w:tcPr>
            <w:tcW w:w="1139" w:type="dxa"/>
            <w:noWrap w:val="0"/>
            <w:vAlign w:val="center"/>
          </w:tcPr>
          <w:p w14:paraId="52B64E7E">
            <w:pPr>
              <w:adjustRightInd w:val="0"/>
              <w:snapToGrid w:val="0"/>
              <w:jc w:val="center"/>
              <w:rPr>
                <w:rFonts w:ascii="宋体" w:hAnsi="宋体"/>
                <w:sz w:val="18"/>
                <w:szCs w:val="18"/>
              </w:rPr>
            </w:pPr>
            <w:r>
              <w:rPr>
                <w:rFonts w:hint="eastAsia" w:ascii="宋体" w:hAnsi="宋体"/>
                <w:bCs/>
                <w:sz w:val="18"/>
                <w:szCs w:val="18"/>
                <w:lang w:eastAsia="zh-CN"/>
              </w:rPr>
              <w:t>4.6</w:t>
            </w:r>
            <w:r>
              <w:rPr>
                <w:rFonts w:ascii="宋体" w:hAnsi="宋体"/>
                <w:bCs/>
                <w:sz w:val="18"/>
                <w:szCs w:val="18"/>
              </w:rPr>
              <w:t>.</w:t>
            </w:r>
            <w:r>
              <w:rPr>
                <w:rFonts w:hint="eastAsia" w:ascii="宋体" w:hAnsi="宋体"/>
                <w:bCs/>
                <w:sz w:val="18"/>
                <w:szCs w:val="18"/>
                <w:lang w:val="en-US" w:eastAsia="zh-CN"/>
              </w:rPr>
              <w:t>1</w:t>
            </w:r>
          </w:p>
        </w:tc>
      </w:tr>
      <w:tr w14:paraId="3EB56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75FFD68C">
            <w:pPr>
              <w:adjustRightInd w:val="0"/>
              <w:snapToGrid w:val="0"/>
              <w:jc w:val="center"/>
              <w:rPr>
                <w:rFonts w:ascii="宋体" w:hAnsi="宋体"/>
                <w:bCs/>
                <w:sz w:val="18"/>
                <w:szCs w:val="18"/>
              </w:rPr>
            </w:pPr>
            <w:r>
              <w:rPr>
                <w:rFonts w:hint="eastAsia" w:ascii="宋体" w:hAnsi="宋体"/>
                <w:sz w:val="18"/>
                <w:szCs w:val="18"/>
              </w:rPr>
              <w:t>6.2.2.1</w:t>
            </w:r>
          </w:p>
        </w:tc>
        <w:tc>
          <w:tcPr>
            <w:tcW w:w="6860" w:type="dxa"/>
            <w:noWrap w:val="0"/>
            <w:vAlign w:val="center"/>
          </w:tcPr>
          <w:p w14:paraId="53A2C32E">
            <w:pPr>
              <w:adjustRightInd w:val="0"/>
              <w:spacing w:line="240" w:lineRule="exact"/>
              <w:jc w:val="left"/>
              <w:rPr>
                <w:rFonts w:ascii="宋体" w:hAnsi="宋体"/>
                <w:sz w:val="18"/>
                <w:szCs w:val="18"/>
              </w:rPr>
            </w:pPr>
            <w:r>
              <w:rPr>
                <w:rFonts w:hint="eastAsia" w:ascii="宋体" w:hAnsi="宋体"/>
                <w:sz w:val="18"/>
                <w:szCs w:val="18"/>
              </w:rPr>
              <w:t>临时低压电气线路应符合下列要求：</w:t>
            </w:r>
          </w:p>
          <w:p w14:paraId="6F07C9D3">
            <w:pPr>
              <w:adjustRightInd w:val="0"/>
              <w:spacing w:line="240" w:lineRule="exact"/>
              <w:jc w:val="left"/>
              <w:rPr>
                <w:rFonts w:hint="eastAsia" w:ascii="宋体" w:hAnsi="宋体"/>
                <w:sz w:val="18"/>
                <w:szCs w:val="18"/>
              </w:rPr>
            </w:pPr>
            <w:r>
              <w:rPr>
                <w:rFonts w:hint="eastAsia" w:ascii="宋体" w:hAnsi="宋体"/>
                <w:sz w:val="18"/>
                <w:szCs w:val="18"/>
              </w:rPr>
              <w:t>a）安装前应办理审批手续，并由专人负责管理，限期拆除；</w:t>
            </w:r>
          </w:p>
          <w:p w14:paraId="0F1BC5E6">
            <w:pPr>
              <w:adjustRightInd w:val="0"/>
              <w:spacing w:line="240" w:lineRule="exact"/>
              <w:jc w:val="left"/>
              <w:rPr>
                <w:rFonts w:hint="eastAsia" w:ascii="宋体" w:hAnsi="宋体"/>
                <w:sz w:val="18"/>
                <w:szCs w:val="18"/>
              </w:rPr>
            </w:pPr>
            <w:r>
              <w:rPr>
                <w:rFonts w:hint="eastAsia" w:ascii="宋体" w:hAnsi="宋体"/>
                <w:sz w:val="18"/>
                <w:szCs w:val="18"/>
              </w:rPr>
              <w:t>b）当预期超过三个月的临时低压电气线路，应按固定线路方式进行设置；</w:t>
            </w:r>
          </w:p>
          <w:p w14:paraId="4D23425F">
            <w:pPr>
              <w:adjustRightInd w:val="0"/>
              <w:snapToGrid w:val="0"/>
              <w:jc w:val="left"/>
              <w:rPr>
                <w:rFonts w:hint="eastAsia" w:ascii="宋体" w:hAnsi="宋体"/>
                <w:sz w:val="18"/>
                <w:szCs w:val="18"/>
              </w:rPr>
            </w:pPr>
            <w:r>
              <w:rPr>
                <w:rFonts w:hint="eastAsia" w:ascii="宋体" w:hAnsi="宋体"/>
                <w:sz w:val="18"/>
                <w:szCs w:val="18"/>
              </w:rPr>
              <w:t>c）相关方临时用电工程的用电设备在5台及以上或设备总容量在50 kW及以上者，由相关方编制用电设计方案。经审批、安装后，单位每月应不少于1次进行现场检查和确认，并记录结果</w:t>
            </w:r>
            <w:r>
              <w:rPr>
                <w:rFonts w:hint="eastAsia" w:ascii="宋体" w:hAnsi="宋体"/>
                <w:sz w:val="18"/>
                <w:szCs w:val="18"/>
                <w:lang w:eastAsia="zh-CN"/>
              </w:rPr>
              <w:t>；</w:t>
            </w:r>
          </w:p>
          <w:p w14:paraId="632F2B52">
            <w:pPr>
              <w:adjustRightInd w:val="0"/>
              <w:snapToGrid w:val="0"/>
              <w:jc w:val="left"/>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）应避开易撞、易碰、地面通道、热力管道、浸水场所等易造成绝缘损坏的危险地方，当不能避免时，应采取保护措施。不应在有爆炸等危险的环境中架设临时电气线路；</w:t>
            </w:r>
          </w:p>
          <w:p w14:paraId="285BFDD1">
            <w:pPr>
              <w:adjustRightInd w:val="0"/>
              <w:snapToGrid w:val="0"/>
              <w:jc w:val="left"/>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）危险区域或建筑工程、设备安装调试工程的施工现场有电气裸露时，应设置围栏或屏护装置，并装设警示标志；</w:t>
            </w:r>
          </w:p>
          <w:p w14:paraId="59864F97">
            <w:pPr>
              <w:adjustRightInd w:val="0"/>
              <w:snapToGrid w:val="0"/>
              <w:jc w:val="left"/>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）沿墙架空敷设时，其高度在室内应大于2.5 m，室外应大于4 m；</w:t>
            </w:r>
          </w:p>
          <w:p w14:paraId="406D28A0">
            <w:pPr>
              <w:adjustRightInd w:val="0"/>
              <w:snapToGrid w:val="0"/>
              <w:jc w:val="left"/>
              <w:rPr>
                <w:rFonts w:hint="eastAsia" w:ascii="宋体" w:hAnsi="宋体"/>
                <w:sz w:val="18"/>
                <w:szCs w:val="18"/>
              </w:rPr>
            </w:pPr>
            <w:r>
              <w:rPr>
                <w:rFonts w:hint="eastAsia" w:ascii="宋体" w:hAnsi="宋体"/>
                <w:sz w:val="18"/>
                <w:szCs w:val="18"/>
                <w:lang w:val="en-US" w:eastAsia="zh-CN"/>
              </w:rPr>
              <w:t>g</w:t>
            </w:r>
            <w:r>
              <w:rPr>
                <w:rFonts w:hint="eastAsia" w:ascii="宋体" w:hAnsi="宋体"/>
                <w:sz w:val="18"/>
                <w:szCs w:val="18"/>
              </w:rPr>
              <w:t>）临时线与其他设备、门、窗、水管等的距离应大于0.3 m；沿地面敷设应有防止线路受外力损坏的保护措施；</w:t>
            </w:r>
          </w:p>
          <w:p w14:paraId="0CAD010C">
            <w:pPr>
              <w:adjustRightInd w:val="0"/>
              <w:snapToGrid w:val="0"/>
              <w:jc w:val="left"/>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）电缆或绝缘导线不应成束架空敷设，不应直接捆绑在设备、脚手架、树木、金属构架等物品上；埋地敷设时应穿管，管内不应有接头，管口应密封；</w:t>
            </w:r>
          </w:p>
          <w:p w14:paraId="46BA218D">
            <w:pPr>
              <w:adjustRightInd w:val="0"/>
              <w:snapToGrid w:val="0"/>
              <w:jc w:val="left"/>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）装设临时电气线路应采用橡套软线，其截面按固定线路要求执行；</w:t>
            </w:r>
          </w:p>
          <w:p w14:paraId="3CFF260D">
            <w:pPr>
              <w:adjustRightInd w:val="0"/>
              <w:snapToGrid w:val="0"/>
              <w:jc w:val="left"/>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）施工现场低压配电系统应设置总配电箱（柜）和分配电箱、开关箱，实行三级配电，且每台设备应配备专用开关；</w:t>
            </w:r>
          </w:p>
          <w:p w14:paraId="05ABCEB7">
            <w:pPr>
              <w:adjustRightInd w:val="0"/>
              <w:snapToGrid w:val="0"/>
              <w:jc w:val="left"/>
              <w:rPr>
                <w:rFonts w:hint="eastAsia" w:ascii="宋体" w:hAnsi="宋体"/>
                <w:sz w:val="18"/>
                <w:szCs w:val="18"/>
              </w:rPr>
            </w:pPr>
            <w:r>
              <w:rPr>
                <w:rFonts w:hint="eastAsia" w:ascii="宋体" w:hAnsi="宋体"/>
                <w:sz w:val="18"/>
                <w:szCs w:val="18"/>
                <w:lang w:val="en-US" w:eastAsia="zh-CN"/>
              </w:rPr>
              <w:t>k</w:t>
            </w:r>
            <w:r>
              <w:rPr>
                <w:rFonts w:hint="eastAsia" w:ascii="宋体" w:hAnsi="宋体"/>
                <w:sz w:val="18"/>
                <w:szCs w:val="18"/>
              </w:rPr>
              <w:t>）所有用电设备、插座电路、移动线盘等的保护线应与主干PE线连接可靠。</w:t>
            </w:r>
          </w:p>
        </w:tc>
        <w:tc>
          <w:tcPr>
            <w:tcW w:w="633" w:type="dxa"/>
            <w:noWrap w:val="0"/>
            <w:vAlign w:val="center"/>
          </w:tcPr>
          <w:p w14:paraId="2068F654">
            <w:pPr>
              <w:pStyle w:val="22"/>
              <w:numPr>
                <w:ilvl w:val="3"/>
                <w:numId w:val="0"/>
              </w:numPr>
              <w:adjustRightInd w:val="0"/>
              <w:snapToGrid w:val="0"/>
              <w:ind w:right="-105"/>
              <w:jc w:val="center"/>
              <w:rPr>
                <w:rFonts w:ascii="宋体" w:hAnsi="宋体"/>
                <w:sz w:val="18"/>
                <w:szCs w:val="18"/>
              </w:rPr>
            </w:pPr>
          </w:p>
        </w:tc>
        <w:tc>
          <w:tcPr>
            <w:tcW w:w="633" w:type="dxa"/>
            <w:noWrap w:val="0"/>
            <w:vAlign w:val="center"/>
          </w:tcPr>
          <w:p w14:paraId="45F45C9B">
            <w:pPr>
              <w:pStyle w:val="22"/>
              <w:numPr>
                <w:ilvl w:val="3"/>
                <w:numId w:val="0"/>
              </w:numPr>
              <w:adjustRightInd w:val="0"/>
              <w:snapToGrid w:val="0"/>
              <w:ind w:right="-105"/>
              <w:jc w:val="center"/>
              <w:rPr>
                <w:rFonts w:ascii="宋体" w:hAnsi="宋体"/>
                <w:sz w:val="18"/>
                <w:szCs w:val="18"/>
              </w:rPr>
            </w:pPr>
          </w:p>
        </w:tc>
        <w:tc>
          <w:tcPr>
            <w:tcW w:w="602" w:type="dxa"/>
            <w:noWrap w:val="0"/>
            <w:vAlign w:val="center"/>
          </w:tcPr>
          <w:p w14:paraId="6A0FEAF3">
            <w:pPr>
              <w:adjustRightInd w:val="0"/>
              <w:snapToGrid w:val="0"/>
              <w:jc w:val="center"/>
              <w:rPr>
                <w:rFonts w:ascii="宋体" w:hAnsi="宋体"/>
                <w:bCs/>
                <w:sz w:val="18"/>
                <w:szCs w:val="18"/>
              </w:rPr>
            </w:pPr>
            <w:r>
              <w:rPr>
                <w:rFonts w:hint="eastAsia" w:ascii="宋体" w:hAnsi="宋体"/>
                <w:sz w:val="18"/>
                <w:szCs w:val="18"/>
                <w:lang w:val="en-US" w:eastAsia="zh-CN"/>
              </w:rPr>
              <w:t>5</w:t>
            </w:r>
          </w:p>
        </w:tc>
        <w:tc>
          <w:tcPr>
            <w:tcW w:w="2113" w:type="dxa"/>
            <w:noWrap w:val="0"/>
            <w:vAlign w:val="center"/>
          </w:tcPr>
          <w:p w14:paraId="289A6235">
            <w:pPr>
              <w:adjustRightInd w:val="0"/>
              <w:snapToGrid w:val="0"/>
              <w:jc w:val="left"/>
              <w:rPr>
                <w:rFonts w:hint="eastAsia" w:ascii="宋体" w:hAnsi="宋体"/>
                <w:sz w:val="18"/>
                <w:szCs w:val="18"/>
              </w:rPr>
            </w:pPr>
          </w:p>
          <w:p w14:paraId="5544566D">
            <w:pPr>
              <w:adjustRightInd w:val="0"/>
              <w:snapToGrid w:val="0"/>
              <w:jc w:val="left"/>
              <w:rPr>
                <w:rFonts w:hint="eastAsia" w:ascii="宋体" w:hAnsi="宋体"/>
                <w:sz w:val="18"/>
                <w:szCs w:val="18"/>
              </w:rPr>
            </w:pPr>
          </w:p>
          <w:p w14:paraId="097BF8F8">
            <w:pPr>
              <w:adjustRightInd w:val="0"/>
              <w:snapToGrid w:val="0"/>
              <w:jc w:val="left"/>
              <w:rPr>
                <w:rFonts w:hint="eastAsia" w:ascii="宋体" w:hAnsi="宋体"/>
                <w:sz w:val="18"/>
                <w:szCs w:val="18"/>
              </w:rPr>
            </w:pPr>
          </w:p>
          <w:p w14:paraId="0B2102DA">
            <w:pPr>
              <w:rPr>
                <w:rFonts w:hint="eastAsia" w:eastAsia="宋体"/>
                <w:lang w:eastAsia="zh-CN"/>
              </w:rPr>
            </w:pPr>
            <w:r>
              <w:rPr>
                <w:rFonts w:ascii="宋体" w:hAnsi="宋体"/>
                <w:sz w:val="18"/>
                <w:szCs w:val="18"/>
              </w:rPr>
              <w:t>1</w:t>
            </w:r>
            <w:r>
              <w:rPr>
                <w:rFonts w:hint="eastAsia" w:ascii="宋体" w:hAnsi="宋体"/>
                <w:sz w:val="18"/>
                <w:szCs w:val="18"/>
              </w:rPr>
              <w:t>）未办理审批手续</w:t>
            </w:r>
            <w:r>
              <w:rPr>
                <w:rFonts w:ascii="宋体" w:hAnsi="宋体"/>
                <w:sz w:val="18"/>
                <w:szCs w:val="18"/>
              </w:rPr>
              <w:t>的，扣</w:t>
            </w:r>
            <w:r>
              <w:rPr>
                <w:rFonts w:hint="eastAsia" w:ascii="宋体" w:hAnsi="宋体"/>
                <w:sz w:val="18"/>
                <w:szCs w:val="18"/>
              </w:rPr>
              <w:t>5</w:t>
            </w:r>
            <w:r>
              <w:rPr>
                <w:rFonts w:ascii="宋体" w:hAnsi="宋体"/>
                <w:sz w:val="18"/>
                <w:szCs w:val="18"/>
              </w:rPr>
              <w:t>分</w:t>
            </w:r>
            <w:r>
              <w:rPr>
                <w:rFonts w:hint="eastAsia" w:ascii="宋体" w:hAnsi="宋体"/>
                <w:sz w:val="18"/>
                <w:szCs w:val="18"/>
                <w:lang w:eastAsia="zh-CN"/>
              </w:rPr>
              <w:t>；</w:t>
            </w:r>
          </w:p>
          <w:p w14:paraId="18CE4BF4">
            <w:pPr>
              <w:adjustRightInd w:val="0"/>
              <w:snapToGrid w:val="0"/>
              <w:spacing w:line="240" w:lineRule="auto"/>
              <w:jc w:val="left"/>
              <w:rPr>
                <w:rFonts w:ascii="宋体" w:hAnsi="宋体"/>
                <w:bCs/>
                <w:sz w:val="18"/>
                <w:szCs w:val="18"/>
              </w:rPr>
            </w:pPr>
            <w:r>
              <w:rPr>
                <w:rFonts w:hint="eastAsia" w:ascii="宋体" w:hAnsi="宋体"/>
                <w:sz w:val="18"/>
                <w:szCs w:val="18"/>
                <w:lang w:val="en-US" w:eastAsia="zh-CN"/>
              </w:rPr>
              <w:t>2）</w:t>
            </w:r>
            <w:r>
              <w:rPr>
                <w:rFonts w:hint="eastAsia" w:ascii="宋体" w:hAnsi="宋体"/>
                <w:sz w:val="18"/>
                <w:szCs w:val="18"/>
              </w:rPr>
              <w:t>临时电气线路架设不符合要求的，一处扣</w:t>
            </w:r>
            <w:r>
              <w:rPr>
                <w:rFonts w:hint="eastAsia" w:ascii="宋体" w:hAnsi="宋体"/>
                <w:sz w:val="18"/>
                <w:szCs w:val="18"/>
                <w:lang w:val="en-US" w:eastAsia="zh-CN"/>
              </w:rPr>
              <w:t>2</w:t>
            </w:r>
            <w:r>
              <w:rPr>
                <w:rFonts w:hint="eastAsia" w:ascii="宋体" w:hAnsi="宋体"/>
                <w:sz w:val="18"/>
                <w:szCs w:val="18"/>
              </w:rPr>
              <w:t>分</w:t>
            </w:r>
            <w:r>
              <w:rPr>
                <w:rFonts w:hint="eastAsia" w:ascii="宋体" w:hAnsi="宋体"/>
                <w:sz w:val="18"/>
                <w:szCs w:val="18"/>
                <w:lang w:eastAsia="zh-CN"/>
              </w:rPr>
              <w:t>。</w:t>
            </w:r>
          </w:p>
        </w:tc>
        <w:tc>
          <w:tcPr>
            <w:tcW w:w="633" w:type="dxa"/>
            <w:noWrap w:val="0"/>
            <w:vAlign w:val="center"/>
          </w:tcPr>
          <w:p w14:paraId="2A439005">
            <w:pPr>
              <w:adjustRightInd w:val="0"/>
              <w:snapToGrid w:val="0"/>
              <w:jc w:val="center"/>
              <w:rPr>
                <w:rFonts w:ascii="宋体" w:hAnsi="宋体"/>
                <w:bCs/>
                <w:sz w:val="18"/>
                <w:szCs w:val="18"/>
              </w:rPr>
            </w:pPr>
          </w:p>
        </w:tc>
        <w:tc>
          <w:tcPr>
            <w:tcW w:w="1888" w:type="dxa"/>
            <w:noWrap w:val="0"/>
            <w:vAlign w:val="center"/>
          </w:tcPr>
          <w:p w14:paraId="659B4F3B">
            <w:pPr>
              <w:adjustRightInd w:val="0"/>
              <w:snapToGrid w:val="0"/>
              <w:jc w:val="center"/>
              <w:rPr>
                <w:rFonts w:ascii="宋体" w:hAnsi="宋体"/>
                <w:bCs/>
                <w:sz w:val="18"/>
                <w:szCs w:val="18"/>
              </w:rPr>
            </w:pPr>
          </w:p>
        </w:tc>
        <w:tc>
          <w:tcPr>
            <w:tcW w:w="1139" w:type="dxa"/>
            <w:noWrap w:val="0"/>
            <w:vAlign w:val="center"/>
          </w:tcPr>
          <w:p w14:paraId="2B2EC2AE">
            <w:pPr>
              <w:adjustRightInd w:val="0"/>
              <w:snapToGrid w:val="0"/>
              <w:jc w:val="center"/>
              <w:rPr>
                <w:rFonts w:ascii="宋体" w:hAnsi="宋体"/>
                <w:bCs/>
                <w:sz w:val="18"/>
                <w:szCs w:val="18"/>
              </w:rPr>
            </w:pPr>
            <w:r>
              <w:rPr>
                <w:rFonts w:hint="eastAsia" w:ascii="宋体" w:hAnsi="宋体"/>
                <w:bCs/>
                <w:sz w:val="18"/>
                <w:szCs w:val="18"/>
                <w:lang w:eastAsia="zh-CN"/>
              </w:rPr>
              <w:t>4.6</w:t>
            </w:r>
            <w:r>
              <w:rPr>
                <w:rFonts w:ascii="宋体" w:hAnsi="宋体"/>
                <w:bCs/>
                <w:sz w:val="18"/>
                <w:szCs w:val="18"/>
              </w:rPr>
              <w:t>.</w:t>
            </w:r>
            <w:r>
              <w:rPr>
                <w:rFonts w:hint="eastAsia" w:ascii="宋体" w:hAnsi="宋体"/>
                <w:bCs/>
                <w:sz w:val="18"/>
                <w:szCs w:val="18"/>
                <w:lang w:val="en-US" w:eastAsia="zh-CN"/>
              </w:rPr>
              <w:t>1</w:t>
            </w:r>
          </w:p>
        </w:tc>
      </w:tr>
      <w:tr w14:paraId="3090B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52" w:type="dxa"/>
            <w:noWrap w:val="0"/>
            <w:vAlign w:val="center"/>
          </w:tcPr>
          <w:p w14:paraId="42A7D578">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6.2.3</w:t>
            </w:r>
          </w:p>
        </w:tc>
        <w:tc>
          <w:tcPr>
            <w:tcW w:w="6860" w:type="dxa"/>
            <w:noWrap w:val="0"/>
            <w:vAlign w:val="center"/>
          </w:tcPr>
          <w:p w14:paraId="39D04996">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rPr>
              <w:t>动力（照明）配电箱（柜）</w:t>
            </w:r>
          </w:p>
        </w:tc>
        <w:tc>
          <w:tcPr>
            <w:tcW w:w="633" w:type="dxa"/>
            <w:noWrap w:val="0"/>
            <w:vAlign w:val="center"/>
          </w:tcPr>
          <w:p w14:paraId="2939FAD1">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633" w:type="dxa"/>
            <w:noWrap w:val="0"/>
            <w:vAlign w:val="center"/>
          </w:tcPr>
          <w:p w14:paraId="586D53B0">
            <w:pPr>
              <w:pStyle w:val="22"/>
              <w:numPr>
                <w:ilvl w:val="3"/>
                <w:numId w:val="0"/>
              </w:numPr>
              <w:adjustRightInd w:val="0"/>
              <w:snapToGrid w:val="0"/>
              <w:ind w:left="0" w:leftChars="0" w:right="-105" w:rightChars="0" w:firstLine="0" w:firstLineChars="0"/>
              <w:jc w:val="center"/>
              <w:rPr>
                <w:rFonts w:hint="default" w:ascii="宋体" w:hAnsi="宋体" w:eastAsia="宋体" w:cs="Times New Roman"/>
                <w:kern w:val="2"/>
                <w:sz w:val="18"/>
                <w:szCs w:val="18"/>
                <w:lang w:val="en-US" w:eastAsia="zh-CN" w:bidi="ar-SA"/>
              </w:rPr>
            </w:pPr>
          </w:p>
        </w:tc>
        <w:tc>
          <w:tcPr>
            <w:tcW w:w="602" w:type="dxa"/>
            <w:noWrap w:val="0"/>
            <w:vAlign w:val="center"/>
          </w:tcPr>
          <w:p w14:paraId="6AF656B6">
            <w:pPr>
              <w:adjustRightInd w:val="0"/>
              <w:snapToGrid w:val="0"/>
              <w:jc w:val="center"/>
              <w:rPr>
                <w:rFonts w:hint="eastAsia" w:ascii="宋体" w:hAnsi="宋体" w:eastAsia="宋体" w:cs="Times New Roman"/>
                <w:bCs/>
                <w:kern w:val="2"/>
                <w:sz w:val="18"/>
                <w:szCs w:val="18"/>
                <w:lang w:val="en-US" w:eastAsia="zh-CN" w:bidi="ar-SA"/>
              </w:rPr>
            </w:pPr>
          </w:p>
        </w:tc>
        <w:tc>
          <w:tcPr>
            <w:tcW w:w="2113" w:type="dxa"/>
            <w:noWrap w:val="0"/>
            <w:vAlign w:val="center"/>
          </w:tcPr>
          <w:p w14:paraId="5F5E33A0">
            <w:pPr>
              <w:pStyle w:val="22"/>
              <w:numPr>
                <w:ilvl w:val="3"/>
                <w:numId w:val="0"/>
              </w:numPr>
              <w:adjustRightInd w:val="0"/>
              <w:snapToGrid w:val="0"/>
              <w:ind w:left="0" w:leftChars="0" w:right="-105" w:rightChars="0" w:firstLine="0" w:firstLineChars="0"/>
              <w:rPr>
                <w:rFonts w:hint="eastAsia" w:ascii="宋体" w:hAnsi="宋体" w:eastAsia="宋体" w:cs="Times New Roman"/>
                <w:kern w:val="2"/>
                <w:sz w:val="18"/>
                <w:szCs w:val="18"/>
                <w:lang w:val="en-US" w:eastAsia="zh-CN" w:bidi="ar-SA"/>
              </w:rPr>
            </w:pPr>
          </w:p>
        </w:tc>
        <w:tc>
          <w:tcPr>
            <w:tcW w:w="633" w:type="dxa"/>
            <w:noWrap w:val="0"/>
            <w:vAlign w:val="center"/>
          </w:tcPr>
          <w:p w14:paraId="3EB7F1B7">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888" w:type="dxa"/>
            <w:noWrap w:val="0"/>
            <w:vAlign w:val="center"/>
          </w:tcPr>
          <w:p w14:paraId="7BAB428E">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139" w:type="dxa"/>
            <w:noWrap w:val="0"/>
            <w:vAlign w:val="center"/>
          </w:tcPr>
          <w:p w14:paraId="55950523">
            <w:pPr>
              <w:pStyle w:val="22"/>
              <w:numPr>
                <w:ilvl w:val="3"/>
                <w:numId w:val="0"/>
              </w:numPr>
              <w:adjustRightInd w:val="0"/>
              <w:snapToGrid w:val="0"/>
              <w:ind w:left="0" w:leftChars="0" w:right="-105" w:rightChars="0" w:firstLine="0" w:firstLineChars="0"/>
              <w:jc w:val="center"/>
              <w:rPr>
                <w:rFonts w:hint="eastAsia" w:ascii="宋体" w:hAnsi="宋体" w:eastAsia="宋体" w:cs="Times New Roman"/>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28927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tblHeader/>
        </w:trPr>
        <w:tc>
          <w:tcPr>
            <w:tcW w:w="0" w:type="auto"/>
            <w:vAlign w:val="center"/>
          </w:tcPr>
          <w:p w14:paraId="0BCD7A2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6.2.3.1</w:t>
            </w:r>
          </w:p>
        </w:tc>
        <w:tc>
          <w:tcPr>
            <w:tcW w:w="0" w:type="auto"/>
            <w:vAlign w:val="center"/>
          </w:tcPr>
          <w:p w14:paraId="19FE2C5C">
            <w:pPr>
              <w:pStyle w:val="207"/>
              <w:adjustRightInd w:val="0"/>
              <w:snapToGrid w:val="0"/>
              <w:spacing w:line="240" w:lineRule="atLeast"/>
              <w:ind w:right="0" w:rightChars="0"/>
              <w:jc w:val="left"/>
              <w:rPr>
                <w:rFonts w:ascii="宋体" w:hAnsi="宋体" w:eastAsia="宋体"/>
                <w:spacing w:val="0"/>
                <w:kern w:val="2"/>
                <w:sz w:val="18"/>
                <w:szCs w:val="18"/>
                <w:highlight w:val="none"/>
              </w:rPr>
            </w:pPr>
            <w:r>
              <w:rPr>
                <w:rFonts w:hint="eastAsia" w:ascii="宋体" w:hAnsi="宋体" w:eastAsia="宋体"/>
                <w:spacing w:val="0"/>
                <w:kern w:val="2"/>
                <w:sz w:val="18"/>
                <w:szCs w:val="18"/>
              </w:rPr>
              <w:t>配电箱（柜</w:t>
            </w:r>
            <w:r>
              <w:rPr>
                <w:rFonts w:hint="eastAsia" w:ascii="宋体" w:hAnsi="宋体" w:eastAsia="宋体"/>
                <w:spacing w:val="0"/>
                <w:kern w:val="2"/>
                <w:sz w:val="18"/>
                <w:szCs w:val="18"/>
                <w:highlight w:val="none"/>
              </w:rPr>
              <w:t>）标识、编号等应符合下列要求：</w:t>
            </w:r>
          </w:p>
          <w:p w14:paraId="2EB5D485">
            <w:pPr>
              <w:pStyle w:val="207"/>
              <w:numPr>
                <w:ilvl w:val="0"/>
                <w:numId w:val="67"/>
              </w:numPr>
              <w:adjustRightInd w:val="0"/>
              <w:snapToGrid w:val="0"/>
              <w:spacing w:line="240" w:lineRule="atLeast"/>
              <w:ind w:right="0" w:rightChars="0"/>
              <w:jc w:val="left"/>
              <w:rPr>
                <w:rFonts w:hint="eastAsia" w:ascii="宋体" w:hAnsi="宋体" w:eastAsia="宋体"/>
                <w:spacing w:val="0"/>
                <w:kern w:val="2"/>
                <w:sz w:val="18"/>
                <w:szCs w:val="18"/>
                <w:highlight w:val="none"/>
              </w:rPr>
            </w:pPr>
            <w:r>
              <w:rPr>
                <w:rFonts w:hint="eastAsia" w:ascii="宋体" w:hAnsi="宋体" w:eastAsia="宋体"/>
                <w:spacing w:val="0"/>
                <w:kern w:val="2"/>
                <w:sz w:val="18"/>
                <w:szCs w:val="18"/>
                <w:highlight w:val="none"/>
              </w:rPr>
              <w:t>配电箱（柜）应张贴醒目的安全警告标志和编号、标识；</w:t>
            </w:r>
          </w:p>
          <w:p w14:paraId="26454BA9">
            <w:pPr>
              <w:pStyle w:val="207"/>
              <w:numPr>
                <w:ilvl w:val="0"/>
                <w:numId w:val="67"/>
              </w:numPr>
              <w:adjustRightInd w:val="0"/>
              <w:snapToGrid w:val="0"/>
              <w:spacing w:line="240" w:lineRule="atLeast"/>
              <w:ind w:right="0" w:rightChars="0"/>
              <w:jc w:val="left"/>
              <w:rPr>
                <w:rFonts w:hint="eastAsia" w:ascii="宋体" w:hAnsi="宋体" w:eastAsia="宋体"/>
                <w:spacing w:val="0"/>
                <w:kern w:val="2"/>
                <w:sz w:val="18"/>
                <w:szCs w:val="18"/>
                <w:highlight w:val="none"/>
              </w:rPr>
            </w:pPr>
            <w:r>
              <w:rPr>
                <w:rFonts w:hint="eastAsia" w:ascii="宋体" w:hAnsi="宋体" w:eastAsia="宋体"/>
                <w:spacing w:val="0"/>
                <w:kern w:val="2"/>
                <w:sz w:val="18"/>
                <w:szCs w:val="18"/>
                <w:highlight w:val="none"/>
              </w:rPr>
              <w:t>配电箱应标识所控对象的名称、编号等，且与实际相符合；</w:t>
            </w:r>
          </w:p>
          <w:p w14:paraId="3C5D7257">
            <w:pPr>
              <w:pStyle w:val="207"/>
              <w:numPr>
                <w:ilvl w:val="0"/>
                <w:numId w:val="67"/>
              </w:numPr>
              <w:adjustRightInd w:val="0"/>
              <w:snapToGrid w:val="0"/>
              <w:spacing w:line="240" w:lineRule="atLeast"/>
              <w:ind w:right="0" w:rightChars="0"/>
              <w:jc w:val="left"/>
              <w:rPr>
                <w:rFonts w:hint="eastAsia" w:ascii="宋体" w:hAnsi="宋体" w:eastAsia="宋体"/>
                <w:spacing w:val="0"/>
                <w:kern w:val="2"/>
                <w:sz w:val="18"/>
                <w:szCs w:val="18"/>
                <w:highlight w:val="none"/>
              </w:rPr>
            </w:pPr>
            <w:r>
              <w:rPr>
                <w:rFonts w:hint="eastAsia" w:ascii="宋体" w:hAnsi="宋体" w:eastAsia="宋体"/>
                <w:spacing w:val="0"/>
                <w:kern w:val="2"/>
                <w:sz w:val="18"/>
                <w:szCs w:val="18"/>
                <w:highlight w:val="none"/>
              </w:rPr>
              <w:t>应有电气控制线路图，标明进出线路、电气装置的型号、规格、保护电气装置整定值等；</w:t>
            </w:r>
          </w:p>
          <w:p w14:paraId="0DA84623">
            <w:pPr>
              <w:pStyle w:val="207"/>
              <w:numPr>
                <w:ilvl w:val="0"/>
                <w:numId w:val="67"/>
              </w:numPr>
              <w:adjustRightInd w:val="0"/>
              <w:snapToGrid w:val="0"/>
              <w:spacing w:line="240" w:lineRule="atLeast"/>
              <w:ind w:right="0" w:rightChars="0"/>
              <w:jc w:val="left"/>
              <w:rPr>
                <w:rFonts w:hint="eastAsia"/>
                <w:lang w:val="en-US" w:eastAsia="zh-CN"/>
              </w:rPr>
            </w:pPr>
            <w:r>
              <w:rPr>
                <w:rFonts w:hint="eastAsia" w:ascii="宋体" w:hAnsi="宋体" w:eastAsia="宋体"/>
                <w:spacing w:val="0"/>
                <w:kern w:val="2"/>
                <w:sz w:val="18"/>
                <w:szCs w:val="18"/>
                <w:highlight w:val="none"/>
              </w:rPr>
              <w:t>对于多路控制的配电箱（柜），在控制位置上标明所控制的电气设备的名称，且用途标识应齐全清晰。</w:t>
            </w:r>
          </w:p>
        </w:tc>
        <w:tc>
          <w:tcPr>
            <w:tcW w:w="0" w:type="auto"/>
            <w:vAlign w:val="center"/>
          </w:tcPr>
          <w:p w14:paraId="1EA9F9DA">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0" w:type="auto"/>
            <w:vAlign w:val="center"/>
          </w:tcPr>
          <w:p w14:paraId="0C31C534">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0" w:type="auto"/>
            <w:vAlign w:val="center"/>
          </w:tcPr>
          <w:p w14:paraId="7EEC160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w:t>
            </w:r>
          </w:p>
        </w:tc>
        <w:tc>
          <w:tcPr>
            <w:tcW w:w="0" w:type="auto"/>
            <w:vAlign w:val="center"/>
          </w:tcPr>
          <w:p w14:paraId="45A3CF6F">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eastAsia="宋体"/>
                <w:spacing w:val="0"/>
                <w:kern w:val="2"/>
                <w:sz w:val="18"/>
                <w:szCs w:val="18"/>
                <w:lang w:val="en-US" w:eastAsia="zh-CN"/>
              </w:rPr>
              <w:t>一处不符合，扣2分。</w:t>
            </w:r>
          </w:p>
        </w:tc>
        <w:tc>
          <w:tcPr>
            <w:tcW w:w="0" w:type="auto"/>
            <w:vAlign w:val="center"/>
          </w:tcPr>
          <w:p w14:paraId="1AE8CF22">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0" w:type="auto"/>
            <w:vAlign w:val="center"/>
          </w:tcPr>
          <w:p w14:paraId="5749FEE5">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0" w:type="auto"/>
            <w:vAlign w:val="center"/>
          </w:tcPr>
          <w:p w14:paraId="66366C49">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bCs/>
                <w:spacing w:val="2"/>
                <w:kern w:val="0"/>
                <w:sz w:val="18"/>
                <w:szCs w:val="18"/>
                <w:lang w:val="en-US" w:eastAsia="zh-CN" w:bidi="ar-SA"/>
              </w:rPr>
            </w:pPr>
            <w:r>
              <w:rPr>
                <w:rFonts w:hint="eastAsia" w:ascii="宋体" w:hAnsi="宋体" w:eastAsia="宋体"/>
                <w:bCs/>
                <w:sz w:val="18"/>
                <w:szCs w:val="18"/>
                <w:lang w:eastAsia="zh-CN"/>
              </w:rPr>
              <w:t>4.6</w:t>
            </w:r>
            <w:r>
              <w:rPr>
                <w:rFonts w:hint="eastAsia" w:ascii="宋体" w:hAnsi="宋体" w:eastAsia="宋体"/>
                <w:bCs/>
                <w:sz w:val="18"/>
                <w:szCs w:val="18"/>
              </w:rPr>
              <w:t>.</w:t>
            </w:r>
            <w:r>
              <w:rPr>
                <w:rFonts w:hint="eastAsia" w:ascii="宋体" w:hAnsi="宋体" w:eastAsia="宋体"/>
                <w:bCs/>
                <w:sz w:val="18"/>
                <w:szCs w:val="18"/>
                <w:lang w:val="en-US" w:eastAsia="zh-CN"/>
              </w:rPr>
              <w:t>1</w:t>
            </w:r>
          </w:p>
        </w:tc>
      </w:tr>
    </w:tbl>
    <w:p w14:paraId="1AF2A2DC">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2814C17D">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2"/>
        <w:gridCol w:w="6374"/>
        <w:gridCol w:w="596"/>
        <w:gridCol w:w="596"/>
        <w:gridCol w:w="713"/>
        <w:gridCol w:w="2854"/>
        <w:gridCol w:w="590"/>
        <w:gridCol w:w="1656"/>
        <w:gridCol w:w="1072"/>
      </w:tblGrid>
      <w:tr w14:paraId="6072A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94" w:type="pct"/>
            <w:noWrap w:val="0"/>
            <w:vAlign w:val="center"/>
          </w:tcPr>
          <w:p w14:paraId="2E975093">
            <w:pPr>
              <w:adjustRightInd w:val="0"/>
              <w:snapToGrid w:val="0"/>
              <w:jc w:val="center"/>
              <w:rPr>
                <w:rFonts w:ascii="宋体" w:hAnsi="宋体"/>
                <w:bCs/>
                <w:sz w:val="18"/>
                <w:szCs w:val="18"/>
              </w:rPr>
            </w:pPr>
            <w:r>
              <w:rPr>
                <w:rFonts w:ascii="宋体" w:hAnsi="宋体"/>
                <w:bCs/>
                <w:sz w:val="18"/>
                <w:szCs w:val="18"/>
              </w:rPr>
              <w:t>序号</w:t>
            </w:r>
          </w:p>
        </w:tc>
        <w:tc>
          <w:tcPr>
            <w:tcW w:w="2075" w:type="pct"/>
            <w:noWrap w:val="0"/>
            <w:vAlign w:val="center"/>
          </w:tcPr>
          <w:p w14:paraId="7FC793DF">
            <w:pPr>
              <w:adjustRightInd w:val="0"/>
              <w:snapToGrid w:val="0"/>
              <w:jc w:val="center"/>
              <w:rPr>
                <w:rFonts w:ascii="宋体" w:hAnsi="宋体"/>
                <w:bCs/>
                <w:sz w:val="18"/>
                <w:szCs w:val="18"/>
              </w:rPr>
            </w:pPr>
            <w:r>
              <w:rPr>
                <w:rFonts w:ascii="宋体" w:hAnsi="宋体"/>
                <w:bCs/>
                <w:sz w:val="18"/>
                <w:szCs w:val="18"/>
              </w:rPr>
              <w:t>评定内容</w:t>
            </w:r>
          </w:p>
        </w:tc>
        <w:tc>
          <w:tcPr>
            <w:tcW w:w="194" w:type="pct"/>
            <w:noWrap w:val="0"/>
            <w:vAlign w:val="center"/>
          </w:tcPr>
          <w:p w14:paraId="43BF7109">
            <w:pPr>
              <w:adjustRightInd w:val="0"/>
              <w:snapToGrid w:val="0"/>
              <w:jc w:val="center"/>
              <w:rPr>
                <w:rFonts w:ascii="宋体" w:hAnsi="宋体"/>
                <w:bCs/>
                <w:sz w:val="18"/>
                <w:szCs w:val="18"/>
              </w:rPr>
            </w:pPr>
            <w:r>
              <w:rPr>
                <w:rFonts w:hint="eastAsia" w:ascii="宋体" w:hAnsi="宋体"/>
                <w:bCs/>
                <w:sz w:val="18"/>
                <w:szCs w:val="18"/>
              </w:rPr>
              <w:t>评定要素分值</w:t>
            </w:r>
          </w:p>
        </w:tc>
        <w:tc>
          <w:tcPr>
            <w:tcW w:w="194" w:type="pct"/>
            <w:noWrap w:val="0"/>
            <w:vAlign w:val="center"/>
          </w:tcPr>
          <w:p w14:paraId="62F0AA5D">
            <w:pPr>
              <w:adjustRightInd w:val="0"/>
              <w:snapToGrid w:val="0"/>
              <w:jc w:val="center"/>
              <w:rPr>
                <w:rFonts w:ascii="宋体" w:hAnsi="宋体"/>
                <w:bCs/>
                <w:sz w:val="18"/>
                <w:szCs w:val="18"/>
              </w:rPr>
            </w:pPr>
            <w:r>
              <w:rPr>
                <w:rFonts w:hint="eastAsia" w:ascii="宋体" w:hAnsi="宋体"/>
                <w:bCs/>
                <w:sz w:val="18"/>
                <w:szCs w:val="18"/>
              </w:rPr>
              <w:t>评定细项分值</w:t>
            </w:r>
          </w:p>
        </w:tc>
        <w:tc>
          <w:tcPr>
            <w:tcW w:w="232" w:type="pct"/>
            <w:noWrap w:val="0"/>
            <w:vAlign w:val="center"/>
          </w:tcPr>
          <w:p w14:paraId="3F9D83C7">
            <w:pPr>
              <w:adjustRightInd w:val="0"/>
              <w:snapToGrid w:val="0"/>
              <w:jc w:val="center"/>
              <w:rPr>
                <w:rFonts w:hint="eastAsia" w:ascii="宋体" w:hAnsi="宋体"/>
                <w:bCs/>
                <w:sz w:val="18"/>
                <w:szCs w:val="18"/>
              </w:rPr>
            </w:pPr>
            <w:r>
              <w:rPr>
                <w:rFonts w:hint="eastAsia" w:ascii="宋体" w:hAnsi="宋体"/>
                <w:bCs/>
                <w:sz w:val="18"/>
                <w:szCs w:val="18"/>
              </w:rPr>
              <w:t>评定</w:t>
            </w:r>
          </w:p>
          <w:p w14:paraId="33243D47">
            <w:pPr>
              <w:adjustRightInd w:val="0"/>
              <w:snapToGrid w:val="0"/>
              <w:jc w:val="center"/>
              <w:rPr>
                <w:rFonts w:hint="eastAsia" w:ascii="宋体" w:hAnsi="宋体"/>
                <w:bCs/>
                <w:sz w:val="18"/>
                <w:szCs w:val="18"/>
              </w:rPr>
            </w:pPr>
            <w:r>
              <w:rPr>
                <w:rFonts w:hint="eastAsia" w:ascii="宋体" w:hAnsi="宋体"/>
                <w:bCs/>
                <w:sz w:val="18"/>
                <w:szCs w:val="18"/>
              </w:rPr>
              <w:t>条款</w:t>
            </w:r>
          </w:p>
          <w:p w14:paraId="293AD010">
            <w:pPr>
              <w:adjustRightInd w:val="0"/>
              <w:snapToGrid w:val="0"/>
              <w:jc w:val="center"/>
              <w:rPr>
                <w:rFonts w:ascii="宋体" w:hAnsi="宋体"/>
                <w:bCs/>
                <w:sz w:val="18"/>
                <w:szCs w:val="18"/>
              </w:rPr>
            </w:pPr>
            <w:r>
              <w:rPr>
                <w:rFonts w:hint="eastAsia" w:ascii="宋体" w:hAnsi="宋体"/>
                <w:bCs/>
                <w:sz w:val="18"/>
                <w:szCs w:val="18"/>
              </w:rPr>
              <w:t>分值</w:t>
            </w:r>
          </w:p>
        </w:tc>
        <w:tc>
          <w:tcPr>
            <w:tcW w:w="929" w:type="pct"/>
            <w:noWrap w:val="0"/>
            <w:vAlign w:val="center"/>
          </w:tcPr>
          <w:p w14:paraId="044F7212">
            <w:pPr>
              <w:adjustRightInd w:val="0"/>
              <w:snapToGrid w:val="0"/>
              <w:jc w:val="center"/>
              <w:rPr>
                <w:rFonts w:ascii="宋体" w:hAnsi="宋体"/>
                <w:bCs/>
                <w:sz w:val="18"/>
                <w:szCs w:val="18"/>
              </w:rPr>
            </w:pPr>
            <w:r>
              <w:rPr>
                <w:rFonts w:ascii="宋体" w:hAnsi="宋体"/>
                <w:bCs/>
                <w:sz w:val="18"/>
                <w:szCs w:val="18"/>
              </w:rPr>
              <w:t>评分标准</w:t>
            </w:r>
          </w:p>
        </w:tc>
        <w:tc>
          <w:tcPr>
            <w:tcW w:w="192" w:type="pct"/>
            <w:noWrap w:val="0"/>
            <w:vAlign w:val="center"/>
          </w:tcPr>
          <w:p w14:paraId="3991E913">
            <w:pPr>
              <w:adjustRightInd w:val="0"/>
              <w:snapToGrid w:val="0"/>
              <w:jc w:val="center"/>
              <w:rPr>
                <w:rFonts w:ascii="宋体" w:hAnsi="宋体"/>
                <w:bCs/>
                <w:sz w:val="18"/>
                <w:szCs w:val="18"/>
              </w:rPr>
            </w:pPr>
            <w:r>
              <w:rPr>
                <w:rFonts w:hint="eastAsia" w:ascii="宋体" w:hAnsi="宋体"/>
                <w:bCs/>
                <w:sz w:val="18"/>
                <w:szCs w:val="18"/>
              </w:rPr>
              <w:t>评定得分</w:t>
            </w:r>
          </w:p>
        </w:tc>
        <w:tc>
          <w:tcPr>
            <w:tcW w:w="539" w:type="pct"/>
            <w:noWrap w:val="0"/>
            <w:vAlign w:val="center"/>
          </w:tcPr>
          <w:p w14:paraId="39D2717A">
            <w:pPr>
              <w:adjustRightInd w:val="0"/>
              <w:snapToGrid w:val="0"/>
              <w:jc w:val="center"/>
              <w:rPr>
                <w:rFonts w:ascii="宋体" w:hAnsi="宋体"/>
                <w:bCs/>
                <w:sz w:val="18"/>
                <w:szCs w:val="18"/>
              </w:rPr>
            </w:pPr>
            <w:r>
              <w:rPr>
                <w:rFonts w:hint="eastAsia" w:ascii="宋体" w:hAnsi="宋体"/>
                <w:bCs/>
                <w:sz w:val="18"/>
                <w:szCs w:val="18"/>
              </w:rPr>
              <w:t>扣分说明</w:t>
            </w:r>
          </w:p>
        </w:tc>
        <w:tc>
          <w:tcPr>
            <w:tcW w:w="349" w:type="pct"/>
            <w:noWrap w:val="0"/>
            <w:vAlign w:val="center"/>
          </w:tcPr>
          <w:p w14:paraId="25251FDA">
            <w:pPr>
              <w:adjustRightInd w:val="0"/>
              <w:snapToGrid w:val="0"/>
              <w:jc w:val="center"/>
              <w:rPr>
                <w:rFonts w:ascii="宋体" w:hAnsi="宋体"/>
                <w:bCs/>
                <w:sz w:val="18"/>
                <w:szCs w:val="18"/>
              </w:rPr>
            </w:pPr>
            <w:r>
              <w:rPr>
                <w:rFonts w:ascii="宋体" w:hAnsi="宋体"/>
                <w:bCs/>
                <w:sz w:val="18"/>
                <w:szCs w:val="18"/>
              </w:rPr>
              <w:t>对应条款编号</w:t>
            </w:r>
          </w:p>
        </w:tc>
      </w:tr>
      <w:tr w14:paraId="0909E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94" w:type="pct"/>
            <w:noWrap w:val="0"/>
            <w:vAlign w:val="center"/>
          </w:tcPr>
          <w:p w14:paraId="2F381787">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6.2.3.2</w:t>
            </w:r>
          </w:p>
        </w:tc>
        <w:tc>
          <w:tcPr>
            <w:tcW w:w="2075" w:type="pct"/>
            <w:noWrap w:val="0"/>
            <w:vAlign w:val="center"/>
          </w:tcPr>
          <w:p w14:paraId="5770E767">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配电箱（柜）的安装应符合下列要求：</w:t>
            </w:r>
          </w:p>
          <w:p w14:paraId="149FD855">
            <w:pPr>
              <w:pStyle w:val="207"/>
              <w:numPr>
                <w:ilvl w:val="0"/>
                <w:numId w:val="68"/>
              </w:numPr>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配电箱（柜）不应采用可燃材料制作；</w:t>
            </w:r>
          </w:p>
          <w:p w14:paraId="5DAA6165">
            <w:pPr>
              <w:pStyle w:val="207"/>
              <w:numPr>
                <w:ilvl w:val="0"/>
                <w:numId w:val="68"/>
              </w:numPr>
              <w:adjustRightInd w:val="0"/>
              <w:snapToGrid w:val="0"/>
              <w:spacing w:line="240" w:lineRule="atLeast"/>
              <w:ind w:left="0" w:leftChars="0" w:right="0" w:rightChars="0" w:firstLine="0" w:firstLine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配电箱（柜）安装位置正确，部件齐全；</w:t>
            </w:r>
          </w:p>
          <w:p w14:paraId="665A64C2">
            <w:pPr>
              <w:pStyle w:val="207"/>
              <w:numPr>
                <w:ilvl w:val="0"/>
                <w:numId w:val="0"/>
              </w:numPr>
              <w:adjustRightInd w:val="0"/>
              <w:snapToGrid w:val="0"/>
              <w:spacing w:line="240" w:lineRule="atLeast"/>
              <w:ind w:leftChars="0"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c）配电箱(柜)的机械闭锁、电气闭锁应动作准确、可靠</w:t>
            </w:r>
          </w:p>
          <w:p w14:paraId="6ED6C4AA">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d）配电箱（柜）不带电的外露可导电部分应与保护接地线(PE）连接可靠；装有电器的可开启门，应用裸铜编织软线与箱体内接地的金属部分做可靠连接；</w:t>
            </w:r>
          </w:p>
          <w:p w14:paraId="6D20352E">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e）配电箱（柜）内相线、中性线(N）、保护接地线(PE）的编号应齐全，正确；配线应整齐，无绞接现象；电线连接应紧密，不得损伤芯线和断股，多股电线应压接接线端子或搪锡；螺栓垫圈下两侧压的电线截面积应相同，同一端子上连接的电线不得多于2根；</w:t>
            </w:r>
          </w:p>
          <w:p w14:paraId="06AAA6CC">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f）配电箱（柜）前方1.2 m范围内应无任何妨碍操作与维修的物品，如因工艺布置、设备安装确有困难时可减至0.8 m，但不应影响箱门开启和操作；</w:t>
            </w:r>
          </w:p>
          <w:p w14:paraId="456B5795">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g）配电箱（柜）周边0.3 m内不应有可燃物，箱（柜）体内和下方不应堆放可燃物；</w:t>
            </w:r>
          </w:p>
          <w:p w14:paraId="633DE25A">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h）箱（柜）内应安装防止操作时触电的隔绝板（二次板）；</w:t>
            </w:r>
          </w:p>
          <w:p w14:paraId="753DFA7E">
            <w:pPr>
              <w:pStyle w:val="207"/>
              <w:adjustRightInd w:val="0"/>
              <w:snapToGrid w:val="0"/>
              <w:spacing w:line="240" w:lineRule="atLeas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i）室外落地式配电箱(柜)应安装在高出地坪不小于200mm的底座上，底座周围应采取封闭措施</w:t>
            </w:r>
            <w:r>
              <w:rPr>
                <w:rFonts w:hint="eastAsia" w:ascii="宋体" w:hAnsi="宋体" w:eastAsia="宋体"/>
                <w:spacing w:val="0"/>
                <w:kern w:val="2"/>
                <w:sz w:val="18"/>
                <w:szCs w:val="18"/>
                <w:lang w:eastAsia="zh-CN"/>
              </w:rPr>
              <w:t>；</w:t>
            </w:r>
          </w:p>
          <w:p w14:paraId="710C150A">
            <w:pPr>
              <w:pStyle w:val="207"/>
              <w:adjustRightInd w:val="0"/>
              <w:snapToGrid w:val="0"/>
              <w:spacing w:line="240" w:lineRule="atLeast"/>
              <w:ind w:right="0" w:rightChars="0"/>
              <w:jc w:val="left"/>
              <w:rPr>
                <w:rFonts w:hint="eastAsia" w:ascii="宋体" w:hAnsi="宋体" w:eastAsia="宋体" w:cs="Times New Roman"/>
                <w:spacing w:val="2"/>
                <w:kern w:val="0"/>
                <w:sz w:val="18"/>
                <w:szCs w:val="18"/>
                <w:lang w:val="en-US" w:eastAsia="zh-CN" w:bidi="ar-SA"/>
              </w:rPr>
            </w:pPr>
            <w:r>
              <w:rPr>
                <w:rFonts w:hint="eastAsia" w:ascii="宋体" w:hAnsi="宋体" w:eastAsia="宋体"/>
                <w:spacing w:val="0"/>
                <w:kern w:val="2"/>
                <w:sz w:val="18"/>
                <w:szCs w:val="18"/>
                <w:lang w:val="en-US" w:eastAsia="zh-CN"/>
              </w:rPr>
              <w:t>j</w:t>
            </w:r>
            <w:r>
              <w:rPr>
                <w:rFonts w:hint="eastAsia" w:ascii="宋体" w:hAnsi="宋体" w:eastAsia="宋体"/>
                <w:spacing w:val="0"/>
                <w:kern w:val="2"/>
                <w:sz w:val="18"/>
                <w:szCs w:val="18"/>
              </w:rPr>
              <w:t>）室外</w:t>
            </w:r>
            <w:r>
              <w:rPr>
                <w:rFonts w:hint="eastAsia" w:ascii="宋体" w:hAnsi="宋体" w:eastAsia="宋体"/>
                <w:spacing w:val="0"/>
                <w:kern w:val="2"/>
                <w:sz w:val="18"/>
                <w:szCs w:val="18"/>
                <w:lang w:val="en-US" w:eastAsia="zh-CN"/>
              </w:rPr>
              <w:t>或潮湿场所</w:t>
            </w:r>
            <w:r>
              <w:rPr>
                <w:rFonts w:hint="eastAsia" w:ascii="宋体" w:hAnsi="宋体" w:eastAsia="宋体"/>
                <w:spacing w:val="0"/>
                <w:kern w:val="2"/>
                <w:sz w:val="18"/>
                <w:szCs w:val="18"/>
              </w:rPr>
              <w:t>安装的非防护型的电气设备应有</w:t>
            </w:r>
            <w:r>
              <w:rPr>
                <w:rFonts w:hint="eastAsia" w:ascii="宋体" w:hAnsi="宋体" w:eastAsia="宋体"/>
                <w:spacing w:val="0"/>
                <w:kern w:val="2"/>
                <w:sz w:val="18"/>
                <w:szCs w:val="18"/>
                <w:lang w:val="en-US" w:eastAsia="zh-CN"/>
              </w:rPr>
              <w:t>防水防潮</w:t>
            </w:r>
            <w:r>
              <w:rPr>
                <w:rFonts w:hint="eastAsia" w:ascii="宋体" w:hAnsi="宋体" w:eastAsia="宋体"/>
                <w:spacing w:val="0"/>
                <w:kern w:val="2"/>
                <w:sz w:val="18"/>
                <w:szCs w:val="18"/>
              </w:rPr>
              <w:t>措施。</w:t>
            </w:r>
          </w:p>
        </w:tc>
        <w:tc>
          <w:tcPr>
            <w:tcW w:w="194" w:type="pct"/>
            <w:noWrap w:val="0"/>
            <w:vAlign w:val="center"/>
          </w:tcPr>
          <w:p w14:paraId="2A820054">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194" w:type="pct"/>
            <w:noWrap w:val="0"/>
            <w:vAlign w:val="center"/>
          </w:tcPr>
          <w:p w14:paraId="3065C4FA">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232" w:type="pct"/>
            <w:noWrap w:val="0"/>
            <w:vAlign w:val="center"/>
          </w:tcPr>
          <w:p w14:paraId="1ED6AB4F">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6</w:t>
            </w:r>
          </w:p>
        </w:tc>
        <w:tc>
          <w:tcPr>
            <w:tcW w:w="929" w:type="pct"/>
            <w:noWrap w:val="0"/>
            <w:vAlign w:val="center"/>
          </w:tcPr>
          <w:p w14:paraId="3372BB0F">
            <w:pPr>
              <w:pStyle w:val="207"/>
              <w:adjustRightInd w:val="0"/>
              <w:snapToGrid w:val="0"/>
              <w:spacing w:line="240" w:lineRule="atLeast"/>
              <w:ind w:right="-105" w:rightChars="-50"/>
              <w:jc w:val="left"/>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一处不符合，扣2分。</w:t>
            </w:r>
          </w:p>
        </w:tc>
        <w:tc>
          <w:tcPr>
            <w:tcW w:w="192" w:type="pct"/>
            <w:noWrap w:val="0"/>
            <w:vAlign w:val="center"/>
          </w:tcPr>
          <w:p w14:paraId="407360FD">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539" w:type="pct"/>
            <w:noWrap w:val="0"/>
            <w:vAlign w:val="center"/>
          </w:tcPr>
          <w:p w14:paraId="445414AD">
            <w:pPr>
              <w:pStyle w:val="183"/>
              <w:numPr>
                <w:ilvl w:val="3"/>
                <w:numId w:val="0"/>
              </w:numPr>
              <w:adjustRightInd w:val="0"/>
              <w:snapToGrid w:val="0"/>
              <w:ind w:left="0" w:leftChars="0" w:right="-105" w:rightChars="0" w:firstLine="0" w:firstLineChars="0"/>
              <w:jc w:val="left"/>
              <w:outlineLvl w:val="9"/>
              <w:rPr>
                <w:rFonts w:ascii="宋体" w:hAnsi="宋体" w:eastAsia="宋体" w:cs="Times New Roman"/>
                <w:kern w:val="2"/>
                <w:sz w:val="18"/>
                <w:szCs w:val="18"/>
                <w:lang w:val="en-US" w:eastAsia="zh-CN" w:bidi="ar-SA"/>
              </w:rPr>
            </w:pPr>
          </w:p>
        </w:tc>
        <w:tc>
          <w:tcPr>
            <w:tcW w:w="349" w:type="pct"/>
            <w:noWrap w:val="0"/>
            <w:vAlign w:val="center"/>
          </w:tcPr>
          <w:p w14:paraId="091224EE">
            <w:pPr>
              <w:pStyle w:val="207"/>
              <w:numPr>
                <w:ilvl w:val="3"/>
                <w:numId w:val="0"/>
              </w:numPr>
              <w:adjustRightInd w:val="0"/>
              <w:snapToGrid w:val="0"/>
              <w:ind w:left="0" w:leftChars="0" w:right="-105" w:rightChars="0" w:firstLine="0" w:firstLineChars="0"/>
              <w:jc w:val="center"/>
              <w:rPr>
                <w:rFonts w:hint="eastAsia" w:ascii="宋体" w:hAnsi="宋体" w:eastAsia="宋体" w:cs="Times New Roman"/>
                <w:bCs/>
                <w:spacing w:val="2"/>
                <w:kern w:val="0"/>
                <w:sz w:val="18"/>
                <w:szCs w:val="18"/>
                <w:lang w:val="en-US" w:eastAsia="zh-CN" w:bidi="ar-SA"/>
              </w:rPr>
            </w:pPr>
            <w:r>
              <w:rPr>
                <w:rFonts w:hint="eastAsia" w:ascii="宋体" w:hAnsi="宋体" w:eastAsia="宋体"/>
                <w:bCs/>
                <w:sz w:val="18"/>
                <w:szCs w:val="18"/>
                <w:lang w:val="en-US" w:eastAsia="zh-CN"/>
              </w:rPr>
              <w:t>4</w:t>
            </w:r>
            <w:r>
              <w:rPr>
                <w:rFonts w:hint="eastAsia" w:ascii="宋体" w:hAnsi="宋体" w:eastAsia="宋体"/>
                <w:bCs/>
                <w:sz w:val="18"/>
                <w:szCs w:val="18"/>
              </w:rPr>
              <w:t>.6.</w:t>
            </w:r>
            <w:r>
              <w:rPr>
                <w:rFonts w:hint="eastAsia" w:ascii="宋体" w:hAnsi="宋体" w:eastAsia="宋体"/>
                <w:bCs/>
                <w:sz w:val="18"/>
                <w:szCs w:val="18"/>
                <w:lang w:val="en-US" w:eastAsia="zh-CN"/>
              </w:rPr>
              <w:t>1</w:t>
            </w:r>
          </w:p>
        </w:tc>
      </w:tr>
      <w:tr w14:paraId="0B4F0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94" w:type="pct"/>
            <w:shd w:val="clear"/>
            <w:noWrap w:val="0"/>
            <w:vAlign w:val="center"/>
          </w:tcPr>
          <w:p w14:paraId="57F8363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6.2.3.</w:t>
            </w:r>
            <w:r>
              <w:rPr>
                <w:rFonts w:hint="eastAsia" w:ascii="宋体" w:hAnsi="宋体"/>
                <w:sz w:val="18"/>
                <w:szCs w:val="18"/>
                <w:lang w:val="en-US" w:eastAsia="zh-CN"/>
              </w:rPr>
              <w:t>3</w:t>
            </w:r>
          </w:p>
        </w:tc>
        <w:tc>
          <w:tcPr>
            <w:tcW w:w="2075" w:type="pct"/>
            <w:shd w:val="clear"/>
            <w:noWrap w:val="0"/>
            <w:vAlign w:val="center"/>
          </w:tcPr>
          <w:p w14:paraId="740976ED">
            <w:pPr>
              <w:adjustRightInd w:val="0"/>
              <w:snapToGrid w:val="0"/>
              <w:rPr>
                <w:rFonts w:ascii="宋体" w:hAnsi="宋体"/>
              </w:rPr>
            </w:pPr>
            <w:r>
              <w:rPr>
                <w:rFonts w:hint="eastAsia" w:ascii="宋体" w:hAnsi="宋体"/>
                <w:sz w:val="18"/>
                <w:szCs w:val="18"/>
              </w:rPr>
              <w:t>配电箱（柜）内导线的安装和敷设应符合下列要求：</w:t>
            </w:r>
          </w:p>
          <w:p w14:paraId="41E50F95">
            <w:pPr>
              <w:pStyle w:val="22"/>
              <w:adjustRightInd w:val="0"/>
              <w:snapToGrid w:val="0"/>
              <w:ind w:left="0" w:firstLine="0"/>
              <w:rPr>
                <w:rFonts w:hint="eastAsia" w:ascii="宋体" w:hAnsi="宋体"/>
                <w:sz w:val="18"/>
                <w:szCs w:val="18"/>
              </w:rPr>
            </w:pPr>
            <w:r>
              <w:rPr>
                <w:rFonts w:ascii="宋体" w:hAnsi="宋体"/>
                <w:sz w:val="18"/>
                <w:szCs w:val="18"/>
              </w:rPr>
              <w:t>a</w:t>
            </w:r>
            <w:r>
              <w:rPr>
                <w:rFonts w:hint="eastAsia" w:ascii="宋体" w:hAnsi="宋体"/>
                <w:sz w:val="18"/>
                <w:szCs w:val="18"/>
              </w:rPr>
              <w:t>）进出导线应有绝缘保护套；</w:t>
            </w:r>
          </w:p>
          <w:p w14:paraId="76108442">
            <w:pPr>
              <w:pStyle w:val="22"/>
              <w:adjustRightInd w:val="0"/>
              <w:snapToGrid w:val="0"/>
              <w:ind w:left="0" w:firstLine="0"/>
              <w:rPr>
                <w:rFonts w:ascii="宋体" w:hAnsi="宋体"/>
                <w:sz w:val="18"/>
                <w:szCs w:val="18"/>
              </w:rPr>
            </w:pPr>
            <w:r>
              <w:rPr>
                <w:rFonts w:hint="eastAsia" w:ascii="宋体" w:hAnsi="宋体"/>
                <w:sz w:val="18"/>
                <w:szCs w:val="18"/>
                <w:lang w:val="en-US" w:eastAsia="zh-CN"/>
              </w:rPr>
              <w:t>b</w:t>
            </w:r>
            <w:r>
              <w:rPr>
                <w:rFonts w:hint="eastAsia" w:ascii="宋体" w:hAnsi="宋体"/>
                <w:sz w:val="18"/>
                <w:szCs w:val="18"/>
              </w:rPr>
              <w:t>）护套绝缘电线进入接线盒（箱）或与设备、器具连接时，护套层应引入接线盒（箱）或设备、器具</w:t>
            </w:r>
            <w:r>
              <w:rPr>
                <w:rFonts w:hint="eastAsia" w:ascii="宋体" w:hAnsi="宋体"/>
                <w:sz w:val="18"/>
                <w:szCs w:val="18"/>
                <w:lang w:val="en-US" w:eastAsia="zh-CN"/>
              </w:rPr>
              <w:t>内</w:t>
            </w:r>
            <w:r>
              <w:rPr>
                <w:rFonts w:hint="eastAsia" w:ascii="宋体" w:hAnsi="宋体"/>
                <w:sz w:val="18"/>
                <w:szCs w:val="18"/>
              </w:rPr>
              <w:t>；</w:t>
            </w:r>
          </w:p>
          <w:p w14:paraId="1F0B73EC">
            <w:pPr>
              <w:pStyle w:val="207"/>
              <w:adjustRightInd w:val="0"/>
              <w:snapToGrid w:val="0"/>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lang w:val="en-US" w:eastAsia="zh-CN"/>
              </w:rPr>
              <w:t>c</w:t>
            </w:r>
            <w:r>
              <w:rPr>
                <w:rFonts w:hint="eastAsia" w:ascii="宋体" w:hAnsi="宋体" w:eastAsia="宋体"/>
                <w:spacing w:val="0"/>
                <w:kern w:val="2"/>
                <w:sz w:val="18"/>
                <w:szCs w:val="18"/>
              </w:rPr>
              <w:t>）导线不应卡在电气箱柜的金属外壳上，致使盖板无法盖上；</w:t>
            </w:r>
          </w:p>
          <w:p w14:paraId="65F89BF5">
            <w:pPr>
              <w:pStyle w:val="207"/>
              <w:adjustRightInd w:val="0"/>
              <w:snapToGrid w:val="0"/>
              <w:ind w:right="0" w:rightChars="0"/>
              <w:jc w:val="left"/>
              <w:rPr>
                <w:rFonts w:ascii="宋体" w:hAnsi="宋体" w:eastAsia="宋体"/>
                <w:spacing w:val="0"/>
                <w:kern w:val="2"/>
                <w:sz w:val="18"/>
                <w:szCs w:val="18"/>
              </w:rPr>
            </w:pPr>
            <w:r>
              <w:rPr>
                <w:rFonts w:ascii="宋体" w:hAnsi="宋体" w:eastAsia="宋体"/>
                <w:spacing w:val="0"/>
                <w:kern w:val="2"/>
                <w:sz w:val="18"/>
                <w:szCs w:val="18"/>
              </w:rPr>
              <w:t>d</w:t>
            </w:r>
            <w:r>
              <w:rPr>
                <w:rFonts w:hint="eastAsia" w:ascii="宋体" w:hAnsi="宋体" w:eastAsia="宋体"/>
                <w:spacing w:val="0"/>
                <w:kern w:val="2"/>
                <w:sz w:val="18"/>
                <w:szCs w:val="18"/>
              </w:rPr>
              <w:t>）箱内导线的颜色应符合要求，任何情况下颜色标记不应混用和互相代用：</w:t>
            </w:r>
          </w:p>
          <w:p w14:paraId="35644D40">
            <w:pPr>
              <w:pStyle w:val="207"/>
              <w:adjustRightInd w:val="0"/>
              <w:snapToGrid w:val="0"/>
              <w:ind w:right="0" w:rightChars="0" w:firstLine="360" w:firstLineChars="200"/>
              <w:jc w:val="left"/>
              <w:rPr>
                <w:rFonts w:ascii="宋体" w:hAnsi="宋体" w:eastAsia="宋体"/>
                <w:spacing w:val="0"/>
                <w:kern w:val="2"/>
                <w:sz w:val="18"/>
                <w:szCs w:val="18"/>
              </w:rPr>
            </w:pPr>
            <w:r>
              <w:rPr>
                <w:rFonts w:hint="eastAsia" w:ascii="宋体" w:hAnsi="宋体" w:eastAsia="宋体"/>
                <w:spacing w:val="0"/>
                <w:kern w:val="2"/>
                <w:sz w:val="18"/>
                <w:szCs w:val="18"/>
              </w:rPr>
              <w:t>1）相线</w:t>
            </w:r>
            <w:r>
              <w:rPr>
                <w:rFonts w:ascii="宋体" w:hAnsi="宋体" w:eastAsia="宋体"/>
                <w:spacing w:val="0"/>
                <w:kern w:val="2"/>
                <w:sz w:val="18"/>
                <w:szCs w:val="18"/>
              </w:rPr>
              <w:t>L1</w:t>
            </w:r>
            <w:r>
              <w:rPr>
                <w:rFonts w:hint="eastAsia" w:ascii="宋体" w:hAnsi="宋体" w:eastAsia="宋体"/>
                <w:spacing w:val="0"/>
                <w:kern w:val="2"/>
                <w:sz w:val="18"/>
                <w:szCs w:val="18"/>
              </w:rPr>
              <w:t>、</w:t>
            </w:r>
            <w:r>
              <w:rPr>
                <w:rFonts w:ascii="宋体" w:hAnsi="宋体" w:eastAsia="宋体"/>
                <w:spacing w:val="0"/>
                <w:kern w:val="2"/>
                <w:sz w:val="18"/>
                <w:szCs w:val="18"/>
              </w:rPr>
              <w:t>L2</w:t>
            </w:r>
            <w:r>
              <w:rPr>
                <w:rFonts w:hint="eastAsia" w:ascii="宋体" w:hAnsi="宋体" w:eastAsia="宋体"/>
                <w:spacing w:val="0"/>
                <w:kern w:val="2"/>
                <w:sz w:val="18"/>
                <w:szCs w:val="18"/>
              </w:rPr>
              <w:t>、</w:t>
            </w:r>
            <w:r>
              <w:rPr>
                <w:rFonts w:ascii="宋体" w:hAnsi="宋体" w:eastAsia="宋体"/>
                <w:spacing w:val="0"/>
                <w:kern w:val="2"/>
                <w:sz w:val="18"/>
                <w:szCs w:val="18"/>
              </w:rPr>
              <w:t>L3</w:t>
            </w:r>
            <w:r>
              <w:rPr>
                <w:rFonts w:hint="eastAsia" w:ascii="宋体" w:hAnsi="宋体" w:eastAsia="宋体"/>
                <w:spacing w:val="0"/>
                <w:kern w:val="2"/>
                <w:sz w:val="18"/>
                <w:szCs w:val="18"/>
              </w:rPr>
              <w:t>的绝缘层颜色依次为黄、绿、红色；</w:t>
            </w:r>
          </w:p>
          <w:p w14:paraId="33D9042F">
            <w:pPr>
              <w:pStyle w:val="207"/>
              <w:adjustRightInd w:val="0"/>
              <w:snapToGrid w:val="0"/>
              <w:ind w:right="0" w:rightChars="0" w:firstLine="360" w:firstLineChars="200"/>
              <w:jc w:val="left"/>
              <w:rPr>
                <w:rFonts w:ascii="宋体" w:hAnsi="宋体" w:eastAsia="宋体"/>
                <w:spacing w:val="0"/>
                <w:kern w:val="2"/>
                <w:sz w:val="18"/>
                <w:szCs w:val="18"/>
              </w:rPr>
            </w:pPr>
            <w:r>
              <w:rPr>
                <w:rFonts w:hint="eastAsia" w:ascii="宋体" w:hAnsi="宋体" w:eastAsia="宋体"/>
                <w:spacing w:val="0"/>
                <w:kern w:val="2"/>
                <w:sz w:val="18"/>
                <w:szCs w:val="18"/>
              </w:rPr>
              <w:t>2）</w:t>
            </w:r>
            <w:r>
              <w:rPr>
                <w:rFonts w:ascii="宋体" w:hAnsi="宋体" w:eastAsia="宋体"/>
                <w:spacing w:val="0"/>
                <w:kern w:val="2"/>
                <w:sz w:val="18"/>
                <w:szCs w:val="18"/>
              </w:rPr>
              <w:t>N</w:t>
            </w:r>
            <w:r>
              <w:rPr>
                <w:rFonts w:hint="eastAsia" w:ascii="宋体" w:hAnsi="宋体" w:eastAsia="宋体"/>
                <w:spacing w:val="0"/>
                <w:kern w:val="2"/>
                <w:sz w:val="18"/>
                <w:szCs w:val="18"/>
              </w:rPr>
              <w:t>线的绝缘层颜色为淡蓝色；</w:t>
            </w:r>
          </w:p>
          <w:p w14:paraId="33E576A0">
            <w:pPr>
              <w:adjustRightInd w:val="0"/>
              <w:snapToGrid w:val="0"/>
              <w:ind w:firstLine="360" w:firstLineChars="200"/>
              <w:jc w:val="left"/>
              <w:rPr>
                <w:rFonts w:hint="eastAsia" w:ascii="宋体" w:hAnsi="宋体" w:eastAsia="宋体" w:cs="Times New Roman"/>
                <w:kern w:val="2"/>
                <w:sz w:val="18"/>
                <w:szCs w:val="18"/>
                <w:lang w:val="en-US" w:eastAsia="zh-CN" w:bidi="ar-SA"/>
              </w:rPr>
            </w:pPr>
            <w:r>
              <w:rPr>
                <w:rFonts w:hint="eastAsia" w:ascii="宋体" w:hAnsi="宋体"/>
                <w:sz w:val="18"/>
                <w:szCs w:val="18"/>
              </w:rPr>
              <w:t>3）</w:t>
            </w:r>
            <w:r>
              <w:rPr>
                <w:rFonts w:ascii="宋体" w:hAnsi="宋体"/>
                <w:sz w:val="18"/>
                <w:szCs w:val="18"/>
              </w:rPr>
              <w:t>PE</w:t>
            </w:r>
            <w:r>
              <w:rPr>
                <w:rFonts w:hint="eastAsia" w:ascii="宋体" w:hAnsi="宋体"/>
                <w:sz w:val="18"/>
                <w:szCs w:val="18"/>
              </w:rPr>
              <w:t>线的绝缘层颜色为绿</w:t>
            </w:r>
            <w:r>
              <w:rPr>
                <w:rFonts w:ascii="宋体" w:hAnsi="宋体"/>
                <w:sz w:val="18"/>
                <w:szCs w:val="18"/>
              </w:rPr>
              <w:t>/</w:t>
            </w:r>
            <w:r>
              <w:rPr>
                <w:rFonts w:hint="eastAsia" w:ascii="宋体" w:hAnsi="宋体"/>
                <w:sz w:val="18"/>
                <w:szCs w:val="18"/>
              </w:rPr>
              <w:t>黄双色。</w:t>
            </w:r>
          </w:p>
        </w:tc>
        <w:tc>
          <w:tcPr>
            <w:tcW w:w="194" w:type="pct"/>
            <w:shd w:val="clear"/>
            <w:noWrap w:val="0"/>
            <w:vAlign w:val="center"/>
          </w:tcPr>
          <w:p w14:paraId="05541965">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94" w:type="pct"/>
            <w:shd w:val="clear"/>
            <w:noWrap w:val="0"/>
            <w:vAlign w:val="center"/>
          </w:tcPr>
          <w:p w14:paraId="667DBC4C">
            <w:pPr>
              <w:pStyle w:val="22"/>
              <w:numPr>
                <w:ilvl w:val="3"/>
                <w:numId w:val="0"/>
              </w:numPr>
              <w:adjustRightInd w:val="0"/>
              <w:snapToGrid w:val="0"/>
              <w:ind w:left="0" w:leftChars="0" w:right="-105" w:rightChars="0" w:firstLine="88" w:firstLineChars="49"/>
              <w:rPr>
                <w:rFonts w:hint="eastAsia" w:ascii="宋体" w:hAnsi="宋体" w:eastAsia="宋体" w:cs="Times New Roman"/>
                <w:kern w:val="2"/>
                <w:sz w:val="18"/>
                <w:szCs w:val="18"/>
                <w:lang w:val="en-US" w:eastAsia="zh-CN" w:bidi="ar-SA"/>
              </w:rPr>
            </w:pPr>
          </w:p>
        </w:tc>
        <w:tc>
          <w:tcPr>
            <w:tcW w:w="232" w:type="pct"/>
            <w:shd w:val="clear"/>
            <w:noWrap w:val="0"/>
            <w:vAlign w:val="center"/>
          </w:tcPr>
          <w:p w14:paraId="681FE55A">
            <w:pPr>
              <w:adjustRightInd w:val="0"/>
              <w:snapToGrid w:val="0"/>
              <w:jc w:val="center"/>
              <w:rPr>
                <w:rFonts w:hint="eastAsia" w:ascii="宋体" w:hAnsi="宋体" w:eastAsia="宋体" w:cs="Times New Roman"/>
                <w:snapToGrid w:val="0"/>
                <w:kern w:val="21"/>
                <w:sz w:val="18"/>
                <w:szCs w:val="18"/>
                <w:lang w:val="en-US" w:eastAsia="zh-CN" w:bidi="ar-SA"/>
              </w:rPr>
            </w:pPr>
            <w:r>
              <w:rPr>
                <w:rFonts w:hint="eastAsia" w:ascii="宋体" w:hAnsi="宋体"/>
                <w:snapToGrid w:val="0"/>
                <w:kern w:val="21"/>
                <w:sz w:val="18"/>
                <w:szCs w:val="18"/>
                <w:lang w:val="en-US" w:eastAsia="zh-CN"/>
              </w:rPr>
              <w:t>3</w:t>
            </w:r>
          </w:p>
        </w:tc>
        <w:tc>
          <w:tcPr>
            <w:tcW w:w="929" w:type="pct"/>
            <w:shd w:val="clear"/>
            <w:noWrap w:val="0"/>
            <w:vAlign w:val="center"/>
          </w:tcPr>
          <w:p w14:paraId="122B00BC">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bCs/>
                <w:sz w:val="18"/>
                <w:szCs w:val="18"/>
              </w:rPr>
              <w:t>一处不符合扣1分。</w:t>
            </w:r>
          </w:p>
        </w:tc>
        <w:tc>
          <w:tcPr>
            <w:tcW w:w="192" w:type="pct"/>
            <w:shd w:val="clear"/>
            <w:noWrap w:val="0"/>
            <w:vAlign w:val="center"/>
          </w:tcPr>
          <w:p w14:paraId="5BD7AE8C">
            <w:pPr>
              <w:adjustRightInd w:val="0"/>
              <w:snapToGrid w:val="0"/>
              <w:jc w:val="center"/>
              <w:rPr>
                <w:rFonts w:ascii="宋体" w:hAnsi="宋体" w:eastAsia="宋体" w:cs="Times New Roman"/>
                <w:bCs/>
                <w:kern w:val="2"/>
                <w:sz w:val="18"/>
                <w:szCs w:val="18"/>
                <w:lang w:val="en-US" w:eastAsia="zh-CN" w:bidi="ar-SA"/>
              </w:rPr>
            </w:pPr>
          </w:p>
        </w:tc>
        <w:tc>
          <w:tcPr>
            <w:tcW w:w="539" w:type="pct"/>
            <w:shd w:val="clear"/>
            <w:noWrap w:val="0"/>
            <w:vAlign w:val="center"/>
          </w:tcPr>
          <w:p w14:paraId="6D6C409A">
            <w:pPr>
              <w:adjustRightInd w:val="0"/>
              <w:snapToGrid w:val="0"/>
              <w:jc w:val="center"/>
              <w:rPr>
                <w:rFonts w:ascii="宋体" w:hAnsi="宋体" w:eastAsia="宋体" w:cs="Times New Roman"/>
                <w:bCs/>
                <w:kern w:val="2"/>
                <w:sz w:val="18"/>
                <w:szCs w:val="18"/>
                <w:lang w:val="en-US" w:eastAsia="zh-CN" w:bidi="ar-SA"/>
              </w:rPr>
            </w:pPr>
          </w:p>
        </w:tc>
        <w:tc>
          <w:tcPr>
            <w:tcW w:w="349" w:type="pct"/>
            <w:shd w:val="clear"/>
            <w:noWrap w:val="0"/>
            <w:vAlign w:val="center"/>
          </w:tcPr>
          <w:p w14:paraId="1D8CF09E">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4F3F0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94" w:type="pct"/>
            <w:shd w:val="clear"/>
            <w:noWrap w:val="0"/>
            <w:vAlign w:val="center"/>
          </w:tcPr>
          <w:p w14:paraId="06A957FF">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6.2.3.</w:t>
            </w:r>
            <w:r>
              <w:rPr>
                <w:rFonts w:hint="eastAsia" w:ascii="宋体" w:hAnsi="宋体"/>
                <w:sz w:val="18"/>
                <w:szCs w:val="18"/>
                <w:lang w:val="en-US" w:eastAsia="zh-CN"/>
              </w:rPr>
              <w:t>4</w:t>
            </w:r>
          </w:p>
        </w:tc>
        <w:tc>
          <w:tcPr>
            <w:tcW w:w="2075" w:type="pct"/>
            <w:shd w:val="clear"/>
            <w:noWrap w:val="0"/>
            <w:vAlign w:val="center"/>
          </w:tcPr>
          <w:p w14:paraId="25771EE8">
            <w:pPr>
              <w:pStyle w:val="207"/>
              <w:adjustRightInd w:val="0"/>
              <w:snapToGrid w:val="0"/>
              <w:ind w:right="0" w:rightChars="0"/>
              <w:rPr>
                <w:rFonts w:ascii="宋体" w:hAnsi="宋体" w:eastAsia="宋体"/>
                <w:spacing w:val="0"/>
                <w:kern w:val="2"/>
                <w:sz w:val="18"/>
                <w:szCs w:val="18"/>
              </w:rPr>
            </w:pPr>
            <w:r>
              <w:rPr>
                <w:rFonts w:hint="eastAsia" w:ascii="宋体" w:hAnsi="宋体" w:eastAsia="宋体"/>
                <w:spacing w:val="0"/>
                <w:kern w:val="2"/>
                <w:sz w:val="18"/>
                <w:szCs w:val="18"/>
              </w:rPr>
              <w:t>配电箱（柜）内</w:t>
            </w:r>
            <w:r>
              <w:rPr>
                <w:rFonts w:ascii="宋体" w:hAnsi="宋体" w:eastAsia="宋体"/>
                <w:spacing w:val="0"/>
                <w:kern w:val="2"/>
                <w:sz w:val="18"/>
                <w:szCs w:val="18"/>
              </w:rPr>
              <w:t>N</w:t>
            </w:r>
            <w:r>
              <w:rPr>
                <w:rFonts w:hint="eastAsia" w:ascii="宋体" w:hAnsi="宋体" w:eastAsia="宋体"/>
                <w:spacing w:val="0"/>
                <w:kern w:val="2"/>
                <w:sz w:val="18"/>
                <w:szCs w:val="18"/>
              </w:rPr>
              <w:t>线和</w:t>
            </w:r>
            <w:r>
              <w:rPr>
                <w:rFonts w:ascii="宋体" w:hAnsi="宋体" w:eastAsia="宋体"/>
                <w:spacing w:val="0"/>
                <w:kern w:val="2"/>
                <w:sz w:val="18"/>
                <w:szCs w:val="18"/>
              </w:rPr>
              <w:t>PE</w:t>
            </w:r>
            <w:r>
              <w:rPr>
                <w:rFonts w:hint="eastAsia" w:ascii="宋体" w:hAnsi="宋体" w:eastAsia="宋体"/>
                <w:spacing w:val="0"/>
                <w:kern w:val="2"/>
                <w:sz w:val="18"/>
                <w:szCs w:val="18"/>
              </w:rPr>
              <w:t>线的安装应符合下列要求：</w:t>
            </w:r>
          </w:p>
          <w:p w14:paraId="226991A2">
            <w:pPr>
              <w:pStyle w:val="207"/>
              <w:adjustRightInd w:val="0"/>
              <w:snapToGrid w:val="0"/>
              <w:ind w:right="0" w:rightChars="0"/>
              <w:rPr>
                <w:rFonts w:hint="eastAsia" w:ascii="宋体" w:hAnsi="宋体" w:eastAsia="宋体" w:cs="Times New Roman"/>
                <w:kern w:val="2"/>
                <w:sz w:val="18"/>
                <w:szCs w:val="18"/>
                <w:lang w:val="en-US" w:eastAsia="zh-CN" w:bidi="ar-SA"/>
              </w:rPr>
            </w:pPr>
            <w:r>
              <w:rPr>
                <w:rFonts w:ascii="宋体" w:hAnsi="宋体" w:eastAsia="宋体"/>
                <w:spacing w:val="0"/>
                <w:kern w:val="2"/>
                <w:sz w:val="18"/>
                <w:szCs w:val="18"/>
              </w:rPr>
              <w:t>a</w:t>
            </w:r>
            <w:r>
              <w:rPr>
                <w:rFonts w:hint="eastAsia" w:ascii="宋体" w:hAnsi="宋体" w:eastAsia="宋体"/>
                <w:spacing w:val="0"/>
                <w:kern w:val="2"/>
                <w:sz w:val="18"/>
                <w:szCs w:val="18"/>
              </w:rPr>
              <w:t>）配电箱（柜）内应安装专用的</w:t>
            </w:r>
            <w:r>
              <w:rPr>
                <w:rFonts w:ascii="宋体" w:hAnsi="宋体" w:eastAsia="宋体"/>
                <w:spacing w:val="0"/>
                <w:kern w:val="2"/>
                <w:sz w:val="18"/>
                <w:szCs w:val="18"/>
              </w:rPr>
              <w:t>N</w:t>
            </w:r>
            <w:r>
              <w:rPr>
                <w:rFonts w:hint="eastAsia" w:ascii="宋体" w:hAnsi="宋体" w:eastAsia="宋体"/>
                <w:spacing w:val="0"/>
                <w:kern w:val="2"/>
                <w:sz w:val="18"/>
                <w:szCs w:val="18"/>
              </w:rPr>
              <w:t>线端子排和</w:t>
            </w:r>
            <w:r>
              <w:rPr>
                <w:rFonts w:ascii="宋体" w:hAnsi="宋体" w:eastAsia="宋体"/>
                <w:spacing w:val="0"/>
                <w:kern w:val="2"/>
                <w:sz w:val="18"/>
                <w:szCs w:val="18"/>
              </w:rPr>
              <w:t>PE</w:t>
            </w:r>
            <w:r>
              <w:rPr>
                <w:rFonts w:hint="eastAsia" w:ascii="宋体" w:hAnsi="宋体" w:eastAsia="宋体"/>
                <w:spacing w:val="0"/>
                <w:kern w:val="2"/>
                <w:sz w:val="18"/>
                <w:szCs w:val="18"/>
              </w:rPr>
              <w:t>线端子排，</w:t>
            </w:r>
            <w:r>
              <w:rPr>
                <w:rFonts w:ascii="宋体" w:hAnsi="宋体" w:eastAsia="宋体"/>
                <w:spacing w:val="0"/>
                <w:kern w:val="2"/>
                <w:sz w:val="18"/>
                <w:szCs w:val="18"/>
              </w:rPr>
              <w:t>N</w:t>
            </w:r>
            <w:r>
              <w:rPr>
                <w:rFonts w:hint="eastAsia" w:ascii="宋体" w:hAnsi="宋体" w:eastAsia="宋体"/>
                <w:spacing w:val="0"/>
                <w:kern w:val="2"/>
                <w:sz w:val="18"/>
                <w:szCs w:val="18"/>
              </w:rPr>
              <w:t>线端子排应与金属电器安装板绝缘；</w:t>
            </w:r>
            <w:r>
              <w:rPr>
                <w:rFonts w:ascii="宋体" w:hAnsi="宋体" w:eastAsia="宋体"/>
                <w:spacing w:val="0"/>
                <w:kern w:val="2"/>
                <w:sz w:val="18"/>
                <w:szCs w:val="18"/>
              </w:rPr>
              <w:t>PE</w:t>
            </w:r>
            <w:r>
              <w:rPr>
                <w:rFonts w:hint="eastAsia" w:ascii="宋体" w:hAnsi="宋体" w:eastAsia="宋体"/>
                <w:spacing w:val="0"/>
                <w:kern w:val="2"/>
                <w:sz w:val="18"/>
                <w:szCs w:val="18"/>
              </w:rPr>
              <w:t>线端子排应与金属电器安装板做电气连接；</w:t>
            </w:r>
          </w:p>
        </w:tc>
        <w:tc>
          <w:tcPr>
            <w:tcW w:w="194" w:type="pct"/>
            <w:shd w:val="clear"/>
            <w:noWrap w:val="0"/>
            <w:vAlign w:val="center"/>
          </w:tcPr>
          <w:p w14:paraId="1538918B">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94" w:type="pct"/>
            <w:shd w:val="clear"/>
            <w:noWrap w:val="0"/>
            <w:vAlign w:val="center"/>
          </w:tcPr>
          <w:p w14:paraId="5D0C2D98">
            <w:pPr>
              <w:pStyle w:val="22"/>
              <w:numPr>
                <w:ilvl w:val="3"/>
                <w:numId w:val="0"/>
              </w:numPr>
              <w:adjustRightInd w:val="0"/>
              <w:snapToGrid w:val="0"/>
              <w:ind w:left="0" w:leftChars="0" w:right="-105" w:rightChars="0" w:firstLine="88" w:firstLineChars="49"/>
              <w:rPr>
                <w:rFonts w:hint="eastAsia" w:ascii="宋体" w:hAnsi="宋体" w:eastAsia="宋体" w:cs="Times New Roman"/>
                <w:kern w:val="2"/>
                <w:sz w:val="18"/>
                <w:szCs w:val="18"/>
                <w:lang w:val="en-US" w:eastAsia="zh-CN" w:bidi="ar-SA"/>
              </w:rPr>
            </w:pPr>
          </w:p>
        </w:tc>
        <w:tc>
          <w:tcPr>
            <w:tcW w:w="232" w:type="pct"/>
            <w:shd w:val="clear"/>
            <w:noWrap w:val="0"/>
            <w:vAlign w:val="center"/>
          </w:tcPr>
          <w:p w14:paraId="28308426">
            <w:pPr>
              <w:adjustRightInd w:val="0"/>
              <w:snapToGrid w:val="0"/>
              <w:jc w:val="center"/>
              <w:rPr>
                <w:rFonts w:hint="eastAsia" w:ascii="宋体" w:hAnsi="宋体" w:eastAsia="宋体" w:cs="Times New Roman"/>
                <w:snapToGrid w:val="0"/>
                <w:kern w:val="21"/>
                <w:sz w:val="18"/>
                <w:szCs w:val="18"/>
                <w:lang w:val="en-US" w:eastAsia="zh-CN" w:bidi="ar-SA"/>
              </w:rPr>
            </w:pPr>
            <w:r>
              <w:rPr>
                <w:rFonts w:hint="eastAsia" w:ascii="宋体" w:hAnsi="宋体"/>
                <w:snapToGrid w:val="0"/>
                <w:kern w:val="21"/>
                <w:sz w:val="18"/>
                <w:szCs w:val="18"/>
                <w:lang w:val="en-US" w:eastAsia="zh-CN"/>
              </w:rPr>
              <w:t>3</w:t>
            </w:r>
          </w:p>
        </w:tc>
        <w:tc>
          <w:tcPr>
            <w:tcW w:w="929" w:type="pct"/>
            <w:shd w:val="clear"/>
            <w:noWrap w:val="0"/>
            <w:vAlign w:val="center"/>
          </w:tcPr>
          <w:p w14:paraId="15D2173F">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bCs/>
                <w:sz w:val="18"/>
                <w:szCs w:val="18"/>
              </w:rPr>
              <w:t>一处不符合扣1分。</w:t>
            </w:r>
          </w:p>
        </w:tc>
        <w:tc>
          <w:tcPr>
            <w:tcW w:w="192" w:type="pct"/>
            <w:shd w:val="clear"/>
            <w:noWrap w:val="0"/>
            <w:vAlign w:val="center"/>
          </w:tcPr>
          <w:p w14:paraId="38249663">
            <w:pPr>
              <w:adjustRightInd w:val="0"/>
              <w:snapToGrid w:val="0"/>
              <w:jc w:val="center"/>
              <w:rPr>
                <w:rFonts w:ascii="宋体" w:hAnsi="宋体" w:eastAsia="宋体" w:cs="Times New Roman"/>
                <w:bCs/>
                <w:kern w:val="2"/>
                <w:sz w:val="18"/>
                <w:szCs w:val="18"/>
                <w:lang w:val="en-US" w:eastAsia="zh-CN" w:bidi="ar-SA"/>
              </w:rPr>
            </w:pPr>
          </w:p>
        </w:tc>
        <w:tc>
          <w:tcPr>
            <w:tcW w:w="539" w:type="pct"/>
            <w:shd w:val="clear"/>
            <w:noWrap w:val="0"/>
            <w:vAlign w:val="center"/>
          </w:tcPr>
          <w:p w14:paraId="25948B4B">
            <w:pPr>
              <w:adjustRightInd w:val="0"/>
              <w:snapToGrid w:val="0"/>
              <w:jc w:val="center"/>
              <w:rPr>
                <w:rFonts w:ascii="宋体" w:hAnsi="宋体" w:eastAsia="宋体" w:cs="Times New Roman"/>
                <w:bCs/>
                <w:kern w:val="2"/>
                <w:sz w:val="18"/>
                <w:szCs w:val="18"/>
                <w:lang w:val="en-US" w:eastAsia="zh-CN" w:bidi="ar-SA"/>
              </w:rPr>
            </w:pPr>
          </w:p>
        </w:tc>
        <w:tc>
          <w:tcPr>
            <w:tcW w:w="349" w:type="pct"/>
            <w:shd w:val="clear"/>
            <w:noWrap w:val="0"/>
            <w:vAlign w:val="center"/>
          </w:tcPr>
          <w:p w14:paraId="11E1842B">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bl>
    <w:p w14:paraId="70B1CDB1">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65A4AC1D">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5"/>
        <w:gridCol w:w="6992"/>
        <w:gridCol w:w="617"/>
        <w:gridCol w:w="620"/>
        <w:gridCol w:w="623"/>
        <w:gridCol w:w="2116"/>
        <w:gridCol w:w="712"/>
        <w:gridCol w:w="1569"/>
        <w:gridCol w:w="1139"/>
      </w:tblGrid>
      <w:tr w14:paraId="0F7F5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65" w:type="dxa"/>
            <w:noWrap w:val="0"/>
            <w:vAlign w:val="center"/>
          </w:tcPr>
          <w:p w14:paraId="23D160C5">
            <w:pPr>
              <w:adjustRightInd w:val="0"/>
              <w:snapToGrid w:val="0"/>
              <w:jc w:val="center"/>
              <w:rPr>
                <w:rFonts w:ascii="宋体" w:hAnsi="宋体"/>
                <w:bCs/>
                <w:sz w:val="18"/>
                <w:szCs w:val="18"/>
              </w:rPr>
            </w:pPr>
            <w:r>
              <w:rPr>
                <w:rFonts w:ascii="宋体" w:hAnsi="宋体"/>
                <w:bCs/>
                <w:sz w:val="18"/>
                <w:szCs w:val="18"/>
              </w:rPr>
              <w:t>序号</w:t>
            </w:r>
          </w:p>
        </w:tc>
        <w:tc>
          <w:tcPr>
            <w:tcW w:w="6992" w:type="dxa"/>
            <w:noWrap w:val="0"/>
            <w:vAlign w:val="center"/>
          </w:tcPr>
          <w:p w14:paraId="2D47E16B">
            <w:pPr>
              <w:adjustRightInd w:val="0"/>
              <w:snapToGrid w:val="0"/>
              <w:jc w:val="center"/>
              <w:rPr>
                <w:rFonts w:ascii="宋体" w:hAnsi="宋体"/>
                <w:bCs/>
                <w:sz w:val="18"/>
                <w:szCs w:val="18"/>
              </w:rPr>
            </w:pPr>
            <w:r>
              <w:rPr>
                <w:rFonts w:ascii="宋体" w:hAnsi="宋体"/>
                <w:bCs/>
                <w:sz w:val="18"/>
                <w:szCs w:val="18"/>
              </w:rPr>
              <w:t>评定内容</w:t>
            </w:r>
          </w:p>
        </w:tc>
        <w:tc>
          <w:tcPr>
            <w:tcW w:w="617" w:type="dxa"/>
            <w:noWrap w:val="0"/>
            <w:vAlign w:val="center"/>
          </w:tcPr>
          <w:p w14:paraId="59BAE054">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20" w:type="dxa"/>
            <w:noWrap w:val="0"/>
            <w:vAlign w:val="center"/>
          </w:tcPr>
          <w:p w14:paraId="173B5D43">
            <w:pPr>
              <w:adjustRightInd w:val="0"/>
              <w:snapToGrid w:val="0"/>
              <w:jc w:val="center"/>
              <w:rPr>
                <w:rFonts w:ascii="宋体" w:hAnsi="宋体"/>
                <w:bCs/>
                <w:sz w:val="18"/>
                <w:szCs w:val="18"/>
              </w:rPr>
            </w:pPr>
            <w:r>
              <w:rPr>
                <w:rFonts w:hint="eastAsia" w:ascii="宋体" w:hAnsi="宋体"/>
                <w:bCs/>
                <w:sz w:val="18"/>
                <w:szCs w:val="18"/>
              </w:rPr>
              <w:t>评定细项分值</w:t>
            </w:r>
          </w:p>
        </w:tc>
        <w:tc>
          <w:tcPr>
            <w:tcW w:w="623" w:type="dxa"/>
            <w:noWrap w:val="0"/>
            <w:vAlign w:val="center"/>
          </w:tcPr>
          <w:p w14:paraId="73957968">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116" w:type="dxa"/>
            <w:noWrap w:val="0"/>
            <w:vAlign w:val="center"/>
          </w:tcPr>
          <w:p w14:paraId="614A5B50">
            <w:pPr>
              <w:adjustRightInd w:val="0"/>
              <w:snapToGrid w:val="0"/>
              <w:jc w:val="center"/>
              <w:rPr>
                <w:rFonts w:ascii="宋体" w:hAnsi="宋体"/>
                <w:bCs/>
                <w:sz w:val="18"/>
                <w:szCs w:val="18"/>
              </w:rPr>
            </w:pPr>
            <w:r>
              <w:rPr>
                <w:rFonts w:ascii="宋体" w:hAnsi="宋体"/>
                <w:bCs/>
                <w:sz w:val="18"/>
                <w:szCs w:val="18"/>
              </w:rPr>
              <w:t>评分标准</w:t>
            </w:r>
          </w:p>
        </w:tc>
        <w:tc>
          <w:tcPr>
            <w:tcW w:w="712" w:type="dxa"/>
            <w:noWrap w:val="0"/>
            <w:vAlign w:val="center"/>
          </w:tcPr>
          <w:p w14:paraId="39F0143B">
            <w:pPr>
              <w:adjustRightInd w:val="0"/>
              <w:snapToGrid w:val="0"/>
              <w:jc w:val="center"/>
              <w:rPr>
                <w:rFonts w:ascii="宋体" w:hAnsi="宋体"/>
                <w:bCs/>
                <w:sz w:val="18"/>
                <w:szCs w:val="18"/>
              </w:rPr>
            </w:pPr>
            <w:r>
              <w:rPr>
                <w:rFonts w:hint="eastAsia" w:ascii="宋体" w:hAnsi="宋体"/>
                <w:bCs/>
                <w:sz w:val="18"/>
                <w:szCs w:val="18"/>
              </w:rPr>
              <w:t>评定得分</w:t>
            </w:r>
          </w:p>
        </w:tc>
        <w:tc>
          <w:tcPr>
            <w:tcW w:w="1569" w:type="dxa"/>
            <w:noWrap w:val="0"/>
            <w:vAlign w:val="center"/>
          </w:tcPr>
          <w:p w14:paraId="1C774D25">
            <w:pPr>
              <w:adjustRightInd w:val="0"/>
              <w:snapToGrid w:val="0"/>
              <w:jc w:val="center"/>
              <w:rPr>
                <w:rFonts w:ascii="宋体" w:hAnsi="宋体"/>
                <w:bCs/>
                <w:sz w:val="18"/>
                <w:szCs w:val="18"/>
              </w:rPr>
            </w:pPr>
            <w:r>
              <w:rPr>
                <w:rFonts w:hint="eastAsia" w:ascii="宋体" w:hAnsi="宋体"/>
                <w:bCs/>
                <w:sz w:val="18"/>
                <w:szCs w:val="18"/>
              </w:rPr>
              <w:t>扣分说明</w:t>
            </w:r>
          </w:p>
        </w:tc>
        <w:tc>
          <w:tcPr>
            <w:tcW w:w="1139" w:type="dxa"/>
            <w:noWrap w:val="0"/>
            <w:vAlign w:val="center"/>
          </w:tcPr>
          <w:p w14:paraId="5FDA0383">
            <w:pPr>
              <w:adjustRightInd w:val="0"/>
              <w:snapToGrid w:val="0"/>
              <w:jc w:val="center"/>
              <w:rPr>
                <w:rFonts w:ascii="宋体" w:hAnsi="宋体"/>
                <w:bCs/>
                <w:sz w:val="18"/>
                <w:szCs w:val="18"/>
              </w:rPr>
            </w:pPr>
            <w:r>
              <w:rPr>
                <w:rFonts w:ascii="宋体" w:hAnsi="宋体"/>
                <w:bCs/>
                <w:sz w:val="18"/>
                <w:szCs w:val="18"/>
              </w:rPr>
              <w:t>对应条款编号</w:t>
            </w:r>
          </w:p>
        </w:tc>
      </w:tr>
      <w:tr w14:paraId="77182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65" w:type="dxa"/>
            <w:noWrap w:val="0"/>
            <w:vAlign w:val="center"/>
          </w:tcPr>
          <w:p w14:paraId="5FD2ADF3">
            <w:pPr>
              <w:adjustRightInd w:val="0"/>
              <w:snapToGrid w:val="0"/>
              <w:jc w:val="center"/>
              <w:rPr>
                <w:rFonts w:hint="eastAsia" w:ascii="宋体" w:hAnsi="宋体" w:eastAsia="宋体"/>
                <w:bCs/>
                <w:sz w:val="18"/>
                <w:szCs w:val="18"/>
                <w:lang w:eastAsia="zh-CN"/>
              </w:rPr>
            </w:pPr>
          </w:p>
        </w:tc>
        <w:tc>
          <w:tcPr>
            <w:tcW w:w="6992" w:type="dxa"/>
            <w:noWrap w:val="0"/>
            <w:vAlign w:val="center"/>
          </w:tcPr>
          <w:p w14:paraId="08FDE50C">
            <w:pPr>
              <w:adjustRightInd w:val="0"/>
              <w:snapToGrid w:val="0"/>
              <w:jc w:val="left"/>
              <w:rPr>
                <w:rFonts w:hint="eastAsia" w:ascii="宋体" w:hAnsi="宋体"/>
                <w:sz w:val="18"/>
                <w:szCs w:val="18"/>
              </w:rPr>
            </w:pPr>
            <w:r>
              <w:rPr>
                <w:rFonts w:ascii="宋体" w:hAnsi="宋体"/>
                <w:sz w:val="18"/>
                <w:szCs w:val="18"/>
              </w:rPr>
              <w:t>b</w:t>
            </w:r>
            <w:r>
              <w:rPr>
                <w:rFonts w:hint="eastAsia" w:ascii="宋体" w:hAnsi="宋体"/>
                <w:sz w:val="18"/>
                <w:szCs w:val="18"/>
              </w:rPr>
              <w:t>）</w:t>
            </w:r>
            <w:r>
              <w:rPr>
                <w:rFonts w:ascii="宋体" w:hAnsi="宋体"/>
                <w:sz w:val="18"/>
                <w:szCs w:val="18"/>
              </w:rPr>
              <w:t>PE</w:t>
            </w:r>
            <w:r>
              <w:rPr>
                <w:rFonts w:hint="eastAsia" w:ascii="宋体" w:hAnsi="宋体"/>
                <w:sz w:val="18"/>
                <w:szCs w:val="18"/>
              </w:rPr>
              <w:t>线应采用焊接、压接、螺栓连接或其他可靠方法连接，严禁缠绕或钩挂。</w:t>
            </w:r>
          </w:p>
        </w:tc>
        <w:tc>
          <w:tcPr>
            <w:tcW w:w="617" w:type="dxa"/>
            <w:noWrap w:val="0"/>
            <w:vAlign w:val="center"/>
          </w:tcPr>
          <w:p w14:paraId="257AC0AA">
            <w:pPr>
              <w:pStyle w:val="22"/>
              <w:numPr>
                <w:ilvl w:val="3"/>
                <w:numId w:val="0"/>
              </w:numPr>
              <w:adjustRightInd w:val="0"/>
              <w:snapToGrid w:val="0"/>
              <w:ind w:right="-105"/>
              <w:rPr>
                <w:rFonts w:ascii="宋体" w:hAnsi="宋体"/>
                <w:sz w:val="18"/>
                <w:szCs w:val="18"/>
              </w:rPr>
            </w:pPr>
          </w:p>
        </w:tc>
        <w:tc>
          <w:tcPr>
            <w:tcW w:w="620" w:type="dxa"/>
            <w:noWrap w:val="0"/>
            <w:vAlign w:val="center"/>
          </w:tcPr>
          <w:p w14:paraId="4E90A727">
            <w:pPr>
              <w:pStyle w:val="22"/>
              <w:numPr>
                <w:ilvl w:val="3"/>
                <w:numId w:val="0"/>
              </w:numPr>
              <w:adjustRightInd w:val="0"/>
              <w:snapToGrid w:val="0"/>
              <w:ind w:right="-105" w:firstLine="88" w:firstLineChars="49"/>
              <w:rPr>
                <w:rFonts w:hint="eastAsia" w:ascii="宋体" w:hAnsi="宋体"/>
                <w:sz w:val="18"/>
                <w:szCs w:val="18"/>
              </w:rPr>
            </w:pPr>
          </w:p>
        </w:tc>
        <w:tc>
          <w:tcPr>
            <w:tcW w:w="623" w:type="dxa"/>
            <w:noWrap w:val="0"/>
            <w:vAlign w:val="center"/>
          </w:tcPr>
          <w:p w14:paraId="2B72A98D">
            <w:pPr>
              <w:adjustRightInd w:val="0"/>
              <w:snapToGrid w:val="0"/>
              <w:jc w:val="center"/>
              <w:rPr>
                <w:rFonts w:hint="eastAsia" w:ascii="宋体" w:hAnsi="宋体" w:eastAsia="宋体"/>
                <w:snapToGrid w:val="0"/>
                <w:kern w:val="21"/>
                <w:sz w:val="18"/>
                <w:szCs w:val="18"/>
                <w:lang w:eastAsia="zh-CN"/>
              </w:rPr>
            </w:pPr>
          </w:p>
        </w:tc>
        <w:tc>
          <w:tcPr>
            <w:tcW w:w="2116" w:type="dxa"/>
            <w:noWrap w:val="0"/>
            <w:vAlign w:val="center"/>
          </w:tcPr>
          <w:p w14:paraId="2ACF4442">
            <w:pPr>
              <w:adjustRightInd w:val="0"/>
              <w:snapToGrid w:val="0"/>
              <w:jc w:val="left"/>
              <w:rPr>
                <w:rFonts w:hint="eastAsia" w:ascii="宋体" w:hAnsi="宋体"/>
                <w:sz w:val="18"/>
                <w:szCs w:val="18"/>
              </w:rPr>
            </w:pPr>
          </w:p>
        </w:tc>
        <w:tc>
          <w:tcPr>
            <w:tcW w:w="712" w:type="dxa"/>
            <w:noWrap w:val="0"/>
            <w:vAlign w:val="center"/>
          </w:tcPr>
          <w:p w14:paraId="1C184C99">
            <w:pPr>
              <w:adjustRightInd w:val="0"/>
              <w:snapToGrid w:val="0"/>
              <w:jc w:val="center"/>
              <w:rPr>
                <w:rFonts w:ascii="宋体" w:hAnsi="宋体"/>
                <w:bCs/>
                <w:sz w:val="18"/>
                <w:szCs w:val="18"/>
              </w:rPr>
            </w:pPr>
          </w:p>
        </w:tc>
        <w:tc>
          <w:tcPr>
            <w:tcW w:w="1569" w:type="dxa"/>
            <w:noWrap w:val="0"/>
            <w:vAlign w:val="center"/>
          </w:tcPr>
          <w:p w14:paraId="36468BE4">
            <w:pPr>
              <w:adjustRightInd w:val="0"/>
              <w:snapToGrid w:val="0"/>
              <w:jc w:val="center"/>
              <w:rPr>
                <w:rFonts w:ascii="宋体" w:hAnsi="宋体"/>
                <w:bCs/>
                <w:sz w:val="18"/>
                <w:szCs w:val="18"/>
              </w:rPr>
            </w:pPr>
          </w:p>
        </w:tc>
        <w:tc>
          <w:tcPr>
            <w:tcW w:w="1139" w:type="dxa"/>
            <w:noWrap w:val="0"/>
            <w:vAlign w:val="center"/>
          </w:tcPr>
          <w:p w14:paraId="4A668BD5">
            <w:pPr>
              <w:adjustRightInd w:val="0"/>
              <w:snapToGrid w:val="0"/>
              <w:jc w:val="center"/>
              <w:rPr>
                <w:rFonts w:hint="eastAsia" w:ascii="宋体" w:hAnsi="宋体" w:eastAsia="宋体"/>
                <w:bCs/>
                <w:sz w:val="18"/>
                <w:szCs w:val="18"/>
                <w:lang w:eastAsia="zh-CN"/>
              </w:rPr>
            </w:pPr>
          </w:p>
        </w:tc>
      </w:tr>
      <w:tr w14:paraId="490B7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965" w:type="dxa"/>
            <w:noWrap w:val="0"/>
            <w:vAlign w:val="center"/>
          </w:tcPr>
          <w:p w14:paraId="0CD6A87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6.2.3.</w:t>
            </w:r>
            <w:r>
              <w:rPr>
                <w:rFonts w:hint="eastAsia" w:ascii="宋体" w:hAnsi="宋体"/>
                <w:sz w:val="18"/>
                <w:szCs w:val="18"/>
                <w:lang w:val="en-US" w:eastAsia="zh-CN"/>
              </w:rPr>
              <w:t>5</w:t>
            </w:r>
          </w:p>
        </w:tc>
        <w:tc>
          <w:tcPr>
            <w:tcW w:w="6992" w:type="dxa"/>
            <w:noWrap w:val="0"/>
            <w:vAlign w:val="center"/>
          </w:tcPr>
          <w:p w14:paraId="6C4F264B">
            <w:pPr>
              <w:pStyle w:val="207"/>
              <w:adjustRightInd w:val="0"/>
              <w:spacing w:line="240" w:lineRule="exact"/>
              <w:ind w:right="0" w:rightChars="0"/>
              <w:jc w:val="left"/>
              <w:rPr>
                <w:rFonts w:ascii="宋体" w:hAnsi="宋体" w:eastAsia="宋体"/>
                <w:spacing w:val="0"/>
                <w:kern w:val="2"/>
                <w:sz w:val="18"/>
                <w:szCs w:val="18"/>
              </w:rPr>
            </w:pPr>
            <w:r>
              <w:rPr>
                <w:rFonts w:hint="eastAsia" w:ascii="宋体" w:hAnsi="宋体" w:eastAsia="宋体"/>
                <w:spacing w:val="0"/>
                <w:kern w:val="2"/>
                <w:sz w:val="18"/>
                <w:szCs w:val="18"/>
              </w:rPr>
              <w:t>末端电气设备上应按下列要求安装剩余电流动作保护装置，并定期测试：</w:t>
            </w:r>
          </w:p>
          <w:p w14:paraId="25A9D315">
            <w:pPr>
              <w:pStyle w:val="207"/>
              <w:adjustRightInd w:val="0"/>
              <w:spacing w:line="240" w:lineRule="exact"/>
              <w:ind w:right="0" w:rightChars="0"/>
              <w:jc w:val="left"/>
              <w:rPr>
                <w:rFonts w:ascii="宋体" w:hAnsi="宋体" w:eastAsia="宋体"/>
                <w:spacing w:val="0"/>
                <w:kern w:val="2"/>
                <w:sz w:val="18"/>
                <w:szCs w:val="18"/>
              </w:rPr>
            </w:pPr>
            <w:r>
              <w:rPr>
                <w:rFonts w:ascii="宋体" w:hAnsi="宋体" w:eastAsia="宋体"/>
                <w:spacing w:val="0"/>
                <w:kern w:val="2"/>
                <w:sz w:val="18"/>
                <w:szCs w:val="18"/>
              </w:rPr>
              <w:t>a</w:t>
            </w:r>
            <w:r>
              <w:rPr>
                <w:rFonts w:hint="eastAsia" w:ascii="宋体" w:hAnsi="宋体" w:eastAsia="宋体"/>
                <w:spacing w:val="0"/>
                <w:kern w:val="2"/>
                <w:sz w:val="18"/>
                <w:szCs w:val="18"/>
              </w:rPr>
              <w:t>）下列电气设备应安装剩余电流动作保护装置：</w:t>
            </w:r>
          </w:p>
          <w:p w14:paraId="67B05A1E">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rPr>
              <w:t>1）属于I类的移动式电气设备及手持式电动工具；</w:t>
            </w:r>
          </w:p>
          <w:p w14:paraId="58597A09">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rPr>
              <w:t>2）施工工地的电气机械设备；</w:t>
            </w:r>
          </w:p>
          <w:p w14:paraId="2A5D84DC">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lang w:val="en-US" w:eastAsia="zh-CN"/>
              </w:rPr>
              <w:t>3</w:t>
            </w:r>
            <w:r>
              <w:rPr>
                <w:rFonts w:hint="eastAsia" w:ascii="宋体" w:hAnsi="宋体" w:eastAsia="宋体"/>
                <w:spacing w:val="0"/>
                <w:kern w:val="2"/>
                <w:sz w:val="18"/>
                <w:szCs w:val="18"/>
              </w:rPr>
              <w:t>）安装在户外的电气装置；</w:t>
            </w:r>
          </w:p>
          <w:p w14:paraId="74A7358B">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lang w:val="en-US" w:eastAsia="zh-CN"/>
              </w:rPr>
              <w:t>4</w:t>
            </w:r>
            <w:r>
              <w:rPr>
                <w:rFonts w:hint="eastAsia" w:ascii="宋体" w:hAnsi="宋体" w:eastAsia="宋体"/>
                <w:spacing w:val="0"/>
                <w:kern w:val="2"/>
                <w:sz w:val="18"/>
                <w:szCs w:val="18"/>
              </w:rPr>
              <w:t>）临时用电的电气设备；</w:t>
            </w:r>
          </w:p>
          <w:p w14:paraId="4031D396">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lang w:val="en-US" w:eastAsia="zh-CN"/>
              </w:rPr>
              <w:t>5</w:t>
            </w:r>
            <w:r>
              <w:rPr>
                <w:rFonts w:hint="eastAsia" w:ascii="宋体" w:hAnsi="宋体" w:eastAsia="宋体"/>
                <w:spacing w:val="0"/>
                <w:kern w:val="2"/>
                <w:sz w:val="18"/>
                <w:szCs w:val="18"/>
              </w:rPr>
              <w:t>）除壁挂式空调电源插座外的其他电源插座或插座回路；</w:t>
            </w:r>
          </w:p>
          <w:p w14:paraId="6912E1C7">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hint="eastAsia" w:ascii="宋体" w:hAnsi="宋体" w:eastAsia="宋体"/>
                <w:spacing w:val="0"/>
                <w:kern w:val="2"/>
                <w:sz w:val="18"/>
                <w:szCs w:val="18"/>
              </w:rPr>
            </w:pPr>
            <w:r>
              <w:rPr>
                <w:rFonts w:hint="eastAsia" w:ascii="宋体" w:hAnsi="宋体" w:eastAsia="宋体"/>
                <w:spacing w:val="0"/>
                <w:kern w:val="2"/>
                <w:sz w:val="18"/>
                <w:szCs w:val="18"/>
                <w:lang w:val="en-US" w:eastAsia="zh-CN"/>
              </w:rPr>
              <w:t>6</w:t>
            </w:r>
            <w:r>
              <w:rPr>
                <w:rFonts w:hint="eastAsia" w:ascii="宋体" w:hAnsi="宋体" w:eastAsia="宋体"/>
                <w:spacing w:val="0"/>
                <w:kern w:val="2"/>
                <w:sz w:val="18"/>
                <w:szCs w:val="18"/>
              </w:rPr>
              <w:t>）游泳池、喷水池、</w:t>
            </w:r>
            <w:r>
              <w:rPr>
                <w:rFonts w:hint="eastAsia" w:ascii="宋体" w:hAnsi="宋体" w:eastAsia="宋体"/>
                <w:spacing w:val="0"/>
                <w:kern w:val="2"/>
                <w:sz w:val="18"/>
                <w:szCs w:val="18"/>
                <w:lang w:val="en-US" w:eastAsia="zh-CN"/>
              </w:rPr>
              <w:t>浴池</w:t>
            </w:r>
            <w:r>
              <w:rPr>
                <w:rFonts w:hint="eastAsia" w:ascii="宋体" w:hAnsi="宋体" w:eastAsia="宋体"/>
                <w:spacing w:val="0"/>
                <w:kern w:val="2"/>
                <w:sz w:val="18"/>
                <w:szCs w:val="18"/>
              </w:rPr>
              <w:t>的电气设备；</w:t>
            </w:r>
          </w:p>
          <w:p w14:paraId="4F7FB4DB">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ascii="宋体" w:hAnsi="宋体" w:eastAsia="宋体"/>
                <w:spacing w:val="0"/>
                <w:kern w:val="2"/>
                <w:sz w:val="18"/>
                <w:szCs w:val="18"/>
              </w:rPr>
            </w:pPr>
            <w:r>
              <w:rPr>
                <w:rFonts w:hint="eastAsia" w:ascii="宋体" w:hAnsi="宋体" w:eastAsia="宋体"/>
                <w:spacing w:val="0"/>
                <w:kern w:val="2"/>
                <w:sz w:val="18"/>
                <w:szCs w:val="18"/>
                <w:lang w:val="en-US" w:eastAsia="zh-CN"/>
              </w:rPr>
              <w:t>7</w:t>
            </w:r>
            <w:r>
              <w:rPr>
                <w:rFonts w:hint="eastAsia" w:ascii="宋体" w:hAnsi="宋体" w:eastAsia="宋体"/>
                <w:spacing w:val="0"/>
                <w:kern w:val="2"/>
                <w:sz w:val="18"/>
                <w:szCs w:val="18"/>
              </w:rPr>
              <w:t>）安装在水中的供电线路和设备；</w:t>
            </w:r>
          </w:p>
          <w:p w14:paraId="0CB129CE">
            <w:pPr>
              <w:pStyle w:val="207"/>
              <w:keepNext w:val="0"/>
              <w:keepLines w:val="0"/>
              <w:pageBreakBefore w:val="0"/>
              <w:widowControl/>
              <w:kinsoku/>
              <w:wordWrap/>
              <w:overflowPunct/>
              <w:topLinePunct w:val="0"/>
              <w:autoSpaceDE/>
              <w:autoSpaceDN/>
              <w:bidi w:val="0"/>
              <w:adjustRightInd w:val="0"/>
              <w:snapToGrid/>
              <w:spacing w:line="240" w:lineRule="exact"/>
              <w:ind w:right="0" w:rightChars="0" w:firstLine="180" w:firstLineChars="100"/>
              <w:jc w:val="left"/>
              <w:textAlignment w:val="auto"/>
              <w:outlineLvl w:val="9"/>
              <w:rPr>
                <w:rFonts w:hint="eastAsia" w:ascii="宋体" w:hAnsi="宋体" w:eastAsia="宋体"/>
                <w:spacing w:val="0"/>
                <w:kern w:val="2"/>
                <w:sz w:val="18"/>
                <w:szCs w:val="18"/>
              </w:rPr>
            </w:pPr>
            <w:r>
              <w:rPr>
                <w:rFonts w:hint="eastAsia" w:ascii="宋体" w:hAnsi="宋体" w:eastAsia="宋体"/>
                <w:spacing w:val="0"/>
                <w:kern w:val="2"/>
                <w:sz w:val="18"/>
                <w:szCs w:val="18"/>
              </w:rPr>
              <w:t>8）其他需要安装剩余电流保护装置的场所。</w:t>
            </w:r>
          </w:p>
          <w:p w14:paraId="683CD44D">
            <w:pPr>
              <w:pStyle w:val="207"/>
              <w:adjustRightInd w:val="0"/>
              <w:spacing w:line="240" w:lineRule="exact"/>
              <w:ind w:right="0" w:rightChars="0"/>
              <w:jc w:val="left"/>
              <w:rPr>
                <w:rFonts w:ascii="宋体" w:hAnsi="宋体" w:eastAsia="宋体"/>
                <w:spacing w:val="0"/>
                <w:kern w:val="2"/>
                <w:sz w:val="18"/>
                <w:szCs w:val="18"/>
              </w:rPr>
            </w:pPr>
            <w:r>
              <w:rPr>
                <w:rFonts w:hint="eastAsia" w:ascii="宋体" w:hAnsi="宋体" w:eastAsia="宋体"/>
                <w:spacing w:val="0"/>
                <w:kern w:val="2"/>
                <w:sz w:val="18"/>
                <w:szCs w:val="18"/>
              </w:rPr>
              <w:t>b）剩余电流动作保护装置的参数应与使用场所相一致：</w:t>
            </w:r>
          </w:p>
          <w:p w14:paraId="20C3952F">
            <w:pPr>
              <w:pStyle w:val="207"/>
              <w:adjustRightInd w:val="0"/>
              <w:spacing w:line="240" w:lineRule="exact"/>
              <w:ind w:right="0" w:rightChars="0" w:firstLine="180" w:firstLineChars="100"/>
              <w:jc w:val="left"/>
              <w:rPr>
                <w:rFonts w:ascii="宋体" w:hAnsi="宋体" w:eastAsia="宋体"/>
                <w:spacing w:val="0"/>
                <w:kern w:val="2"/>
                <w:sz w:val="18"/>
                <w:szCs w:val="18"/>
              </w:rPr>
            </w:pPr>
            <w:r>
              <w:rPr>
                <w:rFonts w:hint="eastAsia" w:ascii="宋体" w:hAnsi="宋体" w:eastAsia="宋体"/>
                <w:spacing w:val="0"/>
                <w:kern w:val="2"/>
                <w:sz w:val="18"/>
                <w:szCs w:val="18"/>
              </w:rPr>
              <w:t>1）手持电动工具、移动电器、家用电器等设备优先选用额定剩余动作电流不大于30 mA无延时的剩余电流保护装置；</w:t>
            </w:r>
          </w:p>
          <w:p w14:paraId="39325108">
            <w:pPr>
              <w:pStyle w:val="207"/>
              <w:adjustRightInd w:val="0"/>
              <w:spacing w:line="240" w:lineRule="exact"/>
              <w:ind w:right="0" w:rightChars="0" w:firstLine="180" w:firstLineChars="100"/>
              <w:jc w:val="left"/>
              <w:rPr>
                <w:rFonts w:hint="eastAsia" w:ascii="宋体" w:hAnsi="宋体" w:eastAsia="宋体"/>
                <w:spacing w:val="0"/>
                <w:kern w:val="2"/>
                <w:sz w:val="18"/>
                <w:szCs w:val="18"/>
                <w:lang w:eastAsia="zh-CN"/>
              </w:rPr>
            </w:pPr>
            <w:r>
              <w:rPr>
                <w:rFonts w:hint="eastAsia" w:ascii="宋体" w:hAnsi="宋体" w:eastAsia="宋体"/>
                <w:spacing w:val="0"/>
                <w:kern w:val="2"/>
                <w:sz w:val="18"/>
                <w:szCs w:val="18"/>
              </w:rPr>
              <w:t>2）安装在潮湿场所的电气设备应选用额定剩余动作电流为（16～30）mA无延时的剩余电流保护装置</w:t>
            </w:r>
            <w:r>
              <w:rPr>
                <w:rFonts w:hint="eastAsia" w:ascii="宋体" w:hAnsi="宋体" w:eastAsia="宋体"/>
                <w:spacing w:val="0"/>
                <w:kern w:val="2"/>
                <w:sz w:val="18"/>
                <w:szCs w:val="18"/>
                <w:lang w:eastAsia="zh-CN"/>
              </w:rPr>
              <w:t>；</w:t>
            </w:r>
          </w:p>
          <w:p w14:paraId="00AAC5F7">
            <w:pPr>
              <w:pStyle w:val="207"/>
              <w:adjustRightInd w:val="0"/>
              <w:spacing w:line="240" w:lineRule="exact"/>
              <w:ind w:right="0" w:rightChars="0" w:firstLine="180" w:firstLineChars="100"/>
              <w:jc w:val="left"/>
              <w:rPr>
                <w:rFonts w:hint="eastAsia" w:ascii="宋体" w:hAnsi="宋体" w:eastAsia="宋体"/>
                <w:spacing w:val="0"/>
                <w:kern w:val="2"/>
                <w:sz w:val="18"/>
                <w:szCs w:val="18"/>
                <w:lang w:val="en-US" w:eastAsia="zh-CN"/>
              </w:rPr>
            </w:pPr>
            <w:r>
              <w:rPr>
                <w:rFonts w:hint="eastAsia" w:ascii="宋体" w:hAnsi="宋体" w:eastAsia="宋体"/>
                <w:spacing w:val="0"/>
                <w:kern w:val="2"/>
                <w:sz w:val="18"/>
                <w:szCs w:val="18"/>
                <w:lang w:val="en-US" w:eastAsia="zh-CN"/>
              </w:rPr>
              <w:t>3）安装在游泳池、水景喷水池、浴池等特定区域的电气设备应选用额定剩余动作电流为10mA、无延的剩余电流保护装置。</w:t>
            </w:r>
          </w:p>
          <w:p w14:paraId="756A01AE">
            <w:pPr>
              <w:keepNext w:val="0"/>
              <w:keepLines w:val="0"/>
              <w:pageBreakBefore w:val="0"/>
              <w:widowControl w:val="0"/>
              <w:kinsoku/>
              <w:wordWrap/>
              <w:overflowPunct/>
              <w:topLinePunct w:val="0"/>
              <w:autoSpaceDE/>
              <w:autoSpaceDN/>
              <w:bidi w:val="0"/>
              <w:adjustRightInd w:val="0"/>
              <w:snapToGrid w:val="0"/>
              <w:textAlignment w:val="auto"/>
              <w:rPr>
                <w:lang w:val="en-US" w:eastAsia="zh-CN"/>
              </w:rPr>
            </w:pPr>
            <w:r>
              <w:rPr>
                <w:rFonts w:hint="eastAsia" w:ascii="宋体" w:hAnsi="宋体" w:eastAsia="宋体"/>
                <w:spacing w:val="0"/>
                <w:kern w:val="2"/>
                <w:sz w:val="18"/>
                <w:szCs w:val="18"/>
              </w:rPr>
              <w:t>c）用于手持电动工具和移动式电气设备和不连续使用的剩余电流保护装置，应在每次使用前进行试验。剩余电流保护装置投入运行后，应每月按动按钮1次，检查其动作特性是否正常</w:t>
            </w:r>
            <w:r>
              <w:rPr>
                <w:rFonts w:hint="eastAsia" w:ascii="宋体" w:hAnsi="宋体" w:eastAsia="宋体"/>
                <w:spacing w:val="0"/>
                <w:kern w:val="2"/>
                <w:sz w:val="18"/>
                <w:szCs w:val="18"/>
                <w:lang w:eastAsia="zh-CN"/>
              </w:rPr>
              <w:t>。</w:t>
            </w:r>
          </w:p>
        </w:tc>
        <w:tc>
          <w:tcPr>
            <w:tcW w:w="617" w:type="dxa"/>
            <w:noWrap w:val="0"/>
            <w:vAlign w:val="center"/>
          </w:tcPr>
          <w:p w14:paraId="45099B81">
            <w:pPr>
              <w:pStyle w:val="22"/>
              <w:numPr>
                <w:ilvl w:val="3"/>
                <w:numId w:val="0"/>
              </w:numPr>
              <w:adjustRightInd w:val="0"/>
              <w:snapToGrid w:val="0"/>
              <w:ind w:left="0" w:leftChars="0" w:right="-105" w:rightChars="0" w:firstLine="0" w:firstLineChars="0"/>
              <w:jc w:val="center"/>
              <w:rPr>
                <w:rFonts w:ascii="宋体" w:hAnsi="宋体" w:eastAsia="宋体" w:cs="Times New Roman"/>
                <w:kern w:val="2"/>
                <w:sz w:val="18"/>
                <w:szCs w:val="18"/>
                <w:lang w:val="en-US" w:eastAsia="zh-CN" w:bidi="ar-SA"/>
              </w:rPr>
            </w:pPr>
          </w:p>
        </w:tc>
        <w:tc>
          <w:tcPr>
            <w:tcW w:w="620" w:type="dxa"/>
            <w:noWrap w:val="0"/>
            <w:vAlign w:val="center"/>
          </w:tcPr>
          <w:p w14:paraId="67A055CB">
            <w:pPr>
              <w:pStyle w:val="22"/>
              <w:numPr>
                <w:ilvl w:val="3"/>
                <w:numId w:val="0"/>
              </w:numPr>
              <w:adjustRightInd w:val="0"/>
              <w:snapToGrid w:val="0"/>
              <w:ind w:left="0" w:leftChars="0" w:right="-105" w:rightChars="0" w:firstLine="0" w:firstLineChars="0"/>
              <w:jc w:val="center"/>
              <w:rPr>
                <w:rFonts w:hint="eastAsia" w:ascii="宋体" w:hAnsi="宋体" w:eastAsia="宋体" w:cs="Times New Roman"/>
                <w:kern w:val="2"/>
                <w:sz w:val="18"/>
                <w:szCs w:val="18"/>
                <w:lang w:val="en-US" w:eastAsia="zh-CN" w:bidi="ar-SA"/>
              </w:rPr>
            </w:pPr>
          </w:p>
        </w:tc>
        <w:tc>
          <w:tcPr>
            <w:tcW w:w="623" w:type="dxa"/>
            <w:noWrap w:val="0"/>
            <w:vAlign w:val="center"/>
          </w:tcPr>
          <w:p w14:paraId="72476AFA">
            <w:pPr>
              <w:pStyle w:val="22"/>
              <w:numPr>
                <w:ilvl w:val="3"/>
                <w:numId w:val="0"/>
              </w:numPr>
              <w:adjustRightInd w:val="0"/>
              <w:snapToGrid w:val="0"/>
              <w:ind w:left="0" w:leftChars="0" w:right="-105" w:rightChars="0" w:firstLine="0" w:firstLine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p>
        </w:tc>
        <w:tc>
          <w:tcPr>
            <w:tcW w:w="2116" w:type="dxa"/>
            <w:noWrap w:val="0"/>
            <w:vAlign w:val="center"/>
          </w:tcPr>
          <w:p w14:paraId="28BAF52C">
            <w:pPr>
              <w:rPr>
                <w:rFonts w:hint="eastAsia" w:ascii="宋体" w:hAnsi="宋体" w:eastAsia="宋体" w:cs="Times New Roman"/>
                <w:kern w:val="2"/>
                <w:sz w:val="21"/>
                <w:szCs w:val="24"/>
                <w:lang w:val="en-US" w:eastAsia="zh-CN" w:bidi="ar-SA"/>
              </w:rPr>
            </w:pPr>
            <w:r>
              <w:rPr>
                <w:rFonts w:hint="eastAsia" w:ascii="宋体" w:hAnsi="宋体"/>
                <w:sz w:val="18"/>
                <w:szCs w:val="18"/>
              </w:rPr>
              <w:t>一处不符合要求扣</w:t>
            </w:r>
            <w:r>
              <w:rPr>
                <w:rFonts w:hint="eastAsia" w:ascii="宋体" w:hAnsi="宋体"/>
                <w:sz w:val="18"/>
                <w:szCs w:val="18"/>
                <w:lang w:val="en-US" w:eastAsia="zh-CN"/>
              </w:rPr>
              <w:t>2</w:t>
            </w:r>
            <w:r>
              <w:rPr>
                <w:rFonts w:hint="eastAsia" w:ascii="宋体" w:hAnsi="宋体"/>
                <w:sz w:val="18"/>
                <w:szCs w:val="18"/>
              </w:rPr>
              <w:t>分。</w:t>
            </w:r>
          </w:p>
        </w:tc>
        <w:tc>
          <w:tcPr>
            <w:tcW w:w="712" w:type="dxa"/>
            <w:noWrap w:val="0"/>
            <w:vAlign w:val="center"/>
          </w:tcPr>
          <w:p w14:paraId="6B539425">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569" w:type="dxa"/>
            <w:noWrap w:val="0"/>
            <w:vAlign w:val="center"/>
          </w:tcPr>
          <w:p w14:paraId="773B76FC">
            <w:pPr>
              <w:pStyle w:val="22"/>
              <w:numPr>
                <w:ilvl w:val="3"/>
                <w:numId w:val="0"/>
              </w:numPr>
              <w:adjustRightInd w:val="0"/>
              <w:snapToGrid w:val="0"/>
              <w:ind w:left="0" w:leftChars="0" w:right="-105" w:rightChars="0" w:firstLine="0" w:firstLineChars="0"/>
              <w:rPr>
                <w:rFonts w:ascii="宋体" w:hAnsi="宋体" w:eastAsia="宋体" w:cs="Times New Roman"/>
                <w:kern w:val="2"/>
                <w:sz w:val="18"/>
                <w:szCs w:val="18"/>
                <w:lang w:val="en-US" w:eastAsia="zh-CN" w:bidi="ar-SA"/>
              </w:rPr>
            </w:pPr>
          </w:p>
        </w:tc>
        <w:tc>
          <w:tcPr>
            <w:tcW w:w="1139" w:type="dxa"/>
            <w:noWrap w:val="0"/>
            <w:vAlign w:val="center"/>
          </w:tcPr>
          <w:p w14:paraId="517E4D69">
            <w:pPr>
              <w:pStyle w:val="22"/>
              <w:numPr>
                <w:ilvl w:val="3"/>
                <w:numId w:val="0"/>
              </w:numPr>
              <w:adjustRightInd w:val="0"/>
              <w:snapToGrid w:val="0"/>
              <w:ind w:left="0" w:leftChars="0" w:right="-105" w:rightChars="0" w:firstLine="0" w:firstLine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4.6</w:t>
            </w:r>
            <w:r>
              <w:rPr>
                <w:rFonts w:ascii="宋体" w:hAnsi="宋体"/>
                <w:sz w:val="18"/>
                <w:szCs w:val="18"/>
              </w:rPr>
              <w:t>.</w:t>
            </w:r>
            <w:r>
              <w:rPr>
                <w:rFonts w:hint="eastAsia" w:ascii="宋体" w:hAnsi="宋体"/>
                <w:sz w:val="18"/>
                <w:szCs w:val="18"/>
                <w:lang w:val="en-US" w:eastAsia="zh-CN"/>
              </w:rPr>
              <w:t>1</w:t>
            </w:r>
          </w:p>
        </w:tc>
      </w:tr>
      <w:tr w14:paraId="53F9E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965" w:type="dxa"/>
            <w:shd w:val="clear"/>
            <w:noWrap w:val="0"/>
            <w:vAlign w:val="center"/>
          </w:tcPr>
          <w:p w14:paraId="7E50BC74">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6.2.4</w:t>
            </w:r>
          </w:p>
        </w:tc>
        <w:tc>
          <w:tcPr>
            <w:tcW w:w="6992" w:type="dxa"/>
            <w:shd w:val="clear"/>
            <w:noWrap w:val="0"/>
            <w:vAlign w:val="center"/>
          </w:tcPr>
          <w:p w14:paraId="383BD634">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rPr>
              <w:t>电网接地系统</w:t>
            </w:r>
          </w:p>
        </w:tc>
        <w:tc>
          <w:tcPr>
            <w:tcW w:w="617" w:type="dxa"/>
            <w:shd w:val="clear"/>
            <w:noWrap w:val="0"/>
            <w:vAlign w:val="center"/>
          </w:tcPr>
          <w:p w14:paraId="49B1D78B">
            <w:pPr>
              <w:pStyle w:val="22"/>
              <w:numPr>
                <w:ilvl w:val="3"/>
                <w:numId w:val="0"/>
              </w:numPr>
              <w:adjustRightInd w:val="0"/>
              <w:snapToGrid w:val="0"/>
              <w:ind w:left="0" w:leftChars="0" w:right="0" w:rightChars="0" w:firstLine="0" w:firstLineChars="0"/>
              <w:rPr>
                <w:rFonts w:ascii="宋体" w:hAnsi="宋体" w:eastAsia="宋体" w:cs="Times New Roman"/>
                <w:kern w:val="2"/>
                <w:sz w:val="18"/>
                <w:szCs w:val="18"/>
                <w:lang w:val="en-US" w:eastAsia="zh-CN" w:bidi="ar-SA"/>
              </w:rPr>
            </w:pPr>
          </w:p>
        </w:tc>
        <w:tc>
          <w:tcPr>
            <w:tcW w:w="620" w:type="dxa"/>
            <w:shd w:val="clear"/>
            <w:noWrap w:val="0"/>
            <w:vAlign w:val="center"/>
          </w:tcPr>
          <w:p w14:paraId="36C98F35">
            <w:pPr>
              <w:pStyle w:val="22"/>
              <w:numPr>
                <w:ilvl w:val="3"/>
                <w:numId w:val="0"/>
              </w:numPr>
              <w:adjustRightInd w:val="0"/>
              <w:snapToGrid w:val="0"/>
              <w:ind w:left="0" w:leftChars="0" w:right="0" w:rightChars="0" w:firstLine="0" w:firstLineChars="0"/>
              <w:jc w:val="center"/>
              <w:rPr>
                <w:rFonts w:hint="eastAsia" w:ascii="宋体" w:hAnsi="宋体" w:eastAsia="宋体" w:cs="Times New Roman"/>
                <w:kern w:val="2"/>
                <w:sz w:val="18"/>
                <w:szCs w:val="18"/>
                <w:lang w:val="en-US" w:eastAsia="zh-CN" w:bidi="ar-SA"/>
              </w:rPr>
            </w:pPr>
          </w:p>
        </w:tc>
        <w:tc>
          <w:tcPr>
            <w:tcW w:w="623" w:type="dxa"/>
            <w:shd w:val="clear"/>
            <w:noWrap w:val="0"/>
            <w:vAlign w:val="center"/>
          </w:tcPr>
          <w:p w14:paraId="4AF3E202">
            <w:pPr>
              <w:adjustRightInd w:val="0"/>
              <w:snapToGrid w:val="0"/>
              <w:jc w:val="center"/>
              <w:rPr>
                <w:rFonts w:hint="eastAsia" w:ascii="宋体" w:hAnsi="宋体" w:eastAsia="宋体" w:cs="Times New Roman"/>
                <w:bCs/>
                <w:kern w:val="2"/>
                <w:sz w:val="18"/>
                <w:szCs w:val="18"/>
                <w:lang w:val="en-US" w:eastAsia="zh-CN" w:bidi="ar-SA"/>
              </w:rPr>
            </w:pPr>
          </w:p>
        </w:tc>
        <w:tc>
          <w:tcPr>
            <w:tcW w:w="2116" w:type="dxa"/>
            <w:shd w:val="clear"/>
            <w:noWrap w:val="0"/>
            <w:vAlign w:val="center"/>
          </w:tcPr>
          <w:p w14:paraId="1CEC47AA">
            <w:pPr>
              <w:adjustRightInd w:val="0"/>
              <w:snapToGrid w:val="0"/>
              <w:jc w:val="left"/>
              <w:rPr>
                <w:rFonts w:hint="eastAsia" w:ascii="宋体" w:hAnsi="宋体" w:eastAsia="宋体" w:cs="Times New Roman"/>
                <w:bCs/>
                <w:kern w:val="2"/>
                <w:sz w:val="18"/>
                <w:szCs w:val="18"/>
                <w:lang w:val="en-US" w:eastAsia="zh-CN" w:bidi="ar-SA"/>
              </w:rPr>
            </w:pPr>
          </w:p>
        </w:tc>
        <w:tc>
          <w:tcPr>
            <w:tcW w:w="712" w:type="dxa"/>
            <w:shd w:val="clear"/>
            <w:noWrap w:val="0"/>
            <w:vAlign w:val="center"/>
          </w:tcPr>
          <w:p w14:paraId="3F7BA4B7">
            <w:pPr>
              <w:adjustRightInd w:val="0"/>
              <w:snapToGrid w:val="0"/>
              <w:jc w:val="center"/>
              <w:rPr>
                <w:rFonts w:ascii="宋体" w:hAnsi="宋体" w:eastAsia="宋体" w:cs="Times New Roman"/>
                <w:bCs/>
                <w:kern w:val="2"/>
                <w:sz w:val="18"/>
                <w:szCs w:val="18"/>
                <w:lang w:val="en-US" w:eastAsia="zh-CN" w:bidi="ar-SA"/>
              </w:rPr>
            </w:pPr>
          </w:p>
        </w:tc>
        <w:tc>
          <w:tcPr>
            <w:tcW w:w="1569" w:type="dxa"/>
            <w:shd w:val="clear"/>
            <w:noWrap w:val="0"/>
            <w:vAlign w:val="center"/>
          </w:tcPr>
          <w:p w14:paraId="04ED2AE0">
            <w:pPr>
              <w:adjustRightInd w:val="0"/>
              <w:snapToGrid w:val="0"/>
              <w:jc w:val="center"/>
              <w:rPr>
                <w:rFonts w:ascii="宋体" w:hAnsi="宋体" w:eastAsia="宋体" w:cs="Times New Roman"/>
                <w:bCs/>
                <w:kern w:val="2"/>
                <w:sz w:val="18"/>
                <w:szCs w:val="18"/>
                <w:lang w:val="en-US" w:eastAsia="zh-CN" w:bidi="ar-SA"/>
              </w:rPr>
            </w:pPr>
          </w:p>
        </w:tc>
        <w:tc>
          <w:tcPr>
            <w:tcW w:w="1139" w:type="dxa"/>
            <w:shd w:val="clear"/>
            <w:noWrap w:val="0"/>
            <w:vAlign w:val="center"/>
          </w:tcPr>
          <w:p w14:paraId="12C347FE">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ascii="宋体" w:hAnsi="宋体"/>
                <w:bCs/>
                <w:sz w:val="18"/>
                <w:szCs w:val="18"/>
              </w:rPr>
              <w:t>.</w:t>
            </w:r>
            <w:r>
              <w:rPr>
                <w:rFonts w:hint="eastAsia" w:ascii="宋体" w:hAnsi="宋体"/>
                <w:bCs/>
                <w:sz w:val="18"/>
                <w:szCs w:val="18"/>
              </w:rPr>
              <w:t>1</w:t>
            </w:r>
          </w:p>
        </w:tc>
      </w:tr>
      <w:tr w14:paraId="16739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0" w:type="auto"/>
            <w:shd w:val="clear"/>
            <w:vAlign w:val="center"/>
          </w:tcPr>
          <w:p w14:paraId="2D3F6D65">
            <w:pPr>
              <w:jc w:val="center"/>
              <w:rPr>
                <w:rFonts w:hint="eastAsia" w:ascii="宋体" w:hAnsi="宋体" w:eastAsia="宋体" w:cs="Times New Roman"/>
                <w:kern w:val="2"/>
                <w:sz w:val="18"/>
                <w:szCs w:val="18"/>
                <w:lang w:val="en-US" w:eastAsia="zh-CN" w:bidi="ar-SA"/>
              </w:rPr>
            </w:pPr>
            <w:r>
              <w:rPr>
                <w:rFonts w:hint="eastAsia" w:ascii="宋体" w:hAnsi="宋体"/>
                <w:sz w:val="18"/>
                <w:szCs w:val="18"/>
              </w:rPr>
              <w:t>6.2.4.</w:t>
            </w:r>
            <w:r>
              <w:rPr>
                <w:rFonts w:hint="eastAsia" w:ascii="宋体" w:hAnsi="宋体"/>
                <w:sz w:val="18"/>
                <w:szCs w:val="18"/>
                <w:lang w:val="en-US" w:eastAsia="zh-CN"/>
              </w:rPr>
              <w:t>1</w:t>
            </w:r>
          </w:p>
        </w:tc>
        <w:tc>
          <w:tcPr>
            <w:tcW w:w="0" w:type="auto"/>
            <w:shd w:val="clear"/>
            <w:vAlign w:val="center"/>
          </w:tcPr>
          <w:p w14:paraId="72FC5D5C">
            <w:pPr>
              <w:pStyle w:val="207"/>
              <w:adjustRightInd w:val="0"/>
              <w:snapToGrid w:val="0"/>
              <w:ind w:right="0" w:rightChars="0"/>
              <w:rPr>
                <w:rFonts w:ascii="宋体" w:hAnsi="宋体" w:eastAsia="宋体"/>
                <w:spacing w:val="0"/>
                <w:kern w:val="2"/>
                <w:sz w:val="18"/>
                <w:szCs w:val="18"/>
              </w:rPr>
            </w:pPr>
            <w:r>
              <w:rPr>
                <w:rFonts w:hint="eastAsia" w:ascii="宋体" w:hAnsi="宋体" w:eastAsia="宋体"/>
                <w:spacing w:val="0"/>
                <w:kern w:val="2"/>
                <w:sz w:val="18"/>
                <w:szCs w:val="18"/>
              </w:rPr>
              <w:t>设备</w:t>
            </w:r>
            <w:r>
              <w:rPr>
                <w:rFonts w:ascii="宋体" w:hAnsi="宋体" w:eastAsia="宋体"/>
                <w:spacing w:val="0"/>
                <w:kern w:val="2"/>
                <w:sz w:val="18"/>
                <w:szCs w:val="18"/>
              </w:rPr>
              <w:t>PE</w:t>
            </w:r>
            <w:r>
              <w:rPr>
                <w:rFonts w:hint="eastAsia" w:ascii="宋体" w:hAnsi="宋体" w:eastAsia="宋体"/>
                <w:spacing w:val="0"/>
                <w:kern w:val="2"/>
                <w:sz w:val="18"/>
                <w:szCs w:val="18"/>
              </w:rPr>
              <w:t>线应符合下列要求：</w:t>
            </w:r>
          </w:p>
          <w:p w14:paraId="7299F8CF">
            <w:pPr>
              <w:pStyle w:val="207"/>
              <w:adjustRightInd w:val="0"/>
              <w:snapToGrid w:val="0"/>
              <w:ind w:right="0" w:rightChars="0"/>
              <w:rPr>
                <w:rFonts w:hint="default" w:ascii="宋体" w:hAnsi="宋体" w:eastAsia="宋体"/>
                <w:spacing w:val="0"/>
                <w:kern w:val="2"/>
                <w:sz w:val="18"/>
                <w:szCs w:val="18"/>
                <w:lang w:val="en-US"/>
              </w:rPr>
            </w:pPr>
            <w:r>
              <w:rPr>
                <w:rFonts w:ascii="宋体" w:hAnsi="宋体" w:eastAsia="宋体"/>
                <w:spacing w:val="0"/>
                <w:kern w:val="2"/>
                <w:sz w:val="18"/>
                <w:szCs w:val="18"/>
              </w:rPr>
              <w:t>a</w:t>
            </w:r>
            <w:r>
              <w:rPr>
                <w:rFonts w:hint="eastAsia" w:ascii="宋体" w:hAnsi="宋体" w:eastAsia="宋体"/>
                <w:spacing w:val="0"/>
                <w:kern w:val="2"/>
                <w:sz w:val="18"/>
                <w:szCs w:val="18"/>
              </w:rPr>
              <w:t>）单独敷设的保护接地导体(PE)最小截面面积应符合下列要求：</w:t>
            </w:r>
          </w:p>
          <w:p w14:paraId="674BCB85">
            <w:pPr>
              <w:pStyle w:val="207"/>
              <w:keepNext w:val="0"/>
              <w:keepLines w:val="0"/>
              <w:pageBreakBefore w:val="0"/>
              <w:widowControl/>
              <w:kinsoku/>
              <w:wordWrap/>
              <w:overflowPunct/>
              <w:topLinePunct w:val="0"/>
              <w:autoSpaceDE/>
              <w:autoSpaceDN/>
              <w:bidi w:val="0"/>
              <w:adjustRightInd w:val="0"/>
              <w:snapToGrid w:val="0"/>
              <w:ind w:right="0" w:rightChars="0" w:firstLine="180" w:firstLineChars="100"/>
              <w:textAlignment w:val="auto"/>
              <w:outlineLvl w:val="9"/>
              <w:rPr>
                <w:rFonts w:hint="default" w:ascii="宋体" w:hAnsi="宋体" w:eastAsia="宋体"/>
                <w:spacing w:val="0"/>
                <w:kern w:val="2"/>
                <w:sz w:val="18"/>
                <w:szCs w:val="18"/>
                <w:lang w:val="en-US" w:eastAsia="zh-CN"/>
              </w:rPr>
            </w:pPr>
            <w:r>
              <w:rPr>
                <w:rFonts w:hint="eastAsia" w:ascii="宋体" w:hAnsi="宋体" w:eastAsia="宋体"/>
                <w:spacing w:val="0"/>
                <w:kern w:val="2"/>
                <w:sz w:val="18"/>
                <w:szCs w:val="18"/>
              </w:rPr>
              <w:t>1）在有机械损伤防护时，铜导体不应小于2.5mm；</w:t>
            </w:r>
          </w:p>
          <w:p w14:paraId="2258E4BF">
            <w:pPr>
              <w:pStyle w:val="207"/>
              <w:keepNext w:val="0"/>
              <w:keepLines w:val="0"/>
              <w:pageBreakBefore w:val="0"/>
              <w:widowControl/>
              <w:kinsoku/>
              <w:wordWrap/>
              <w:overflowPunct/>
              <w:topLinePunct w:val="0"/>
              <w:autoSpaceDE/>
              <w:autoSpaceDN/>
              <w:bidi w:val="0"/>
              <w:adjustRightInd w:val="0"/>
              <w:snapToGrid w:val="0"/>
              <w:ind w:right="0" w:rightChars="0" w:firstLine="180" w:firstLineChars="100"/>
              <w:textAlignment w:val="auto"/>
              <w:outlineLvl w:val="9"/>
              <w:rPr>
                <w:rFonts w:hint="eastAsia" w:ascii="宋体" w:hAnsi="宋体" w:eastAsia="宋体"/>
                <w:spacing w:val="0"/>
                <w:kern w:val="2"/>
                <w:sz w:val="18"/>
                <w:szCs w:val="18"/>
                <w:highlight w:val="none"/>
              </w:rPr>
            </w:pPr>
            <w:r>
              <w:rPr>
                <w:rFonts w:hint="eastAsia" w:ascii="宋体" w:hAnsi="宋体" w:eastAsia="宋体"/>
                <w:spacing w:val="0"/>
                <w:kern w:val="2"/>
                <w:sz w:val="18"/>
                <w:szCs w:val="18"/>
              </w:rPr>
              <w:t>2）无机械</w:t>
            </w:r>
            <w:r>
              <w:rPr>
                <w:rFonts w:hint="eastAsia" w:ascii="宋体" w:hAnsi="宋体" w:eastAsia="宋体"/>
                <w:spacing w:val="0"/>
                <w:kern w:val="2"/>
                <w:sz w:val="18"/>
                <w:szCs w:val="18"/>
                <w:highlight w:val="none"/>
              </w:rPr>
              <w:t>损伤防护时，铜导体不应小于4mm，铝导体不应小于 16mm。</w:t>
            </w:r>
          </w:p>
          <w:p w14:paraId="5DA3F7D8">
            <w:pPr>
              <w:pStyle w:val="207"/>
              <w:adjustRightInd w:val="0"/>
              <w:snapToGrid w:val="0"/>
              <w:ind w:right="0" w:rightChars="0"/>
              <w:rPr>
                <w:rFonts w:hint="default" w:ascii="宋体" w:hAnsi="宋体" w:eastAsia="宋体"/>
                <w:spacing w:val="0"/>
                <w:kern w:val="2"/>
                <w:sz w:val="18"/>
                <w:szCs w:val="18"/>
                <w:highlight w:val="none"/>
                <w:lang w:val="en-US"/>
              </w:rPr>
            </w:pPr>
            <w:r>
              <w:rPr>
                <w:rFonts w:ascii="宋体" w:hAnsi="宋体" w:eastAsia="宋体"/>
                <w:spacing w:val="0"/>
                <w:kern w:val="2"/>
                <w:sz w:val="18"/>
                <w:szCs w:val="18"/>
                <w:highlight w:val="none"/>
              </w:rPr>
              <w:t>b</w:t>
            </w:r>
            <w:r>
              <w:rPr>
                <w:rFonts w:hint="eastAsia" w:ascii="宋体" w:hAnsi="宋体" w:eastAsia="宋体"/>
                <w:spacing w:val="0"/>
                <w:kern w:val="2"/>
                <w:sz w:val="18"/>
                <w:szCs w:val="18"/>
                <w:highlight w:val="none"/>
              </w:rPr>
              <w:t>）电气设备的外界可导电部分不</w:t>
            </w:r>
            <w:r>
              <w:rPr>
                <w:rFonts w:hint="eastAsia" w:ascii="宋体" w:hAnsi="宋体" w:eastAsia="宋体"/>
                <w:spacing w:val="0"/>
                <w:kern w:val="2"/>
                <w:sz w:val="18"/>
                <w:szCs w:val="18"/>
                <w:highlight w:val="none"/>
                <w:lang w:val="en-US" w:eastAsia="zh-CN"/>
              </w:rPr>
              <w:t>应</w:t>
            </w:r>
            <w:r>
              <w:rPr>
                <w:rFonts w:hint="eastAsia" w:ascii="宋体" w:hAnsi="宋体" w:eastAsia="宋体"/>
                <w:spacing w:val="0"/>
                <w:kern w:val="2"/>
                <w:sz w:val="18"/>
                <w:szCs w:val="18"/>
                <w:highlight w:val="none"/>
              </w:rPr>
              <w:t>用作保护接地导体(PE)；</w:t>
            </w:r>
          </w:p>
          <w:p w14:paraId="2DCC16AD">
            <w:pPr>
              <w:pStyle w:val="207"/>
              <w:adjustRightInd w:val="0"/>
              <w:snapToGrid w:val="0"/>
              <w:ind w:right="0" w:rightChars="0"/>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c</w:t>
            </w:r>
            <w:r>
              <w:rPr>
                <w:rFonts w:hint="eastAsia" w:ascii="宋体" w:hAnsi="宋体" w:eastAsia="宋体"/>
                <w:spacing w:val="0"/>
                <w:kern w:val="2"/>
                <w:sz w:val="18"/>
                <w:szCs w:val="18"/>
                <w:highlight w:val="none"/>
              </w:rPr>
              <w:t>）用电设备接入处PE</w:t>
            </w:r>
            <w:r>
              <w:rPr>
                <w:rFonts w:hint="eastAsia" w:ascii="宋体" w:hAnsi="宋体" w:eastAsia="宋体"/>
                <w:spacing w:val="0"/>
                <w:kern w:val="2"/>
                <w:sz w:val="18"/>
                <w:szCs w:val="18"/>
                <w:highlight w:val="none"/>
              </w:rPr>
              <w:t>标识应明显；PE</w:t>
            </w:r>
            <w:r>
              <w:rPr>
                <w:rFonts w:hint="eastAsia" w:ascii="宋体" w:hAnsi="宋体" w:eastAsia="宋体"/>
                <w:spacing w:val="0"/>
                <w:kern w:val="2"/>
                <w:sz w:val="18"/>
                <w:szCs w:val="18"/>
                <w:highlight w:val="none"/>
              </w:rPr>
              <w:t>线和N</w:t>
            </w:r>
            <w:r>
              <w:rPr>
                <w:rFonts w:hint="eastAsia" w:ascii="宋体" w:hAnsi="宋体" w:eastAsia="宋体"/>
                <w:spacing w:val="0"/>
                <w:kern w:val="2"/>
                <w:sz w:val="18"/>
                <w:szCs w:val="18"/>
                <w:highlight w:val="none"/>
              </w:rPr>
              <w:t>线不应漏接、错接、混装、串接等；</w:t>
            </w:r>
          </w:p>
          <w:p w14:paraId="2AAA7736">
            <w:pPr>
              <w:pStyle w:val="207"/>
              <w:adjustRightInd w:val="0"/>
              <w:snapToGrid w:val="0"/>
              <w:ind w:right="0" w:rightChars="0"/>
              <w:rPr>
                <w:rFonts w:hint="eastAsia"/>
                <w:lang w:val="en-US" w:eastAsia="zh-CN"/>
              </w:rPr>
            </w:pPr>
            <w:r>
              <w:rPr>
                <w:rFonts w:hint="eastAsia" w:ascii="宋体" w:hAnsi="宋体" w:eastAsia="宋体"/>
                <w:spacing w:val="0"/>
                <w:kern w:val="2"/>
                <w:sz w:val="18"/>
                <w:szCs w:val="18"/>
                <w:highlight w:val="none"/>
              </w:rPr>
              <w:t>d）不应使用易燃易爆管道、暖气管、燃气管、自来水管、蛇皮管等作为PE线使用</w:t>
            </w:r>
            <w:r>
              <w:rPr>
                <w:rFonts w:hint="eastAsia" w:ascii="宋体" w:hAnsi="宋体" w:eastAsia="宋体"/>
                <w:spacing w:val="0"/>
                <w:kern w:val="2"/>
                <w:sz w:val="18"/>
                <w:szCs w:val="18"/>
                <w:highlight w:val="none"/>
                <w:lang w:eastAsia="zh-CN"/>
              </w:rPr>
              <w:t>；</w:t>
            </w:r>
          </w:p>
        </w:tc>
        <w:tc>
          <w:tcPr>
            <w:tcW w:w="0" w:type="auto"/>
            <w:shd w:val="clear"/>
            <w:vAlign w:val="center"/>
          </w:tcPr>
          <w:p w14:paraId="612C2E53">
            <w:pPr>
              <w:pStyle w:val="22"/>
              <w:numPr>
                <w:ilvl w:val="3"/>
                <w:numId w:val="0"/>
              </w:numPr>
              <w:adjustRightInd w:val="0"/>
              <w:snapToGrid w:val="0"/>
              <w:ind w:left="0" w:leftChars="0" w:right="0" w:rightChars="0" w:firstLine="0" w:firstLineChars="0"/>
              <w:rPr>
                <w:rFonts w:ascii="宋体" w:hAnsi="宋体" w:eastAsia="宋体" w:cs="Times New Roman"/>
                <w:kern w:val="2"/>
                <w:sz w:val="18"/>
                <w:szCs w:val="18"/>
                <w:lang w:val="en-US" w:eastAsia="zh-CN" w:bidi="ar-SA"/>
              </w:rPr>
            </w:pPr>
          </w:p>
        </w:tc>
        <w:tc>
          <w:tcPr>
            <w:tcW w:w="0" w:type="auto"/>
            <w:shd w:val="clear"/>
            <w:vAlign w:val="center"/>
          </w:tcPr>
          <w:p w14:paraId="4B2E9AF4">
            <w:pPr>
              <w:pStyle w:val="22"/>
              <w:numPr>
                <w:ilvl w:val="3"/>
                <w:numId w:val="0"/>
              </w:numPr>
              <w:adjustRightInd w:val="0"/>
              <w:snapToGrid w:val="0"/>
              <w:ind w:left="0" w:leftChars="0" w:right="0" w:rightChars="0" w:firstLine="0" w:firstLineChars="0"/>
              <w:rPr>
                <w:rFonts w:hint="eastAsia" w:ascii="宋体" w:hAnsi="宋体" w:eastAsia="宋体" w:cs="Times New Roman"/>
                <w:kern w:val="2"/>
                <w:sz w:val="18"/>
                <w:szCs w:val="18"/>
                <w:lang w:val="en-US" w:eastAsia="zh-CN" w:bidi="ar-SA"/>
              </w:rPr>
            </w:pPr>
          </w:p>
        </w:tc>
        <w:tc>
          <w:tcPr>
            <w:tcW w:w="0" w:type="auto"/>
            <w:shd w:val="clear"/>
            <w:vAlign w:val="center"/>
          </w:tcPr>
          <w:p w14:paraId="142D26CA">
            <w:pPr>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0" w:type="auto"/>
            <w:shd w:val="clear"/>
            <w:vAlign w:val="center"/>
          </w:tcPr>
          <w:p w14:paraId="5468DE83">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w:t>
            </w:r>
            <w:r>
              <w:rPr>
                <w:rFonts w:hint="eastAsia" w:ascii="宋体" w:hAnsi="宋体"/>
                <w:bCs/>
                <w:sz w:val="18"/>
                <w:szCs w:val="18"/>
                <w:lang w:val="en-US" w:eastAsia="zh-CN"/>
              </w:rPr>
              <w:t>扣2分</w:t>
            </w:r>
            <w:r>
              <w:rPr>
                <w:rFonts w:hint="eastAsia" w:ascii="宋体" w:hAnsi="宋体"/>
                <w:bCs/>
                <w:sz w:val="18"/>
                <w:szCs w:val="18"/>
              </w:rPr>
              <w:t>。</w:t>
            </w:r>
          </w:p>
        </w:tc>
        <w:tc>
          <w:tcPr>
            <w:tcW w:w="0" w:type="auto"/>
            <w:shd w:val="clear"/>
            <w:vAlign w:val="center"/>
          </w:tcPr>
          <w:p w14:paraId="654FB1EE">
            <w:pPr>
              <w:widowControl/>
              <w:jc w:val="center"/>
              <w:rPr>
                <w:rFonts w:ascii="宋体" w:hAnsi="宋体" w:eastAsia="宋体" w:cs="Times New Roman"/>
                <w:bCs/>
                <w:kern w:val="2"/>
                <w:sz w:val="18"/>
                <w:szCs w:val="18"/>
                <w:lang w:val="en-US" w:eastAsia="zh-CN" w:bidi="ar-SA"/>
              </w:rPr>
            </w:pPr>
          </w:p>
        </w:tc>
        <w:tc>
          <w:tcPr>
            <w:tcW w:w="0" w:type="auto"/>
            <w:shd w:val="clear"/>
            <w:vAlign w:val="center"/>
          </w:tcPr>
          <w:p w14:paraId="58566259">
            <w:pPr>
              <w:widowControl/>
              <w:jc w:val="center"/>
              <w:rPr>
                <w:rFonts w:ascii="宋体" w:hAnsi="宋体" w:eastAsia="宋体" w:cs="Times New Roman"/>
                <w:bCs/>
                <w:kern w:val="2"/>
                <w:sz w:val="18"/>
                <w:szCs w:val="18"/>
                <w:lang w:val="en-US" w:eastAsia="zh-CN" w:bidi="ar-SA"/>
              </w:rPr>
            </w:pPr>
          </w:p>
        </w:tc>
        <w:tc>
          <w:tcPr>
            <w:tcW w:w="0" w:type="auto"/>
            <w:shd w:val="clear"/>
            <w:vAlign w:val="center"/>
          </w:tcPr>
          <w:p w14:paraId="55983A18">
            <w:pPr>
              <w:widowControl/>
              <w:snapToGrid w:val="0"/>
              <w:jc w:val="center"/>
              <w:rPr>
                <w:rFonts w:hint="eastAsia" w:ascii="宋体" w:hAnsi="宋体"/>
                <w:bCs/>
                <w:sz w:val="18"/>
                <w:szCs w:val="18"/>
              </w:rPr>
            </w:pPr>
            <w:r>
              <w:rPr>
                <w:rFonts w:hint="eastAsia" w:ascii="宋体" w:hAnsi="宋体"/>
                <w:bCs/>
                <w:sz w:val="18"/>
                <w:szCs w:val="18"/>
                <w:lang w:eastAsia="zh-CN"/>
              </w:rPr>
              <w:t>4.6</w:t>
            </w:r>
            <w:r>
              <w:rPr>
                <w:rFonts w:hint="eastAsia" w:ascii="宋体" w:hAnsi="宋体"/>
                <w:bCs/>
                <w:sz w:val="18"/>
                <w:szCs w:val="18"/>
              </w:rPr>
              <w:t>.1</w:t>
            </w:r>
          </w:p>
          <w:p w14:paraId="0B9BCE48">
            <w:pPr>
              <w:widowControl/>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4.6.1</w:t>
            </w:r>
          </w:p>
        </w:tc>
      </w:tr>
    </w:tbl>
    <w:p w14:paraId="396EC29E">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047FADCE">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9"/>
        <w:gridCol w:w="7042"/>
        <w:gridCol w:w="627"/>
        <w:gridCol w:w="623"/>
        <w:gridCol w:w="590"/>
        <w:gridCol w:w="2214"/>
        <w:gridCol w:w="762"/>
        <w:gridCol w:w="1471"/>
        <w:gridCol w:w="1145"/>
      </w:tblGrid>
      <w:tr w14:paraId="4F397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879" w:type="dxa"/>
            <w:noWrap w:val="0"/>
            <w:vAlign w:val="center"/>
          </w:tcPr>
          <w:p w14:paraId="161C2299">
            <w:pPr>
              <w:adjustRightInd w:val="0"/>
              <w:snapToGrid w:val="0"/>
              <w:jc w:val="center"/>
              <w:rPr>
                <w:rFonts w:ascii="宋体" w:hAnsi="宋体"/>
                <w:bCs/>
                <w:sz w:val="18"/>
                <w:szCs w:val="18"/>
              </w:rPr>
            </w:pPr>
            <w:r>
              <w:rPr>
                <w:rFonts w:ascii="宋体" w:hAnsi="宋体"/>
                <w:bCs/>
                <w:sz w:val="18"/>
                <w:szCs w:val="18"/>
              </w:rPr>
              <w:t>序号</w:t>
            </w:r>
          </w:p>
        </w:tc>
        <w:tc>
          <w:tcPr>
            <w:tcW w:w="7042" w:type="dxa"/>
            <w:noWrap w:val="0"/>
            <w:vAlign w:val="center"/>
          </w:tcPr>
          <w:p w14:paraId="3B85F1A2">
            <w:pPr>
              <w:adjustRightInd w:val="0"/>
              <w:snapToGrid w:val="0"/>
              <w:jc w:val="center"/>
              <w:rPr>
                <w:rFonts w:ascii="宋体" w:hAnsi="宋体"/>
                <w:bCs/>
                <w:sz w:val="18"/>
                <w:szCs w:val="18"/>
              </w:rPr>
            </w:pPr>
            <w:r>
              <w:rPr>
                <w:rFonts w:ascii="宋体" w:hAnsi="宋体"/>
                <w:bCs/>
                <w:sz w:val="18"/>
                <w:szCs w:val="18"/>
              </w:rPr>
              <w:t>评定内容</w:t>
            </w:r>
          </w:p>
        </w:tc>
        <w:tc>
          <w:tcPr>
            <w:tcW w:w="627" w:type="dxa"/>
            <w:noWrap w:val="0"/>
            <w:vAlign w:val="center"/>
          </w:tcPr>
          <w:p w14:paraId="44CF1828">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23" w:type="dxa"/>
            <w:noWrap w:val="0"/>
            <w:vAlign w:val="center"/>
          </w:tcPr>
          <w:p w14:paraId="7C1DB085">
            <w:pPr>
              <w:adjustRightInd w:val="0"/>
              <w:snapToGrid w:val="0"/>
              <w:jc w:val="center"/>
              <w:rPr>
                <w:rFonts w:ascii="宋体" w:hAnsi="宋体"/>
                <w:bCs/>
                <w:sz w:val="18"/>
                <w:szCs w:val="18"/>
              </w:rPr>
            </w:pPr>
            <w:r>
              <w:rPr>
                <w:rFonts w:hint="eastAsia" w:ascii="宋体" w:hAnsi="宋体"/>
                <w:bCs/>
                <w:sz w:val="18"/>
                <w:szCs w:val="18"/>
              </w:rPr>
              <w:t>评定细项分值</w:t>
            </w:r>
          </w:p>
        </w:tc>
        <w:tc>
          <w:tcPr>
            <w:tcW w:w="590" w:type="dxa"/>
            <w:noWrap w:val="0"/>
            <w:vAlign w:val="center"/>
          </w:tcPr>
          <w:p w14:paraId="3BFB1FE1">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214" w:type="dxa"/>
            <w:noWrap w:val="0"/>
            <w:vAlign w:val="center"/>
          </w:tcPr>
          <w:p w14:paraId="51415A76">
            <w:pPr>
              <w:adjustRightInd w:val="0"/>
              <w:snapToGrid w:val="0"/>
              <w:jc w:val="center"/>
              <w:rPr>
                <w:rFonts w:ascii="宋体" w:hAnsi="宋体"/>
                <w:bCs/>
                <w:sz w:val="18"/>
                <w:szCs w:val="18"/>
              </w:rPr>
            </w:pPr>
            <w:r>
              <w:rPr>
                <w:rFonts w:ascii="宋体" w:hAnsi="宋体"/>
                <w:bCs/>
                <w:sz w:val="18"/>
                <w:szCs w:val="18"/>
              </w:rPr>
              <w:t>评分标准</w:t>
            </w:r>
          </w:p>
        </w:tc>
        <w:tc>
          <w:tcPr>
            <w:tcW w:w="762" w:type="dxa"/>
            <w:noWrap w:val="0"/>
            <w:vAlign w:val="center"/>
          </w:tcPr>
          <w:p w14:paraId="60294893">
            <w:pPr>
              <w:adjustRightInd w:val="0"/>
              <w:snapToGrid w:val="0"/>
              <w:jc w:val="center"/>
              <w:rPr>
                <w:rFonts w:hint="eastAsia" w:ascii="宋体" w:hAnsi="宋体"/>
                <w:bCs/>
                <w:sz w:val="18"/>
                <w:szCs w:val="18"/>
              </w:rPr>
            </w:pPr>
            <w:r>
              <w:rPr>
                <w:rFonts w:hint="eastAsia" w:ascii="宋体" w:hAnsi="宋体"/>
                <w:bCs/>
                <w:sz w:val="18"/>
                <w:szCs w:val="18"/>
              </w:rPr>
              <w:t>评定</w:t>
            </w:r>
          </w:p>
          <w:p w14:paraId="6D88A3B2">
            <w:pPr>
              <w:adjustRightInd w:val="0"/>
              <w:snapToGrid w:val="0"/>
              <w:jc w:val="center"/>
              <w:rPr>
                <w:rFonts w:ascii="宋体" w:hAnsi="宋体"/>
                <w:bCs/>
                <w:sz w:val="18"/>
                <w:szCs w:val="18"/>
              </w:rPr>
            </w:pPr>
            <w:r>
              <w:rPr>
                <w:rFonts w:hint="eastAsia" w:ascii="宋体" w:hAnsi="宋体"/>
                <w:bCs/>
                <w:sz w:val="18"/>
                <w:szCs w:val="18"/>
              </w:rPr>
              <w:t>得分</w:t>
            </w:r>
          </w:p>
        </w:tc>
        <w:tc>
          <w:tcPr>
            <w:tcW w:w="1471" w:type="dxa"/>
            <w:noWrap w:val="0"/>
            <w:vAlign w:val="center"/>
          </w:tcPr>
          <w:p w14:paraId="26D29ACB">
            <w:pPr>
              <w:adjustRightInd w:val="0"/>
              <w:snapToGrid w:val="0"/>
              <w:jc w:val="center"/>
              <w:rPr>
                <w:rFonts w:ascii="宋体" w:hAnsi="宋体"/>
                <w:bCs/>
                <w:sz w:val="18"/>
                <w:szCs w:val="18"/>
              </w:rPr>
            </w:pPr>
            <w:r>
              <w:rPr>
                <w:rFonts w:hint="eastAsia" w:ascii="宋体" w:hAnsi="宋体"/>
                <w:bCs/>
                <w:sz w:val="18"/>
                <w:szCs w:val="18"/>
              </w:rPr>
              <w:t>扣分说明</w:t>
            </w:r>
          </w:p>
        </w:tc>
        <w:tc>
          <w:tcPr>
            <w:tcW w:w="1145" w:type="dxa"/>
            <w:noWrap w:val="0"/>
            <w:vAlign w:val="center"/>
          </w:tcPr>
          <w:p w14:paraId="038ACC43">
            <w:pPr>
              <w:adjustRightInd w:val="0"/>
              <w:snapToGrid w:val="0"/>
              <w:jc w:val="center"/>
              <w:rPr>
                <w:rFonts w:ascii="宋体" w:hAnsi="宋体"/>
                <w:bCs/>
                <w:sz w:val="18"/>
                <w:szCs w:val="18"/>
              </w:rPr>
            </w:pPr>
            <w:r>
              <w:rPr>
                <w:rFonts w:ascii="宋体" w:hAnsi="宋体"/>
                <w:bCs/>
                <w:sz w:val="18"/>
                <w:szCs w:val="18"/>
              </w:rPr>
              <w:t>对应条款编号</w:t>
            </w:r>
          </w:p>
        </w:tc>
      </w:tr>
      <w:tr w14:paraId="1022B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trPr>
        <w:tc>
          <w:tcPr>
            <w:tcW w:w="879" w:type="dxa"/>
            <w:noWrap w:val="0"/>
            <w:vAlign w:val="center"/>
          </w:tcPr>
          <w:p w14:paraId="4EF9E7B6">
            <w:pPr>
              <w:adjustRightInd w:val="0"/>
              <w:snapToGrid w:val="0"/>
              <w:jc w:val="center"/>
              <w:rPr>
                <w:rFonts w:ascii="宋体" w:hAnsi="宋体"/>
                <w:bCs/>
                <w:sz w:val="18"/>
                <w:szCs w:val="18"/>
              </w:rPr>
            </w:pPr>
          </w:p>
        </w:tc>
        <w:tc>
          <w:tcPr>
            <w:tcW w:w="7042" w:type="dxa"/>
            <w:noWrap w:val="0"/>
            <w:vAlign w:val="center"/>
          </w:tcPr>
          <w:p w14:paraId="183C0913">
            <w:pPr>
              <w:adjustRightInd w:val="0"/>
              <w:snapToGrid w:val="0"/>
              <w:jc w:val="left"/>
              <w:rPr>
                <w:rFonts w:ascii="宋体" w:hAnsi="宋体"/>
                <w:bCs/>
                <w:sz w:val="18"/>
                <w:szCs w:val="18"/>
              </w:rPr>
            </w:pPr>
            <w:r>
              <w:rPr>
                <w:rFonts w:hint="eastAsia" w:ascii="宋体" w:hAnsi="宋体" w:eastAsia="宋体"/>
                <w:spacing w:val="0"/>
                <w:kern w:val="2"/>
                <w:sz w:val="18"/>
                <w:szCs w:val="18"/>
                <w:highlight w:val="none"/>
                <w:lang w:val="en-US" w:eastAsia="zh-CN"/>
              </w:rPr>
              <w:t>e</w:t>
            </w:r>
            <w:r>
              <w:rPr>
                <w:rFonts w:hint="eastAsia" w:ascii="宋体" w:hAnsi="宋体" w:eastAsia="宋体"/>
                <w:spacing w:val="0"/>
                <w:kern w:val="2"/>
                <w:sz w:val="18"/>
                <w:szCs w:val="18"/>
                <w:highlight w:val="none"/>
              </w:rPr>
              <w:t>）接地网（接地装置）应统一编号，设置接地标识牌，注明编号、检测数据等，且应定期检测。</w:t>
            </w:r>
          </w:p>
        </w:tc>
        <w:tc>
          <w:tcPr>
            <w:tcW w:w="627" w:type="dxa"/>
            <w:noWrap w:val="0"/>
            <w:vAlign w:val="center"/>
          </w:tcPr>
          <w:p w14:paraId="4FDE9EE0">
            <w:pPr>
              <w:pStyle w:val="22"/>
              <w:numPr>
                <w:ilvl w:val="3"/>
                <w:numId w:val="0"/>
              </w:numPr>
              <w:adjustRightInd w:val="0"/>
              <w:snapToGrid w:val="0"/>
              <w:ind w:right="0"/>
              <w:rPr>
                <w:rFonts w:ascii="宋体" w:hAnsi="宋体"/>
                <w:sz w:val="18"/>
                <w:szCs w:val="18"/>
              </w:rPr>
            </w:pPr>
          </w:p>
        </w:tc>
        <w:tc>
          <w:tcPr>
            <w:tcW w:w="623" w:type="dxa"/>
            <w:noWrap w:val="0"/>
            <w:vAlign w:val="center"/>
          </w:tcPr>
          <w:p w14:paraId="3FFA1B28">
            <w:pPr>
              <w:pStyle w:val="22"/>
              <w:numPr>
                <w:ilvl w:val="3"/>
                <w:numId w:val="0"/>
              </w:numPr>
              <w:adjustRightInd w:val="0"/>
              <w:snapToGrid w:val="0"/>
              <w:ind w:right="0"/>
              <w:jc w:val="center"/>
              <w:rPr>
                <w:rFonts w:hint="eastAsia" w:ascii="宋体" w:hAnsi="宋体" w:eastAsia="宋体"/>
                <w:sz w:val="18"/>
                <w:szCs w:val="18"/>
                <w:lang w:val="en-US" w:eastAsia="zh-CN"/>
              </w:rPr>
            </w:pPr>
          </w:p>
        </w:tc>
        <w:tc>
          <w:tcPr>
            <w:tcW w:w="590" w:type="dxa"/>
            <w:noWrap w:val="0"/>
            <w:vAlign w:val="center"/>
          </w:tcPr>
          <w:p w14:paraId="701110CA">
            <w:pPr>
              <w:adjustRightInd w:val="0"/>
              <w:snapToGrid w:val="0"/>
              <w:jc w:val="center"/>
              <w:rPr>
                <w:rFonts w:ascii="宋体" w:hAnsi="宋体"/>
                <w:bCs/>
                <w:sz w:val="18"/>
                <w:szCs w:val="18"/>
              </w:rPr>
            </w:pPr>
          </w:p>
        </w:tc>
        <w:tc>
          <w:tcPr>
            <w:tcW w:w="2214" w:type="dxa"/>
            <w:noWrap w:val="0"/>
            <w:vAlign w:val="center"/>
          </w:tcPr>
          <w:p w14:paraId="1855A49F">
            <w:pPr>
              <w:adjustRightInd w:val="0"/>
              <w:snapToGrid w:val="0"/>
              <w:jc w:val="left"/>
              <w:rPr>
                <w:rFonts w:ascii="宋体" w:hAnsi="宋体"/>
                <w:bCs/>
                <w:sz w:val="18"/>
                <w:szCs w:val="18"/>
              </w:rPr>
            </w:pPr>
          </w:p>
        </w:tc>
        <w:tc>
          <w:tcPr>
            <w:tcW w:w="762" w:type="dxa"/>
            <w:noWrap w:val="0"/>
            <w:vAlign w:val="center"/>
          </w:tcPr>
          <w:p w14:paraId="5263E050">
            <w:pPr>
              <w:adjustRightInd w:val="0"/>
              <w:snapToGrid w:val="0"/>
              <w:jc w:val="center"/>
              <w:rPr>
                <w:rFonts w:ascii="宋体" w:hAnsi="宋体"/>
                <w:bCs/>
                <w:sz w:val="18"/>
                <w:szCs w:val="18"/>
              </w:rPr>
            </w:pPr>
          </w:p>
        </w:tc>
        <w:tc>
          <w:tcPr>
            <w:tcW w:w="1471" w:type="dxa"/>
            <w:noWrap w:val="0"/>
            <w:vAlign w:val="center"/>
          </w:tcPr>
          <w:p w14:paraId="66B3D1AA">
            <w:pPr>
              <w:adjustRightInd w:val="0"/>
              <w:snapToGrid w:val="0"/>
              <w:jc w:val="center"/>
              <w:rPr>
                <w:rFonts w:ascii="宋体" w:hAnsi="宋体"/>
                <w:bCs/>
                <w:sz w:val="18"/>
                <w:szCs w:val="18"/>
              </w:rPr>
            </w:pPr>
          </w:p>
        </w:tc>
        <w:tc>
          <w:tcPr>
            <w:tcW w:w="1145" w:type="dxa"/>
            <w:noWrap w:val="0"/>
            <w:vAlign w:val="center"/>
          </w:tcPr>
          <w:p w14:paraId="6D84A93D">
            <w:pPr>
              <w:adjustRightInd w:val="0"/>
              <w:snapToGrid w:val="0"/>
              <w:jc w:val="center"/>
              <w:rPr>
                <w:rFonts w:ascii="宋体" w:hAnsi="宋体"/>
                <w:bCs/>
                <w:sz w:val="18"/>
                <w:szCs w:val="18"/>
              </w:rPr>
            </w:pPr>
          </w:p>
        </w:tc>
      </w:tr>
      <w:tr w14:paraId="6708F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exact"/>
          <w:tblHeader/>
        </w:trPr>
        <w:tc>
          <w:tcPr>
            <w:tcW w:w="879" w:type="dxa"/>
            <w:noWrap w:val="0"/>
            <w:vAlign w:val="center"/>
          </w:tcPr>
          <w:p w14:paraId="5D4BD009">
            <w:pPr>
              <w:adjustRightInd w:val="0"/>
              <w:snapToGrid w:val="0"/>
              <w:jc w:val="center"/>
              <w:rPr>
                <w:rFonts w:hint="eastAsia" w:ascii="宋体" w:hAnsi="宋体"/>
                <w:sz w:val="18"/>
                <w:szCs w:val="18"/>
              </w:rPr>
            </w:pPr>
            <w:r>
              <w:rPr>
                <w:rFonts w:hint="eastAsia" w:ascii="宋体" w:hAnsi="宋体"/>
                <w:sz w:val="18"/>
                <w:szCs w:val="18"/>
              </w:rPr>
              <w:t>6.2.5</w:t>
            </w:r>
          </w:p>
        </w:tc>
        <w:tc>
          <w:tcPr>
            <w:tcW w:w="7042" w:type="dxa"/>
            <w:noWrap w:val="0"/>
            <w:vAlign w:val="center"/>
          </w:tcPr>
          <w:p w14:paraId="60FA1C5C">
            <w:pPr>
              <w:adjustRightInd w:val="0"/>
              <w:snapToGrid w:val="0"/>
              <w:jc w:val="left"/>
              <w:rPr>
                <w:rFonts w:hint="eastAsia" w:ascii="宋体" w:hAnsi="宋体"/>
                <w:sz w:val="18"/>
                <w:szCs w:val="18"/>
              </w:rPr>
            </w:pPr>
            <w:r>
              <w:rPr>
                <w:rFonts w:hint="eastAsia" w:ascii="宋体" w:hAnsi="宋体"/>
                <w:sz w:val="18"/>
                <w:szCs w:val="18"/>
              </w:rPr>
              <w:t>照明灯具</w:t>
            </w:r>
          </w:p>
        </w:tc>
        <w:tc>
          <w:tcPr>
            <w:tcW w:w="627" w:type="dxa"/>
            <w:noWrap w:val="0"/>
            <w:vAlign w:val="center"/>
          </w:tcPr>
          <w:p w14:paraId="7EE6926E">
            <w:pPr>
              <w:pStyle w:val="22"/>
              <w:numPr>
                <w:ilvl w:val="3"/>
                <w:numId w:val="0"/>
              </w:numPr>
              <w:adjustRightInd w:val="0"/>
              <w:snapToGrid w:val="0"/>
              <w:ind w:right="0"/>
              <w:rPr>
                <w:rFonts w:ascii="宋体" w:hAnsi="宋体"/>
                <w:sz w:val="18"/>
                <w:szCs w:val="18"/>
              </w:rPr>
            </w:pPr>
          </w:p>
        </w:tc>
        <w:tc>
          <w:tcPr>
            <w:tcW w:w="623" w:type="dxa"/>
            <w:noWrap w:val="0"/>
            <w:vAlign w:val="center"/>
          </w:tcPr>
          <w:p w14:paraId="125DF5EB">
            <w:pPr>
              <w:pStyle w:val="22"/>
              <w:numPr>
                <w:ilvl w:val="3"/>
                <w:numId w:val="0"/>
              </w:numPr>
              <w:adjustRightInd w:val="0"/>
              <w:snapToGrid w:val="0"/>
              <w:ind w:right="0"/>
              <w:jc w:val="center"/>
              <w:rPr>
                <w:rFonts w:hint="eastAsia" w:ascii="宋体" w:hAnsi="宋体" w:eastAsia="宋体"/>
                <w:sz w:val="18"/>
                <w:szCs w:val="18"/>
                <w:lang w:val="en-US" w:eastAsia="zh-CN"/>
              </w:rPr>
            </w:pPr>
          </w:p>
        </w:tc>
        <w:tc>
          <w:tcPr>
            <w:tcW w:w="590" w:type="dxa"/>
            <w:noWrap w:val="0"/>
            <w:vAlign w:val="center"/>
          </w:tcPr>
          <w:p w14:paraId="559144F2">
            <w:pPr>
              <w:adjustRightInd w:val="0"/>
              <w:snapToGrid w:val="0"/>
              <w:jc w:val="center"/>
              <w:rPr>
                <w:rFonts w:hint="eastAsia" w:ascii="宋体" w:hAnsi="宋体"/>
                <w:sz w:val="18"/>
                <w:szCs w:val="18"/>
              </w:rPr>
            </w:pPr>
          </w:p>
        </w:tc>
        <w:tc>
          <w:tcPr>
            <w:tcW w:w="2214" w:type="dxa"/>
            <w:noWrap w:val="0"/>
            <w:vAlign w:val="center"/>
          </w:tcPr>
          <w:p w14:paraId="40BA67BA">
            <w:pPr>
              <w:adjustRightInd w:val="0"/>
              <w:snapToGrid w:val="0"/>
              <w:jc w:val="left"/>
              <w:rPr>
                <w:rFonts w:ascii="宋体" w:hAnsi="宋体"/>
                <w:sz w:val="18"/>
                <w:szCs w:val="18"/>
              </w:rPr>
            </w:pPr>
          </w:p>
        </w:tc>
        <w:tc>
          <w:tcPr>
            <w:tcW w:w="762" w:type="dxa"/>
            <w:noWrap w:val="0"/>
            <w:vAlign w:val="center"/>
          </w:tcPr>
          <w:p w14:paraId="3B1B8D4D">
            <w:pPr>
              <w:adjustRightInd w:val="0"/>
              <w:snapToGrid w:val="0"/>
              <w:jc w:val="center"/>
              <w:rPr>
                <w:rFonts w:ascii="宋体" w:hAnsi="宋体"/>
                <w:bCs/>
                <w:sz w:val="18"/>
                <w:szCs w:val="18"/>
              </w:rPr>
            </w:pPr>
          </w:p>
        </w:tc>
        <w:tc>
          <w:tcPr>
            <w:tcW w:w="1471" w:type="dxa"/>
            <w:noWrap w:val="0"/>
            <w:vAlign w:val="center"/>
          </w:tcPr>
          <w:p w14:paraId="5A82974D">
            <w:pPr>
              <w:adjustRightInd w:val="0"/>
              <w:snapToGrid w:val="0"/>
              <w:jc w:val="center"/>
              <w:rPr>
                <w:rFonts w:ascii="宋体" w:hAnsi="宋体"/>
                <w:bCs/>
                <w:sz w:val="18"/>
                <w:szCs w:val="18"/>
              </w:rPr>
            </w:pPr>
          </w:p>
        </w:tc>
        <w:tc>
          <w:tcPr>
            <w:tcW w:w="1145" w:type="dxa"/>
            <w:noWrap w:val="0"/>
            <w:vAlign w:val="center"/>
          </w:tcPr>
          <w:p w14:paraId="7A186A98">
            <w:pPr>
              <w:adjustRightInd w:val="0"/>
              <w:snapToGrid w:val="0"/>
              <w:jc w:val="center"/>
              <w:rPr>
                <w:rFonts w:ascii="宋体" w:hAnsi="宋体"/>
                <w:bCs/>
                <w:sz w:val="18"/>
                <w:szCs w:val="18"/>
              </w:rPr>
            </w:pPr>
          </w:p>
        </w:tc>
      </w:tr>
      <w:tr w14:paraId="42F86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2" w:hRule="exact"/>
          <w:tblHeader/>
        </w:trPr>
        <w:tc>
          <w:tcPr>
            <w:tcW w:w="879" w:type="dxa"/>
            <w:noWrap w:val="0"/>
            <w:vAlign w:val="center"/>
          </w:tcPr>
          <w:p w14:paraId="6B9791A7">
            <w:pPr>
              <w:widowControl/>
              <w:jc w:val="center"/>
              <w:rPr>
                <w:rFonts w:hint="eastAsia" w:ascii="宋体" w:hAnsi="宋体"/>
                <w:bCs/>
                <w:sz w:val="18"/>
                <w:szCs w:val="18"/>
              </w:rPr>
            </w:pPr>
            <w:r>
              <w:rPr>
                <w:rFonts w:hint="eastAsia" w:ascii="宋体" w:hAnsi="宋体"/>
                <w:bCs/>
                <w:sz w:val="18"/>
                <w:szCs w:val="18"/>
              </w:rPr>
              <w:t>6.2.5.1</w:t>
            </w:r>
          </w:p>
        </w:tc>
        <w:tc>
          <w:tcPr>
            <w:tcW w:w="7042" w:type="dxa"/>
            <w:noWrap w:val="0"/>
            <w:vAlign w:val="center"/>
          </w:tcPr>
          <w:p w14:paraId="105EDE20">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照明灯具应符合下列要求：</w:t>
            </w:r>
          </w:p>
          <w:p w14:paraId="43DD3941">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a）灯具的固定应牢固可靠；</w:t>
            </w:r>
          </w:p>
          <w:p w14:paraId="0D943501">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b）Ⅰ类灯具的外露可导电部分应与保护接地导体可靠连接，连接处应设置接地标识；</w:t>
            </w:r>
          </w:p>
          <w:p w14:paraId="754FA8F1">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c）除采用安全电压以外，敞开式灯具的灯头对地面距离应大于2.5m，在2.5m及以下，应设置剩余电流动作保护装置；</w:t>
            </w:r>
          </w:p>
          <w:p w14:paraId="763A9D85">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d）灯具不应有机械损伤、变形、灯罩破裂等缺陷；</w:t>
            </w:r>
          </w:p>
          <w:p w14:paraId="233F6ECA">
            <w:pPr>
              <w:pStyle w:val="207"/>
              <w:adjustRightInd/>
              <w:snapToGrid w:val="0"/>
              <w:ind w:right="0" w:rightChars="0"/>
              <w:jc w:val="left"/>
              <w:outlineLvl w:val="9"/>
              <w:rPr>
                <w:rFonts w:hint="eastAsia" w:ascii="宋体" w:hAnsi="宋体" w:eastAsia="宋体"/>
                <w:spacing w:val="0"/>
                <w:kern w:val="2"/>
                <w:sz w:val="18"/>
                <w:szCs w:val="18"/>
              </w:rPr>
            </w:pPr>
            <w:r>
              <w:rPr>
                <w:rFonts w:hint="eastAsia" w:ascii="宋体" w:hAnsi="宋体" w:eastAsia="宋体"/>
                <w:spacing w:val="0"/>
                <w:kern w:val="2"/>
                <w:sz w:val="18"/>
                <w:szCs w:val="18"/>
              </w:rPr>
              <w:t>e）灯具表面及其附件的高温部位靠近可燃物时，应采取隔热、散热防火保护措施；</w:t>
            </w:r>
          </w:p>
          <w:p w14:paraId="0D4F3894">
            <w:pPr>
              <w:pStyle w:val="207"/>
              <w:adjustRightInd/>
              <w:snapToGrid w:val="0"/>
              <w:ind w:right="0" w:rightChars="0"/>
              <w:jc w:val="left"/>
              <w:outlineLvl w:val="9"/>
              <w:rPr>
                <w:rFonts w:ascii="宋体" w:hAnsi="宋体" w:eastAsia="宋体"/>
                <w:spacing w:val="0"/>
                <w:kern w:val="2"/>
                <w:sz w:val="18"/>
                <w:szCs w:val="18"/>
              </w:rPr>
            </w:pPr>
            <w:r>
              <w:rPr>
                <w:rFonts w:hint="eastAsia" w:ascii="宋体" w:hAnsi="宋体" w:eastAsia="宋体"/>
                <w:spacing w:val="0"/>
                <w:kern w:val="2"/>
                <w:sz w:val="18"/>
                <w:szCs w:val="18"/>
              </w:rPr>
              <w:t>f）接线盒引至嵌入式灯具或槽灯的电线应采用金属柔性导管保护，不得裸露，柔性导管与灯具壳体应采用专用接头连接。</w:t>
            </w:r>
          </w:p>
        </w:tc>
        <w:tc>
          <w:tcPr>
            <w:tcW w:w="627" w:type="dxa"/>
            <w:noWrap w:val="0"/>
            <w:vAlign w:val="center"/>
          </w:tcPr>
          <w:p w14:paraId="46C6DFBB">
            <w:pPr>
              <w:pStyle w:val="22"/>
              <w:numPr>
                <w:ilvl w:val="3"/>
                <w:numId w:val="0"/>
              </w:numPr>
              <w:adjustRightInd w:val="0"/>
              <w:snapToGrid w:val="0"/>
              <w:ind w:right="-105"/>
              <w:rPr>
                <w:rFonts w:ascii="宋体" w:hAnsi="宋体"/>
                <w:sz w:val="18"/>
                <w:szCs w:val="18"/>
              </w:rPr>
            </w:pPr>
          </w:p>
        </w:tc>
        <w:tc>
          <w:tcPr>
            <w:tcW w:w="623" w:type="dxa"/>
            <w:noWrap w:val="0"/>
            <w:vAlign w:val="center"/>
          </w:tcPr>
          <w:p w14:paraId="5447FF5C">
            <w:pPr>
              <w:pStyle w:val="22"/>
              <w:numPr>
                <w:ilvl w:val="3"/>
                <w:numId w:val="0"/>
              </w:numPr>
              <w:adjustRightInd w:val="0"/>
              <w:snapToGrid w:val="0"/>
              <w:ind w:right="-105"/>
              <w:rPr>
                <w:rFonts w:ascii="宋体" w:hAnsi="宋体"/>
                <w:sz w:val="18"/>
                <w:szCs w:val="18"/>
              </w:rPr>
            </w:pPr>
          </w:p>
        </w:tc>
        <w:tc>
          <w:tcPr>
            <w:tcW w:w="590" w:type="dxa"/>
            <w:noWrap w:val="0"/>
            <w:vAlign w:val="center"/>
          </w:tcPr>
          <w:p w14:paraId="0C162540">
            <w:pPr>
              <w:widowControl/>
              <w:jc w:val="center"/>
              <w:rPr>
                <w:rFonts w:hint="eastAsia" w:ascii="宋体" w:hAnsi="宋体" w:eastAsia="宋体"/>
                <w:bCs/>
                <w:sz w:val="18"/>
                <w:szCs w:val="18"/>
                <w:lang w:eastAsia="zh-CN"/>
              </w:rPr>
            </w:pPr>
            <w:r>
              <w:rPr>
                <w:rFonts w:hint="eastAsia" w:ascii="宋体" w:hAnsi="宋体"/>
                <w:bCs/>
                <w:sz w:val="18"/>
                <w:szCs w:val="18"/>
                <w:lang w:val="en-US" w:eastAsia="zh-CN"/>
              </w:rPr>
              <w:t>5</w:t>
            </w:r>
          </w:p>
        </w:tc>
        <w:tc>
          <w:tcPr>
            <w:tcW w:w="2214" w:type="dxa"/>
            <w:noWrap w:val="0"/>
            <w:vAlign w:val="center"/>
          </w:tcPr>
          <w:p w14:paraId="57DF841E">
            <w:pPr>
              <w:adjustRightInd w:val="0"/>
              <w:snapToGrid w:val="0"/>
              <w:jc w:val="left"/>
              <w:rPr>
                <w:rFonts w:ascii="宋体" w:hAnsi="宋体"/>
                <w:bCs/>
                <w:sz w:val="18"/>
                <w:szCs w:val="18"/>
              </w:rPr>
            </w:pPr>
            <w:r>
              <w:rPr>
                <w:rFonts w:hint="eastAsia" w:ascii="宋体" w:hAnsi="宋体"/>
                <w:bCs/>
                <w:sz w:val="18"/>
                <w:szCs w:val="18"/>
              </w:rPr>
              <w:t>一处不符合，</w:t>
            </w:r>
            <w:r>
              <w:rPr>
                <w:rFonts w:hint="eastAsia" w:ascii="宋体" w:hAnsi="宋体"/>
                <w:bCs/>
                <w:sz w:val="18"/>
                <w:szCs w:val="18"/>
                <w:lang w:val="en-US" w:eastAsia="zh-CN"/>
              </w:rPr>
              <w:t>扣2分</w:t>
            </w:r>
            <w:r>
              <w:rPr>
                <w:rFonts w:hint="eastAsia" w:ascii="宋体" w:hAnsi="宋体"/>
                <w:bCs/>
                <w:sz w:val="18"/>
                <w:szCs w:val="18"/>
              </w:rPr>
              <w:t>。</w:t>
            </w:r>
          </w:p>
        </w:tc>
        <w:tc>
          <w:tcPr>
            <w:tcW w:w="762" w:type="dxa"/>
            <w:noWrap w:val="0"/>
            <w:vAlign w:val="center"/>
          </w:tcPr>
          <w:p w14:paraId="5E4F7DB5">
            <w:pPr>
              <w:widowControl/>
              <w:jc w:val="center"/>
              <w:rPr>
                <w:rFonts w:ascii="宋体" w:hAnsi="宋体"/>
                <w:bCs/>
                <w:sz w:val="18"/>
                <w:szCs w:val="18"/>
              </w:rPr>
            </w:pPr>
          </w:p>
        </w:tc>
        <w:tc>
          <w:tcPr>
            <w:tcW w:w="1471" w:type="dxa"/>
            <w:noWrap w:val="0"/>
            <w:vAlign w:val="center"/>
          </w:tcPr>
          <w:p w14:paraId="59FFCB43">
            <w:pPr>
              <w:widowControl/>
              <w:jc w:val="center"/>
              <w:rPr>
                <w:rFonts w:ascii="宋体" w:hAnsi="宋体"/>
                <w:bCs/>
                <w:sz w:val="18"/>
                <w:szCs w:val="18"/>
              </w:rPr>
            </w:pPr>
          </w:p>
        </w:tc>
        <w:tc>
          <w:tcPr>
            <w:tcW w:w="1145" w:type="dxa"/>
            <w:noWrap w:val="0"/>
            <w:vAlign w:val="center"/>
          </w:tcPr>
          <w:p w14:paraId="1251F41C">
            <w:pPr>
              <w:widowControl/>
              <w:jc w:val="center"/>
              <w:rPr>
                <w:rFonts w:hint="eastAsia" w:ascii="宋体" w:hAnsi="宋体" w:eastAsia="宋体"/>
                <w:bCs/>
                <w:sz w:val="18"/>
                <w:szCs w:val="18"/>
                <w:lang w:eastAsia="zh-CN"/>
              </w:rPr>
            </w:pPr>
            <w:r>
              <w:rPr>
                <w:rFonts w:hint="eastAsia" w:ascii="宋体" w:hAnsi="宋体"/>
                <w:bCs/>
                <w:sz w:val="18"/>
                <w:szCs w:val="18"/>
                <w:lang w:val="en-US" w:eastAsia="zh-CN"/>
              </w:rPr>
              <w:t>4</w:t>
            </w:r>
            <w:r>
              <w:rPr>
                <w:rFonts w:hint="eastAsia" w:ascii="宋体" w:hAnsi="宋体"/>
                <w:bCs/>
                <w:sz w:val="18"/>
                <w:szCs w:val="18"/>
              </w:rPr>
              <w:t>.6.</w:t>
            </w:r>
            <w:r>
              <w:rPr>
                <w:rFonts w:hint="eastAsia" w:ascii="宋体" w:hAnsi="宋体"/>
                <w:bCs/>
                <w:sz w:val="18"/>
                <w:szCs w:val="18"/>
                <w:lang w:val="en-US" w:eastAsia="zh-CN"/>
              </w:rPr>
              <w:t>1</w:t>
            </w:r>
          </w:p>
        </w:tc>
      </w:tr>
      <w:tr w14:paraId="33712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exact"/>
          <w:tblHeader/>
        </w:trPr>
        <w:tc>
          <w:tcPr>
            <w:tcW w:w="879" w:type="dxa"/>
            <w:shd w:val="clear"/>
            <w:noWrap w:val="0"/>
            <w:vAlign w:val="center"/>
          </w:tcPr>
          <w:p w14:paraId="07013C46">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6.2.6</w:t>
            </w:r>
          </w:p>
        </w:tc>
        <w:tc>
          <w:tcPr>
            <w:tcW w:w="7042" w:type="dxa"/>
            <w:shd w:val="clear"/>
            <w:noWrap w:val="0"/>
            <w:vAlign w:val="center"/>
          </w:tcPr>
          <w:p w14:paraId="14126AFE">
            <w:pPr>
              <w:pStyle w:val="22"/>
              <w:adjustRightInd w:val="0"/>
              <w:snapToGrid w:val="0"/>
              <w:ind w:left="0" w:leftChars="0" w:firstLine="0" w:firstLineChars="0"/>
              <w:rPr>
                <w:rFonts w:hint="eastAsia" w:ascii="宋体" w:hAnsi="宋体" w:eastAsia="宋体" w:cs="Times New Roman"/>
                <w:kern w:val="2"/>
                <w:sz w:val="18"/>
                <w:szCs w:val="18"/>
                <w:lang w:val="en-US" w:eastAsia="zh-CN" w:bidi="ar-SA"/>
              </w:rPr>
            </w:pPr>
            <w:r>
              <w:rPr>
                <w:rFonts w:hint="eastAsia" w:ascii="宋体" w:hAnsi="宋体"/>
                <w:sz w:val="18"/>
                <w:szCs w:val="18"/>
              </w:rPr>
              <w:t>插座、开关</w:t>
            </w:r>
          </w:p>
        </w:tc>
        <w:tc>
          <w:tcPr>
            <w:tcW w:w="627" w:type="dxa"/>
            <w:shd w:val="clear"/>
            <w:noWrap w:val="0"/>
            <w:vAlign w:val="center"/>
          </w:tcPr>
          <w:p w14:paraId="09271227">
            <w:pPr>
              <w:adjustRightInd w:val="0"/>
              <w:snapToGrid w:val="0"/>
              <w:jc w:val="center"/>
              <w:rPr>
                <w:rFonts w:hint="eastAsia" w:ascii="宋体" w:hAnsi="宋体" w:eastAsia="宋体" w:cs="Times New Roman"/>
                <w:bCs/>
                <w:kern w:val="2"/>
                <w:sz w:val="18"/>
                <w:szCs w:val="18"/>
                <w:lang w:val="en-US" w:eastAsia="zh-CN" w:bidi="ar-SA"/>
              </w:rPr>
            </w:pPr>
          </w:p>
        </w:tc>
        <w:tc>
          <w:tcPr>
            <w:tcW w:w="623" w:type="dxa"/>
            <w:shd w:val="clear"/>
            <w:noWrap w:val="0"/>
            <w:vAlign w:val="center"/>
          </w:tcPr>
          <w:p w14:paraId="16569BFB">
            <w:pPr>
              <w:adjustRightInd w:val="0"/>
              <w:snapToGrid w:val="0"/>
              <w:jc w:val="center"/>
              <w:rPr>
                <w:rFonts w:hint="default" w:ascii="宋体" w:hAnsi="宋体" w:eastAsia="宋体" w:cs="Times New Roman"/>
                <w:bCs/>
                <w:kern w:val="2"/>
                <w:sz w:val="18"/>
                <w:szCs w:val="18"/>
                <w:lang w:val="en-US" w:eastAsia="zh-CN" w:bidi="ar-SA"/>
              </w:rPr>
            </w:pPr>
          </w:p>
        </w:tc>
        <w:tc>
          <w:tcPr>
            <w:tcW w:w="590" w:type="dxa"/>
            <w:shd w:val="clear"/>
            <w:noWrap w:val="0"/>
            <w:vAlign w:val="center"/>
          </w:tcPr>
          <w:p w14:paraId="64CA5B93">
            <w:pPr>
              <w:adjustRightInd w:val="0"/>
              <w:snapToGrid w:val="0"/>
              <w:jc w:val="center"/>
              <w:rPr>
                <w:rFonts w:hint="eastAsia" w:ascii="宋体" w:hAnsi="宋体" w:eastAsia="宋体" w:cs="Times New Roman"/>
                <w:bCs/>
                <w:kern w:val="2"/>
                <w:sz w:val="18"/>
                <w:szCs w:val="18"/>
                <w:lang w:val="en-US" w:eastAsia="zh-CN" w:bidi="ar-SA"/>
              </w:rPr>
            </w:pPr>
          </w:p>
        </w:tc>
        <w:tc>
          <w:tcPr>
            <w:tcW w:w="2214" w:type="dxa"/>
            <w:shd w:val="clear"/>
            <w:noWrap w:val="0"/>
            <w:vAlign w:val="center"/>
          </w:tcPr>
          <w:p w14:paraId="0E6F8808">
            <w:pPr>
              <w:adjustRightInd w:val="0"/>
              <w:snapToGrid w:val="0"/>
              <w:jc w:val="center"/>
              <w:rPr>
                <w:rFonts w:hint="eastAsia" w:ascii="宋体" w:hAnsi="宋体" w:eastAsia="宋体" w:cs="Times New Roman"/>
                <w:bCs/>
                <w:kern w:val="2"/>
                <w:sz w:val="18"/>
                <w:szCs w:val="18"/>
                <w:lang w:val="en-US" w:eastAsia="zh-CN" w:bidi="ar-SA"/>
              </w:rPr>
            </w:pPr>
          </w:p>
        </w:tc>
        <w:tc>
          <w:tcPr>
            <w:tcW w:w="762" w:type="dxa"/>
            <w:shd w:val="clear"/>
            <w:noWrap w:val="0"/>
            <w:vAlign w:val="center"/>
          </w:tcPr>
          <w:p w14:paraId="7EF43C32">
            <w:pPr>
              <w:adjustRightInd w:val="0"/>
              <w:snapToGrid w:val="0"/>
              <w:jc w:val="center"/>
              <w:rPr>
                <w:rFonts w:hint="eastAsia" w:ascii="宋体" w:hAnsi="宋体" w:eastAsia="宋体" w:cs="Times New Roman"/>
                <w:bCs/>
                <w:kern w:val="2"/>
                <w:sz w:val="18"/>
                <w:szCs w:val="18"/>
                <w:lang w:val="en-US" w:eastAsia="zh-CN" w:bidi="ar-SA"/>
              </w:rPr>
            </w:pPr>
          </w:p>
        </w:tc>
        <w:tc>
          <w:tcPr>
            <w:tcW w:w="1471" w:type="dxa"/>
            <w:shd w:val="clear"/>
            <w:noWrap w:val="0"/>
            <w:vAlign w:val="center"/>
          </w:tcPr>
          <w:p w14:paraId="6A950296">
            <w:pPr>
              <w:adjustRightInd w:val="0"/>
              <w:snapToGrid w:val="0"/>
              <w:jc w:val="center"/>
              <w:rPr>
                <w:rFonts w:hint="eastAsia" w:ascii="宋体" w:hAnsi="宋体" w:eastAsia="宋体" w:cs="Times New Roman"/>
                <w:bCs/>
                <w:kern w:val="2"/>
                <w:sz w:val="18"/>
                <w:szCs w:val="18"/>
                <w:lang w:val="en-US" w:eastAsia="zh-CN" w:bidi="ar-SA"/>
              </w:rPr>
            </w:pPr>
          </w:p>
        </w:tc>
        <w:tc>
          <w:tcPr>
            <w:tcW w:w="1145" w:type="dxa"/>
            <w:shd w:val="clear"/>
            <w:noWrap w:val="0"/>
            <w:vAlign w:val="center"/>
          </w:tcPr>
          <w:p w14:paraId="0BD96DD3">
            <w:pPr>
              <w:adjustRightInd w:val="0"/>
              <w:snapToGrid w:val="0"/>
              <w:jc w:val="center"/>
              <w:rPr>
                <w:rFonts w:hint="eastAsia" w:ascii="宋体" w:hAnsi="宋体" w:eastAsia="宋体" w:cs="Times New Roman"/>
                <w:bCs/>
                <w:kern w:val="2"/>
                <w:sz w:val="18"/>
                <w:szCs w:val="18"/>
                <w:lang w:val="en-US" w:eastAsia="zh-CN" w:bidi="ar-SA"/>
              </w:rPr>
            </w:pPr>
          </w:p>
        </w:tc>
      </w:tr>
      <w:tr w14:paraId="744FB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exact"/>
          <w:tblHeader/>
        </w:trPr>
        <w:tc>
          <w:tcPr>
            <w:tcW w:w="879" w:type="dxa"/>
            <w:shd w:val="clear"/>
            <w:noWrap w:val="0"/>
            <w:vAlign w:val="center"/>
          </w:tcPr>
          <w:p w14:paraId="3202BEC9">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6.2.6.1</w:t>
            </w:r>
          </w:p>
        </w:tc>
        <w:tc>
          <w:tcPr>
            <w:tcW w:w="7042" w:type="dxa"/>
            <w:shd w:val="clear"/>
            <w:noWrap w:val="0"/>
            <w:vAlign w:val="center"/>
          </w:tcPr>
          <w:p w14:paraId="57FE4CFB">
            <w:pPr>
              <w:pStyle w:val="207"/>
              <w:adjustRightInd w:val="0"/>
              <w:snapToGrid w:val="0"/>
              <w:ind w:right="0" w:rightChars="0"/>
              <w:jc w:val="left"/>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rPr>
              <w:t>插座、开关应有3C认证标志，且破损、烧焦的插座、开关应及时更换。</w:t>
            </w:r>
          </w:p>
        </w:tc>
        <w:tc>
          <w:tcPr>
            <w:tcW w:w="627" w:type="dxa"/>
            <w:shd w:val="clear"/>
            <w:noWrap w:val="0"/>
            <w:vAlign w:val="center"/>
          </w:tcPr>
          <w:p w14:paraId="4073029F">
            <w:pPr>
              <w:adjustRightInd w:val="0"/>
              <w:snapToGrid w:val="0"/>
              <w:jc w:val="center"/>
              <w:rPr>
                <w:rFonts w:hint="eastAsia" w:ascii="宋体" w:hAnsi="宋体" w:eastAsia="宋体" w:cs="Times New Roman"/>
                <w:bCs/>
                <w:kern w:val="2"/>
                <w:sz w:val="18"/>
                <w:szCs w:val="18"/>
                <w:lang w:val="en-US" w:eastAsia="zh-CN" w:bidi="ar-SA"/>
              </w:rPr>
            </w:pPr>
          </w:p>
        </w:tc>
        <w:tc>
          <w:tcPr>
            <w:tcW w:w="623" w:type="dxa"/>
            <w:shd w:val="clear"/>
            <w:noWrap w:val="0"/>
            <w:vAlign w:val="center"/>
          </w:tcPr>
          <w:p w14:paraId="41D420F2">
            <w:pPr>
              <w:adjustRightInd w:val="0"/>
              <w:snapToGrid w:val="0"/>
              <w:jc w:val="center"/>
              <w:rPr>
                <w:rFonts w:hint="eastAsia" w:ascii="宋体" w:hAnsi="宋体" w:eastAsia="宋体" w:cs="Times New Roman"/>
                <w:bCs/>
                <w:kern w:val="2"/>
                <w:sz w:val="18"/>
                <w:szCs w:val="18"/>
                <w:lang w:val="en-US" w:eastAsia="zh-CN" w:bidi="ar-SA"/>
              </w:rPr>
            </w:pPr>
          </w:p>
        </w:tc>
        <w:tc>
          <w:tcPr>
            <w:tcW w:w="590" w:type="dxa"/>
            <w:shd w:val="clear"/>
            <w:noWrap w:val="0"/>
            <w:vAlign w:val="center"/>
          </w:tcPr>
          <w:p w14:paraId="5479D2D6">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2</w:t>
            </w:r>
          </w:p>
        </w:tc>
        <w:tc>
          <w:tcPr>
            <w:tcW w:w="2214" w:type="dxa"/>
            <w:shd w:val="clear"/>
            <w:noWrap w:val="0"/>
            <w:vAlign w:val="center"/>
          </w:tcPr>
          <w:p w14:paraId="71D77B43">
            <w:pPr>
              <w:widowControl/>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一处不符合，不得分。</w:t>
            </w:r>
          </w:p>
        </w:tc>
        <w:tc>
          <w:tcPr>
            <w:tcW w:w="762" w:type="dxa"/>
            <w:shd w:val="clear"/>
            <w:noWrap w:val="0"/>
            <w:vAlign w:val="center"/>
          </w:tcPr>
          <w:p w14:paraId="639F3693">
            <w:pPr>
              <w:adjustRightInd w:val="0"/>
              <w:snapToGrid w:val="0"/>
              <w:jc w:val="center"/>
              <w:rPr>
                <w:rFonts w:hint="eastAsia" w:ascii="宋体" w:hAnsi="宋体" w:eastAsia="宋体" w:cs="Times New Roman"/>
                <w:bCs/>
                <w:kern w:val="2"/>
                <w:sz w:val="18"/>
                <w:szCs w:val="18"/>
                <w:lang w:val="en-US" w:eastAsia="zh-CN" w:bidi="ar-SA"/>
              </w:rPr>
            </w:pPr>
          </w:p>
        </w:tc>
        <w:tc>
          <w:tcPr>
            <w:tcW w:w="1471" w:type="dxa"/>
            <w:shd w:val="clear"/>
            <w:noWrap w:val="0"/>
            <w:vAlign w:val="center"/>
          </w:tcPr>
          <w:p w14:paraId="3ABD3F23">
            <w:pPr>
              <w:adjustRightInd w:val="0"/>
              <w:snapToGrid w:val="0"/>
              <w:jc w:val="center"/>
              <w:rPr>
                <w:rFonts w:hint="eastAsia" w:ascii="宋体" w:hAnsi="宋体" w:eastAsia="宋体" w:cs="Times New Roman"/>
                <w:bCs/>
                <w:kern w:val="2"/>
                <w:sz w:val="18"/>
                <w:szCs w:val="18"/>
                <w:lang w:val="en-US" w:eastAsia="zh-CN" w:bidi="ar-SA"/>
              </w:rPr>
            </w:pPr>
          </w:p>
        </w:tc>
        <w:tc>
          <w:tcPr>
            <w:tcW w:w="1145" w:type="dxa"/>
            <w:shd w:val="clear"/>
            <w:noWrap w:val="0"/>
            <w:vAlign w:val="center"/>
          </w:tcPr>
          <w:p w14:paraId="257CBB70">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65411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7" w:hRule="exact"/>
          <w:tblHeader/>
        </w:trPr>
        <w:tc>
          <w:tcPr>
            <w:tcW w:w="0" w:type="auto"/>
            <w:shd w:val="clear"/>
            <w:vAlign w:val="center"/>
          </w:tcPr>
          <w:p w14:paraId="719DFB17">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6.2.6.2</w:t>
            </w:r>
          </w:p>
        </w:tc>
        <w:tc>
          <w:tcPr>
            <w:tcW w:w="0" w:type="auto"/>
            <w:shd w:val="clear"/>
            <w:vAlign w:val="center"/>
          </w:tcPr>
          <w:p w14:paraId="47E0D6E2">
            <w:pPr>
              <w:pStyle w:val="207"/>
              <w:adjustRightInd w:val="0"/>
              <w:snapToGrid w:val="0"/>
              <w:ind w:right="-105" w:rightChars="0"/>
              <w:jc w:val="left"/>
              <w:rPr>
                <w:rFonts w:ascii="宋体" w:hAnsi="宋体" w:eastAsia="宋体"/>
                <w:spacing w:val="0"/>
                <w:kern w:val="2"/>
                <w:sz w:val="18"/>
                <w:szCs w:val="18"/>
              </w:rPr>
            </w:pPr>
            <w:r>
              <w:rPr>
                <w:rFonts w:hint="eastAsia" w:ascii="宋体" w:hAnsi="宋体" w:eastAsia="宋体"/>
                <w:spacing w:val="0"/>
                <w:kern w:val="2"/>
                <w:sz w:val="18"/>
                <w:szCs w:val="18"/>
              </w:rPr>
              <w:t>插座内的</w:t>
            </w:r>
            <w:r>
              <w:rPr>
                <w:rFonts w:ascii="宋体" w:hAnsi="宋体" w:eastAsia="宋体"/>
                <w:spacing w:val="0"/>
                <w:kern w:val="2"/>
                <w:sz w:val="18"/>
                <w:szCs w:val="18"/>
              </w:rPr>
              <w:t>L</w:t>
            </w:r>
            <w:r>
              <w:rPr>
                <w:rFonts w:hint="eastAsia" w:ascii="宋体" w:hAnsi="宋体" w:eastAsia="宋体"/>
                <w:spacing w:val="0"/>
                <w:kern w:val="2"/>
                <w:sz w:val="18"/>
                <w:szCs w:val="18"/>
              </w:rPr>
              <w:t>线、</w:t>
            </w:r>
            <w:r>
              <w:rPr>
                <w:rFonts w:ascii="宋体" w:hAnsi="宋体" w:eastAsia="宋体"/>
                <w:spacing w:val="0"/>
                <w:kern w:val="2"/>
                <w:sz w:val="18"/>
                <w:szCs w:val="18"/>
              </w:rPr>
              <w:t>N</w:t>
            </w:r>
            <w:r>
              <w:rPr>
                <w:rFonts w:hint="eastAsia" w:ascii="宋体" w:hAnsi="宋体" w:eastAsia="宋体"/>
                <w:spacing w:val="0"/>
                <w:kern w:val="2"/>
                <w:sz w:val="18"/>
                <w:szCs w:val="18"/>
              </w:rPr>
              <w:t>线、</w:t>
            </w:r>
            <w:r>
              <w:rPr>
                <w:rFonts w:ascii="宋体" w:hAnsi="宋体" w:eastAsia="宋体"/>
                <w:spacing w:val="0"/>
                <w:kern w:val="2"/>
                <w:sz w:val="18"/>
                <w:szCs w:val="18"/>
              </w:rPr>
              <w:t>PE</w:t>
            </w:r>
            <w:r>
              <w:rPr>
                <w:rFonts w:hint="eastAsia" w:ascii="宋体" w:hAnsi="宋体" w:eastAsia="宋体"/>
                <w:spacing w:val="0"/>
                <w:kern w:val="2"/>
                <w:sz w:val="18"/>
                <w:szCs w:val="18"/>
              </w:rPr>
              <w:t>线的安装应符合下列要求：</w:t>
            </w:r>
          </w:p>
          <w:p w14:paraId="14B977E1">
            <w:pPr>
              <w:pStyle w:val="207"/>
              <w:adjustRightInd w:val="0"/>
              <w:snapToGrid w:val="0"/>
              <w:ind w:right="-105"/>
              <w:jc w:val="left"/>
              <w:rPr>
                <w:rFonts w:hint="eastAsia" w:ascii="宋体" w:hAnsi="宋体" w:eastAsia="宋体"/>
                <w:spacing w:val="0"/>
                <w:kern w:val="2"/>
                <w:sz w:val="18"/>
                <w:szCs w:val="18"/>
              </w:rPr>
            </w:pPr>
            <w:r>
              <w:rPr>
                <w:rFonts w:hint="eastAsia" w:ascii="宋体" w:hAnsi="宋体" w:eastAsia="宋体"/>
                <w:spacing w:val="0"/>
                <w:kern w:val="2"/>
                <w:sz w:val="18"/>
                <w:szCs w:val="18"/>
                <w:lang w:val="en-US" w:eastAsia="zh-CN"/>
              </w:rPr>
              <w:t>a</w:t>
            </w:r>
            <w:r>
              <w:rPr>
                <w:rFonts w:hint="eastAsia" w:ascii="宋体" w:hAnsi="宋体" w:eastAsia="宋体"/>
                <w:spacing w:val="0"/>
                <w:kern w:val="2"/>
                <w:sz w:val="18"/>
                <w:szCs w:val="18"/>
              </w:rPr>
              <w:t>）接线应正确</w:t>
            </w:r>
            <w:r>
              <w:rPr>
                <w:rFonts w:hint="eastAsia" w:ascii="宋体" w:hAnsi="宋体" w:eastAsia="宋体"/>
                <w:spacing w:val="0"/>
                <w:kern w:val="2"/>
                <w:sz w:val="18"/>
                <w:szCs w:val="18"/>
                <w:lang w:eastAsia="zh-CN"/>
              </w:rPr>
              <w:t>，</w:t>
            </w:r>
            <w:r>
              <w:rPr>
                <w:rFonts w:hint="eastAsia" w:ascii="宋体" w:hAnsi="宋体" w:eastAsia="宋体"/>
                <w:spacing w:val="0"/>
                <w:kern w:val="2"/>
                <w:sz w:val="18"/>
                <w:szCs w:val="18"/>
              </w:rPr>
              <w:t>同一场所的三相电源插座，其接线的相序应一致；</w:t>
            </w:r>
          </w:p>
          <w:p w14:paraId="0184DB65">
            <w:pPr>
              <w:pStyle w:val="207"/>
              <w:adjustRightInd w:val="0"/>
              <w:snapToGrid w:val="0"/>
              <w:ind w:right="-105"/>
              <w:jc w:val="left"/>
              <w:rPr>
                <w:rFonts w:hint="eastAsia" w:ascii="宋体" w:hAnsi="宋体" w:eastAsia="宋体"/>
                <w:spacing w:val="0"/>
                <w:kern w:val="2"/>
                <w:sz w:val="18"/>
                <w:szCs w:val="18"/>
              </w:rPr>
            </w:pPr>
            <w:r>
              <w:rPr>
                <w:rFonts w:hint="eastAsia" w:ascii="宋体" w:hAnsi="宋体" w:eastAsia="宋体"/>
                <w:spacing w:val="0"/>
                <w:kern w:val="2"/>
                <w:sz w:val="18"/>
                <w:szCs w:val="18"/>
                <w:lang w:val="en-US" w:eastAsia="zh-CN"/>
              </w:rPr>
              <w:t>b</w:t>
            </w:r>
            <w:r>
              <w:rPr>
                <w:rFonts w:hint="eastAsia" w:ascii="宋体" w:hAnsi="宋体" w:eastAsia="宋体"/>
                <w:spacing w:val="0"/>
                <w:kern w:val="2"/>
                <w:sz w:val="18"/>
                <w:szCs w:val="18"/>
              </w:rPr>
              <w:t>）保护接地导体（PE）在电源插座之间不应串联连接；</w:t>
            </w:r>
          </w:p>
          <w:p w14:paraId="728B0D75">
            <w:pPr>
              <w:pStyle w:val="207"/>
              <w:adjustRightInd w:val="0"/>
              <w:snapToGrid w:val="0"/>
              <w:ind w:right="-105"/>
              <w:jc w:val="left"/>
              <w:rPr>
                <w:rFonts w:hint="eastAsia" w:ascii="宋体" w:hAnsi="宋体" w:eastAsia="宋体"/>
                <w:spacing w:val="0"/>
                <w:kern w:val="2"/>
                <w:sz w:val="18"/>
                <w:szCs w:val="18"/>
              </w:rPr>
            </w:pPr>
            <w:r>
              <w:rPr>
                <w:rFonts w:hint="eastAsia" w:ascii="宋体" w:hAnsi="宋体" w:eastAsia="宋体"/>
                <w:spacing w:val="0"/>
                <w:kern w:val="2"/>
                <w:sz w:val="18"/>
                <w:szCs w:val="18"/>
                <w:lang w:val="en-US" w:eastAsia="zh-CN"/>
              </w:rPr>
              <w:t>c</w:t>
            </w:r>
            <w:r>
              <w:rPr>
                <w:rFonts w:hint="eastAsia" w:ascii="宋体" w:hAnsi="宋体" w:eastAsia="宋体"/>
                <w:spacing w:val="0"/>
                <w:kern w:val="2"/>
                <w:sz w:val="18"/>
                <w:szCs w:val="18"/>
              </w:rPr>
              <w:t>）相线与中性导体（N）不得利用电源插座本体的接线端子转接供电；</w:t>
            </w:r>
          </w:p>
          <w:p w14:paraId="6F44CAE6">
            <w:pPr>
              <w:pStyle w:val="207"/>
              <w:adjustRightInd w:val="0"/>
              <w:spacing w:line="240" w:lineRule="exact"/>
              <w:ind w:right="-105" w:rightChars="-50"/>
              <w:jc w:val="left"/>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d</w:t>
            </w:r>
            <w:r>
              <w:rPr>
                <w:rFonts w:hint="eastAsia" w:ascii="宋体" w:hAnsi="宋体" w:eastAsia="宋体"/>
                <w:spacing w:val="0"/>
                <w:kern w:val="2"/>
                <w:sz w:val="18"/>
                <w:szCs w:val="18"/>
              </w:rPr>
              <w:t>）</w:t>
            </w:r>
            <w:r>
              <w:rPr>
                <w:rFonts w:hint="eastAsia" w:ascii="宋体" w:hAnsi="宋体" w:eastAsia="宋体" w:cs="Times New Roman"/>
                <w:spacing w:val="0"/>
                <w:kern w:val="2"/>
                <w:sz w:val="18"/>
                <w:szCs w:val="18"/>
              </w:rPr>
              <w:t>暗装的电源插座面板或开关面板应紧贴墙面或装饰面，导线不得裸露在装饰层内</w:t>
            </w:r>
            <w:r>
              <w:rPr>
                <w:rFonts w:hint="eastAsia" w:ascii="宋体" w:hAnsi="宋体" w:eastAsia="宋体" w:cs="Times New Roman"/>
                <w:spacing w:val="0"/>
                <w:kern w:val="2"/>
                <w:sz w:val="18"/>
                <w:szCs w:val="18"/>
                <w:lang w:eastAsia="zh-CN"/>
              </w:rPr>
              <w:t>。</w:t>
            </w:r>
          </w:p>
        </w:tc>
        <w:tc>
          <w:tcPr>
            <w:tcW w:w="0" w:type="auto"/>
            <w:shd w:val="clear"/>
            <w:vAlign w:val="center"/>
          </w:tcPr>
          <w:p w14:paraId="1192CA74">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5F685996">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1AC66959">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2</w:t>
            </w:r>
          </w:p>
        </w:tc>
        <w:tc>
          <w:tcPr>
            <w:tcW w:w="0" w:type="auto"/>
            <w:shd w:val="clear"/>
            <w:vAlign w:val="center"/>
          </w:tcPr>
          <w:p w14:paraId="02ECC09F">
            <w:pPr>
              <w:widowControl/>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一处不符合，不得分。</w:t>
            </w:r>
          </w:p>
        </w:tc>
        <w:tc>
          <w:tcPr>
            <w:tcW w:w="0" w:type="auto"/>
            <w:shd w:val="clear"/>
            <w:vAlign w:val="center"/>
          </w:tcPr>
          <w:p w14:paraId="7B07F53D">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2FC5AB22">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1F621C5C">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3F626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77" w:hRule="exact"/>
          <w:tblHeader/>
        </w:trPr>
        <w:tc>
          <w:tcPr>
            <w:tcW w:w="0" w:type="auto"/>
            <w:shd w:val="clear"/>
            <w:vAlign w:val="center"/>
          </w:tcPr>
          <w:p w14:paraId="4B3BF132">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6.2.6.3</w:t>
            </w:r>
          </w:p>
        </w:tc>
        <w:tc>
          <w:tcPr>
            <w:tcW w:w="0" w:type="auto"/>
            <w:shd w:val="clear"/>
            <w:vAlign w:val="center"/>
          </w:tcPr>
          <w:p w14:paraId="61BF90A1">
            <w:pPr>
              <w:pStyle w:val="207"/>
              <w:adjustRightInd w:val="0"/>
              <w:snapToGrid w:val="0"/>
              <w:ind w:right="0" w:rightChars="0"/>
              <w:jc w:val="left"/>
              <w:rPr>
                <w:rFonts w:ascii="宋体" w:hAnsi="宋体" w:eastAsia="宋体"/>
                <w:spacing w:val="0"/>
                <w:kern w:val="2"/>
                <w:sz w:val="18"/>
                <w:szCs w:val="18"/>
              </w:rPr>
            </w:pPr>
            <w:r>
              <w:rPr>
                <w:rFonts w:hint="eastAsia" w:ascii="宋体" w:hAnsi="宋体" w:eastAsia="宋体"/>
                <w:spacing w:val="0"/>
                <w:kern w:val="2"/>
                <w:sz w:val="18"/>
                <w:szCs w:val="18"/>
              </w:rPr>
              <w:t>插座的安装应符合下列要求：</w:t>
            </w:r>
          </w:p>
          <w:p w14:paraId="330E09A6">
            <w:pPr>
              <w:pStyle w:val="207"/>
              <w:numPr>
                <w:ilvl w:val="0"/>
                <w:numId w:val="69"/>
              </w:numPr>
              <w:adjustRightInd w:val="0"/>
              <w:snapToGrid w:val="0"/>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导线与插座、开关连接处应牢固可靠，螺丝压紧无松动，面板完好无损；</w:t>
            </w:r>
          </w:p>
          <w:p w14:paraId="6A8FB016">
            <w:pPr>
              <w:pStyle w:val="207"/>
              <w:numPr>
                <w:ilvl w:val="0"/>
                <w:numId w:val="0"/>
              </w:numPr>
              <w:adjustRightInd w:val="0"/>
              <w:snapToGrid w:val="0"/>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b）在潮湿场所，应采用具有防溅电器附件的插座，安装高度距地不应低于1.5m；</w:t>
            </w:r>
          </w:p>
          <w:p w14:paraId="3B82FCB1">
            <w:pPr>
              <w:pStyle w:val="207"/>
              <w:adjustRightInd w:val="0"/>
              <w:snapToGrid w:val="0"/>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c）地面安装的插座保护盖板固定牢靠，密封严实；</w:t>
            </w:r>
          </w:p>
          <w:p w14:paraId="3A0B2589">
            <w:pPr>
              <w:pStyle w:val="207"/>
              <w:adjustRightInd w:val="0"/>
              <w:snapToGrid w:val="0"/>
              <w:ind w:right="0" w:rightChars="0"/>
              <w:jc w:val="left"/>
              <w:rPr>
                <w:rFonts w:ascii="宋体" w:hAnsi="宋体" w:eastAsia="宋体"/>
                <w:spacing w:val="0"/>
                <w:kern w:val="2"/>
                <w:sz w:val="18"/>
                <w:szCs w:val="18"/>
              </w:rPr>
            </w:pPr>
            <w:r>
              <w:rPr>
                <w:rFonts w:hint="eastAsia" w:ascii="宋体" w:hAnsi="宋体" w:eastAsia="宋体"/>
                <w:spacing w:val="0"/>
                <w:kern w:val="2"/>
                <w:sz w:val="18"/>
                <w:szCs w:val="18"/>
              </w:rPr>
              <w:t>d）插座及其电源线靠近可燃物时，应采取隔热、散热等防火保护措施。</w:t>
            </w:r>
          </w:p>
          <w:p w14:paraId="5A5D20C9">
            <w:pPr>
              <w:pStyle w:val="207"/>
              <w:adjustRightInd w:val="0"/>
              <w:snapToGrid w:val="0"/>
              <w:ind w:right="0" w:rightChars="0"/>
              <w:jc w:val="left"/>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lang w:val="en-US" w:eastAsia="zh-CN"/>
              </w:rPr>
              <w:t>e</w:t>
            </w:r>
            <w:r>
              <w:rPr>
                <w:rFonts w:hint="eastAsia" w:ascii="宋体" w:hAnsi="宋体" w:eastAsia="宋体"/>
                <w:spacing w:val="0"/>
                <w:kern w:val="2"/>
                <w:sz w:val="18"/>
                <w:szCs w:val="18"/>
              </w:rPr>
              <w:t>）插头不应与带电极数不同的插座相互插合（如单相与三相插头插座）。</w:t>
            </w:r>
          </w:p>
        </w:tc>
        <w:tc>
          <w:tcPr>
            <w:tcW w:w="0" w:type="auto"/>
            <w:shd w:val="clear"/>
            <w:vAlign w:val="center"/>
          </w:tcPr>
          <w:p w14:paraId="452AC25C">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14B92F0A">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5C2CB1D0">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2</w:t>
            </w:r>
          </w:p>
        </w:tc>
        <w:tc>
          <w:tcPr>
            <w:tcW w:w="0" w:type="auto"/>
            <w:shd w:val="clear"/>
            <w:vAlign w:val="center"/>
          </w:tcPr>
          <w:p w14:paraId="2BE7F9C6">
            <w:pPr>
              <w:widowControl/>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一处不符合，不得分。</w:t>
            </w:r>
          </w:p>
        </w:tc>
        <w:tc>
          <w:tcPr>
            <w:tcW w:w="0" w:type="auto"/>
            <w:shd w:val="clear"/>
            <w:vAlign w:val="center"/>
          </w:tcPr>
          <w:p w14:paraId="5EAF109D">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46D2A8FC">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2473584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4D368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7" w:hRule="exact"/>
          <w:tblHeader/>
        </w:trPr>
        <w:tc>
          <w:tcPr>
            <w:tcW w:w="0" w:type="auto"/>
            <w:shd w:val="clear"/>
            <w:vAlign w:val="center"/>
          </w:tcPr>
          <w:p w14:paraId="4F20C806">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6.2.6.</w:t>
            </w:r>
            <w:r>
              <w:rPr>
                <w:rFonts w:hint="eastAsia" w:ascii="宋体" w:hAnsi="宋体"/>
                <w:bCs/>
                <w:sz w:val="18"/>
                <w:szCs w:val="18"/>
                <w:lang w:val="en-US" w:eastAsia="zh-CN"/>
              </w:rPr>
              <w:t>4</w:t>
            </w:r>
          </w:p>
        </w:tc>
        <w:tc>
          <w:tcPr>
            <w:tcW w:w="0" w:type="auto"/>
            <w:shd w:val="clear"/>
            <w:vAlign w:val="center"/>
          </w:tcPr>
          <w:p w14:paraId="62FA3837">
            <w:pPr>
              <w:pStyle w:val="207"/>
              <w:adjustRightInd w:val="0"/>
              <w:snapToGrid w:val="0"/>
              <w:ind w:right="0" w:rightChars="0"/>
              <w:rPr>
                <w:rFonts w:hint="eastAsia" w:ascii="宋体" w:hAnsi="宋体" w:eastAsia="宋体"/>
                <w:spacing w:val="0"/>
                <w:kern w:val="2"/>
                <w:sz w:val="18"/>
                <w:szCs w:val="18"/>
              </w:rPr>
            </w:pPr>
            <w:r>
              <w:rPr>
                <w:rFonts w:hint="eastAsia" w:ascii="宋体" w:hAnsi="宋体" w:eastAsia="宋体"/>
                <w:spacing w:val="0"/>
                <w:kern w:val="2"/>
                <w:sz w:val="18"/>
                <w:szCs w:val="18"/>
              </w:rPr>
              <w:t>移动式插座的使用应符合下列要求：</w:t>
            </w:r>
          </w:p>
          <w:p w14:paraId="1A32EB7E">
            <w:pPr>
              <w:pStyle w:val="207"/>
              <w:adjustRightInd w:val="0"/>
              <w:snapToGrid w:val="0"/>
              <w:ind w:right="0" w:rightChars="0"/>
              <w:rPr>
                <w:rFonts w:hint="eastAsia" w:ascii="宋体" w:hAnsi="宋体" w:eastAsia="宋体"/>
                <w:spacing w:val="0"/>
                <w:kern w:val="2"/>
                <w:sz w:val="18"/>
                <w:szCs w:val="18"/>
              </w:rPr>
            </w:pPr>
            <w:r>
              <w:rPr>
                <w:rFonts w:hint="eastAsia" w:ascii="宋体" w:hAnsi="宋体" w:eastAsia="宋体"/>
                <w:spacing w:val="0"/>
                <w:kern w:val="2"/>
                <w:sz w:val="18"/>
                <w:szCs w:val="18"/>
              </w:rPr>
              <w:t>a）多功能移动插座电源线应采用铜芯电缆或护套软线，绝缘无磨损，导线无外露现象；</w:t>
            </w:r>
          </w:p>
          <w:p w14:paraId="55DFF5AE">
            <w:pPr>
              <w:pStyle w:val="207"/>
              <w:adjustRightInd w:val="0"/>
              <w:snapToGrid w:val="0"/>
              <w:ind w:right="0" w:rightChars="0"/>
              <w:rPr>
                <w:rFonts w:hint="eastAsia" w:ascii="宋体" w:hAnsi="宋体" w:eastAsia="宋体"/>
                <w:spacing w:val="0"/>
                <w:kern w:val="2"/>
                <w:sz w:val="18"/>
                <w:szCs w:val="18"/>
              </w:rPr>
            </w:pPr>
            <w:r>
              <w:rPr>
                <w:rFonts w:hint="eastAsia" w:ascii="宋体" w:hAnsi="宋体" w:eastAsia="宋体"/>
                <w:spacing w:val="0"/>
                <w:kern w:val="2"/>
                <w:sz w:val="18"/>
                <w:szCs w:val="18"/>
              </w:rPr>
              <w:t>b）应具有保护接地线（PE线）；</w:t>
            </w:r>
          </w:p>
          <w:p w14:paraId="7EBA1109">
            <w:pPr>
              <w:pStyle w:val="207"/>
              <w:adjustRightInd w:val="0"/>
              <w:snapToGrid w:val="0"/>
              <w:ind w:right="0" w:rightChars="0"/>
              <w:rPr>
                <w:rFonts w:hint="eastAsia" w:ascii="宋体" w:hAnsi="宋体" w:eastAsia="宋体" w:cs="Times New Roman"/>
                <w:spacing w:val="0"/>
                <w:kern w:val="2"/>
                <w:sz w:val="18"/>
                <w:szCs w:val="18"/>
                <w:lang w:val="en-US" w:eastAsia="zh-CN" w:bidi="ar-SA"/>
              </w:rPr>
            </w:pPr>
            <w:r>
              <w:rPr>
                <w:rFonts w:hint="eastAsia" w:ascii="宋体" w:hAnsi="宋体" w:eastAsia="宋体"/>
                <w:spacing w:val="0"/>
                <w:kern w:val="2"/>
                <w:sz w:val="18"/>
                <w:szCs w:val="18"/>
              </w:rPr>
              <w:t>c）不应放置在可燃物上或被可燃物覆盖；</w:t>
            </w:r>
          </w:p>
        </w:tc>
        <w:tc>
          <w:tcPr>
            <w:tcW w:w="0" w:type="auto"/>
            <w:shd w:val="clear"/>
            <w:vAlign w:val="center"/>
          </w:tcPr>
          <w:p w14:paraId="3C88BE32">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57751166">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6C54F481">
            <w:pPr>
              <w:widowControl/>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w:t>
            </w:r>
          </w:p>
        </w:tc>
        <w:tc>
          <w:tcPr>
            <w:tcW w:w="0" w:type="auto"/>
            <w:shd w:val="clear"/>
            <w:vAlign w:val="center"/>
          </w:tcPr>
          <w:p w14:paraId="7E5EBDB8">
            <w:pPr>
              <w:widowControl/>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w:t>
            </w:r>
            <w:r>
              <w:rPr>
                <w:rFonts w:hint="eastAsia" w:ascii="宋体" w:hAnsi="宋体"/>
                <w:bCs/>
                <w:sz w:val="18"/>
                <w:szCs w:val="18"/>
                <w:lang w:val="en-US" w:eastAsia="zh-CN"/>
              </w:rPr>
              <w:t>扣2分</w:t>
            </w:r>
            <w:r>
              <w:rPr>
                <w:rFonts w:hint="eastAsia" w:ascii="宋体" w:hAnsi="宋体"/>
                <w:bCs/>
                <w:sz w:val="18"/>
                <w:szCs w:val="18"/>
              </w:rPr>
              <w:t>。</w:t>
            </w:r>
          </w:p>
        </w:tc>
        <w:tc>
          <w:tcPr>
            <w:tcW w:w="0" w:type="auto"/>
            <w:shd w:val="clear"/>
            <w:vAlign w:val="center"/>
          </w:tcPr>
          <w:p w14:paraId="6BCF045A">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6AC50978">
            <w:pPr>
              <w:adjustRightInd w:val="0"/>
              <w:snapToGrid w:val="0"/>
              <w:jc w:val="center"/>
              <w:rPr>
                <w:rFonts w:hint="eastAsia" w:ascii="宋体" w:hAnsi="宋体" w:eastAsia="宋体" w:cs="Times New Roman"/>
                <w:bCs/>
                <w:kern w:val="2"/>
                <w:sz w:val="18"/>
                <w:szCs w:val="18"/>
                <w:lang w:val="en-US" w:eastAsia="zh-CN" w:bidi="ar-SA"/>
              </w:rPr>
            </w:pPr>
          </w:p>
        </w:tc>
        <w:tc>
          <w:tcPr>
            <w:tcW w:w="0" w:type="auto"/>
            <w:shd w:val="clear"/>
            <w:vAlign w:val="center"/>
          </w:tcPr>
          <w:p w14:paraId="7CDAD20D">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bl>
    <w:p w14:paraId="1DE1C25D">
      <w:pPr>
        <w:rPr>
          <w:rFonts w:hint="eastAsia" w:ascii="黑体" w:hAnsi="Times New Roman" w:eastAsia="黑体" w:cs="Times New Roman"/>
          <w:kern w:val="2"/>
          <w:sz w:val="21"/>
          <w:szCs w:val="21"/>
          <w:lang w:val="en-US" w:eastAsia="zh-CN" w:bidi="ar-SA"/>
        </w:rPr>
      </w:pPr>
      <w:r>
        <w:rPr>
          <w:rFonts w:hint="eastAsia" w:ascii="黑体" w:hAnsi="Times New Roman" w:eastAsia="黑体" w:cs="Times New Roman"/>
          <w:kern w:val="2"/>
          <w:sz w:val="21"/>
          <w:szCs w:val="21"/>
          <w:lang w:val="en-US" w:eastAsia="zh-CN" w:bidi="ar-SA"/>
        </w:rPr>
        <w:br w:type="page"/>
      </w:r>
    </w:p>
    <w:p w14:paraId="465D05A0">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.1　</w:t>
      </w:r>
      <w:r>
        <w:rPr>
          <w:rFonts w:hint="eastAsia"/>
        </w:rPr>
        <w:t>用电要素的安全生产等级评定细则</w:t>
      </w:r>
      <w:r>
        <w:rPr>
          <w:rFonts w:hint="eastAsia" w:ascii="宋体" w:hAnsi="宋体" w:eastAsia="宋体"/>
        </w:rPr>
        <w:t>（续）</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6885"/>
        <w:gridCol w:w="626"/>
        <w:gridCol w:w="626"/>
        <w:gridCol w:w="596"/>
        <w:gridCol w:w="2063"/>
        <w:gridCol w:w="626"/>
        <w:gridCol w:w="1845"/>
        <w:gridCol w:w="1127"/>
      </w:tblGrid>
      <w:tr w14:paraId="3EDAF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9" w:type="dxa"/>
            <w:noWrap w:val="0"/>
            <w:vAlign w:val="center"/>
          </w:tcPr>
          <w:p w14:paraId="03153D18">
            <w:pPr>
              <w:adjustRightInd w:val="0"/>
              <w:snapToGrid w:val="0"/>
              <w:jc w:val="center"/>
              <w:rPr>
                <w:rFonts w:ascii="宋体" w:hAnsi="宋体"/>
                <w:bCs/>
                <w:sz w:val="18"/>
                <w:szCs w:val="18"/>
              </w:rPr>
            </w:pPr>
            <w:r>
              <w:rPr>
                <w:rFonts w:ascii="宋体" w:hAnsi="宋体"/>
                <w:bCs/>
                <w:sz w:val="18"/>
                <w:szCs w:val="18"/>
              </w:rPr>
              <w:t>序号</w:t>
            </w:r>
          </w:p>
        </w:tc>
        <w:tc>
          <w:tcPr>
            <w:tcW w:w="6885" w:type="dxa"/>
            <w:noWrap w:val="0"/>
            <w:vAlign w:val="center"/>
          </w:tcPr>
          <w:p w14:paraId="307ADCFD">
            <w:pPr>
              <w:adjustRightInd w:val="0"/>
              <w:snapToGrid w:val="0"/>
              <w:jc w:val="center"/>
              <w:rPr>
                <w:rFonts w:ascii="宋体" w:hAnsi="宋体"/>
                <w:bCs/>
                <w:sz w:val="18"/>
                <w:szCs w:val="18"/>
              </w:rPr>
            </w:pPr>
            <w:r>
              <w:rPr>
                <w:rFonts w:ascii="宋体" w:hAnsi="宋体"/>
                <w:bCs/>
                <w:sz w:val="18"/>
                <w:szCs w:val="18"/>
              </w:rPr>
              <w:t>评定内容</w:t>
            </w:r>
          </w:p>
        </w:tc>
        <w:tc>
          <w:tcPr>
            <w:tcW w:w="626" w:type="dxa"/>
            <w:noWrap w:val="0"/>
            <w:vAlign w:val="center"/>
          </w:tcPr>
          <w:p w14:paraId="1A1753AF">
            <w:pPr>
              <w:adjustRightInd w:val="0"/>
              <w:snapToGrid w:val="0"/>
              <w:jc w:val="center"/>
              <w:rPr>
                <w:rFonts w:ascii="宋体" w:hAnsi="宋体"/>
                <w:bCs/>
                <w:sz w:val="18"/>
                <w:szCs w:val="18"/>
              </w:rPr>
            </w:pPr>
            <w:r>
              <w:rPr>
                <w:rFonts w:hint="eastAsia" w:ascii="宋体" w:hAnsi="宋体"/>
                <w:bCs/>
                <w:sz w:val="18"/>
                <w:szCs w:val="18"/>
              </w:rPr>
              <w:t>评定要素分值</w:t>
            </w:r>
          </w:p>
        </w:tc>
        <w:tc>
          <w:tcPr>
            <w:tcW w:w="626" w:type="dxa"/>
            <w:noWrap w:val="0"/>
            <w:vAlign w:val="center"/>
          </w:tcPr>
          <w:p w14:paraId="72D39AA4">
            <w:pPr>
              <w:adjustRightInd w:val="0"/>
              <w:snapToGrid w:val="0"/>
              <w:jc w:val="center"/>
              <w:rPr>
                <w:rFonts w:ascii="宋体" w:hAnsi="宋体"/>
                <w:bCs/>
                <w:sz w:val="18"/>
                <w:szCs w:val="18"/>
              </w:rPr>
            </w:pPr>
            <w:r>
              <w:rPr>
                <w:rFonts w:hint="eastAsia" w:ascii="宋体" w:hAnsi="宋体"/>
                <w:bCs/>
                <w:sz w:val="18"/>
                <w:szCs w:val="18"/>
              </w:rPr>
              <w:t>评定细项分值</w:t>
            </w:r>
          </w:p>
        </w:tc>
        <w:tc>
          <w:tcPr>
            <w:tcW w:w="596" w:type="dxa"/>
            <w:noWrap w:val="0"/>
            <w:vAlign w:val="center"/>
          </w:tcPr>
          <w:p w14:paraId="697904ED">
            <w:pPr>
              <w:adjustRightInd w:val="0"/>
              <w:snapToGrid w:val="0"/>
              <w:jc w:val="center"/>
              <w:rPr>
                <w:rFonts w:ascii="宋体" w:hAnsi="宋体"/>
                <w:bCs/>
                <w:sz w:val="18"/>
                <w:szCs w:val="18"/>
              </w:rPr>
            </w:pPr>
            <w:r>
              <w:rPr>
                <w:rFonts w:hint="eastAsia" w:ascii="宋体" w:hAnsi="宋体"/>
                <w:bCs/>
                <w:sz w:val="18"/>
                <w:szCs w:val="18"/>
              </w:rPr>
              <w:t>评定条款分值</w:t>
            </w:r>
          </w:p>
        </w:tc>
        <w:tc>
          <w:tcPr>
            <w:tcW w:w="2063" w:type="dxa"/>
            <w:noWrap w:val="0"/>
            <w:vAlign w:val="center"/>
          </w:tcPr>
          <w:p w14:paraId="2A5D9FB4">
            <w:pPr>
              <w:adjustRightInd w:val="0"/>
              <w:snapToGrid w:val="0"/>
              <w:jc w:val="center"/>
              <w:rPr>
                <w:rFonts w:ascii="宋体" w:hAnsi="宋体"/>
                <w:bCs/>
                <w:sz w:val="18"/>
                <w:szCs w:val="18"/>
              </w:rPr>
            </w:pPr>
            <w:r>
              <w:rPr>
                <w:rFonts w:ascii="宋体" w:hAnsi="宋体"/>
                <w:bCs/>
                <w:sz w:val="18"/>
                <w:szCs w:val="18"/>
              </w:rPr>
              <w:t>评分标准</w:t>
            </w:r>
          </w:p>
        </w:tc>
        <w:tc>
          <w:tcPr>
            <w:tcW w:w="626" w:type="dxa"/>
            <w:noWrap w:val="0"/>
            <w:vAlign w:val="center"/>
          </w:tcPr>
          <w:p w14:paraId="68233307">
            <w:pPr>
              <w:adjustRightInd w:val="0"/>
              <w:snapToGrid w:val="0"/>
              <w:jc w:val="center"/>
              <w:rPr>
                <w:rFonts w:ascii="宋体" w:hAnsi="宋体"/>
                <w:bCs/>
                <w:sz w:val="18"/>
                <w:szCs w:val="18"/>
              </w:rPr>
            </w:pPr>
            <w:r>
              <w:rPr>
                <w:rFonts w:hint="eastAsia" w:ascii="宋体" w:hAnsi="宋体"/>
                <w:bCs/>
                <w:sz w:val="18"/>
                <w:szCs w:val="18"/>
              </w:rPr>
              <w:t>评定得分</w:t>
            </w:r>
          </w:p>
        </w:tc>
        <w:tc>
          <w:tcPr>
            <w:tcW w:w="1845" w:type="dxa"/>
            <w:noWrap w:val="0"/>
            <w:vAlign w:val="center"/>
          </w:tcPr>
          <w:p w14:paraId="0125A020">
            <w:pPr>
              <w:adjustRightInd w:val="0"/>
              <w:snapToGrid w:val="0"/>
              <w:jc w:val="center"/>
              <w:rPr>
                <w:rFonts w:ascii="宋体" w:hAnsi="宋体"/>
                <w:bCs/>
                <w:sz w:val="18"/>
                <w:szCs w:val="18"/>
              </w:rPr>
            </w:pPr>
            <w:r>
              <w:rPr>
                <w:rFonts w:hint="eastAsia" w:ascii="宋体" w:hAnsi="宋体"/>
                <w:bCs/>
                <w:sz w:val="18"/>
                <w:szCs w:val="18"/>
              </w:rPr>
              <w:t>扣分说明</w:t>
            </w:r>
          </w:p>
        </w:tc>
        <w:tc>
          <w:tcPr>
            <w:tcW w:w="1127" w:type="dxa"/>
            <w:noWrap w:val="0"/>
            <w:vAlign w:val="center"/>
          </w:tcPr>
          <w:p w14:paraId="71161FE4">
            <w:pPr>
              <w:adjustRightInd w:val="0"/>
              <w:snapToGrid w:val="0"/>
              <w:jc w:val="center"/>
              <w:rPr>
                <w:rFonts w:ascii="宋体" w:hAnsi="宋体"/>
                <w:bCs/>
                <w:sz w:val="18"/>
                <w:szCs w:val="18"/>
              </w:rPr>
            </w:pPr>
            <w:r>
              <w:rPr>
                <w:rFonts w:ascii="宋体" w:hAnsi="宋体"/>
                <w:bCs/>
                <w:sz w:val="18"/>
                <w:szCs w:val="18"/>
              </w:rPr>
              <w:t>对应条款编号</w:t>
            </w:r>
          </w:p>
        </w:tc>
      </w:tr>
      <w:tr w14:paraId="6A99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9" w:type="dxa"/>
            <w:noWrap w:val="0"/>
            <w:vAlign w:val="center"/>
          </w:tcPr>
          <w:p w14:paraId="7B2F2F75">
            <w:pPr>
              <w:widowControl/>
              <w:jc w:val="center"/>
              <w:rPr>
                <w:rFonts w:hint="eastAsia" w:ascii="宋体" w:hAnsi="宋体" w:eastAsia="宋体"/>
                <w:bCs/>
                <w:sz w:val="18"/>
                <w:szCs w:val="18"/>
                <w:lang w:eastAsia="zh-CN"/>
              </w:rPr>
            </w:pPr>
          </w:p>
        </w:tc>
        <w:tc>
          <w:tcPr>
            <w:tcW w:w="6885" w:type="dxa"/>
            <w:noWrap w:val="0"/>
            <w:vAlign w:val="center"/>
          </w:tcPr>
          <w:p w14:paraId="4B828CCE">
            <w:pPr>
              <w:pStyle w:val="207"/>
              <w:adjustRightInd w:val="0"/>
              <w:snapToGrid w:val="0"/>
              <w:ind w:right="0" w:rightChars="0"/>
              <w:rPr>
                <w:rFonts w:hint="eastAsia" w:ascii="宋体" w:hAnsi="宋体" w:eastAsia="宋体"/>
                <w:spacing w:val="0"/>
                <w:kern w:val="2"/>
                <w:sz w:val="18"/>
                <w:szCs w:val="18"/>
              </w:rPr>
            </w:pPr>
            <w:r>
              <w:rPr>
                <w:rFonts w:hint="eastAsia" w:ascii="宋体" w:hAnsi="宋体" w:eastAsia="宋体"/>
                <w:spacing w:val="0"/>
                <w:kern w:val="2"/>
                <w:sz w:val="18"/>
                <w:szCs w:val="18"/>
              </w:rPr>
              <w:t>d）不应串接使用；</w:t>
            </w:r>
          </w:p>
          <w:p w14:paraId="23189AE5">
            <w:pPr>
              <w:pStyle w:val="207"/>
              <w:adjustRightInd w:val="0"/>
              <w:snapToGrid w:val="0"/>
              <w:ind w:right="0" w:rightChars="0"/>
              <w:rPr>
                <w:rFonts w:hint="eastAsia" w:ascii="宋体" w:hAnsi="宋体" w:eastAsia="宋体"/>
                <w:spacing w:val="0"/>
                <w:kern w:val="2"/>
                <w:sz w:val="18"/>
                <w:szCs w:val="18"/>
              </w:rPr>
            </w:pPr>
            <w:r>
              <w:rPr>
                <w:rFonts w:hint="eastAsia" w:ascii="宋体" w:hAnsi="宋体" w:eastAsia="宋体"/>
                <w:spacing w:val="0"/>
                <w:kern w:val="2"/>
                <w:sz w:val="18"/>
                <w:szCs w:val="18"/>
              </w:rPr>
              <w:t>e）不应超负荷使用；</w:t>
            </w:r>
          </w:p>
          <w:p w14:paraId="5A6F40BA">
            <w:pPr>
              <w:pStyle w:val="207"/>
              <w:adjustRightInd w:val="0"/>
              <w:snapToGrid w:val="0"/>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f）插孔的双头插头和三头插头应分开。</w:t>
            </w:r>
          </w:p>
        </w:tc>
        <w:tc>
          <w:tcPr>
            <w:tcW w:w="626" w:type="dxa"/>
            <w:noWrap w:val="0"/>
            <w:vAlign w:val="center"/>
          </w:tcPr>
          <w:p w14:paraId="496D087F">
            <w:pPr>
              <w:adjustRightInd w:val="0"/>
              <w:snapToGrid w:val="0"/>
              <w:jc w:val="center"/>
              <w:rPr>
                <w:rFonts w:hint="eastAsia" w:ascii="宋体" w:hAnsi="宋体"/>
                <w:bCs/>
                <w:sz w:val="18"/>
                <w:szCs w:val="18"/>
              </w:rPr>
            </w:pPr>
          </w:p>
        </w:tc>
        <w:tc>
          <w:tcPr>
            <w:tcW w:w="626" w:type="dxa"/>
            <w:noWrap w:val="0"/>
            <w:vAlign w:val="center"/>
          </w:tcPr>
          <w:p w14:paraId="7FEE0EB6">
            <w:pPr>
              <w:adjustRightInd w:val="0"/>
              <w:snapToGrid w:val="0"/>
              <w:jc w:val="center"/>
              <w:rPr>
                <w:rFonts w:hint="eastAsia" w:ascii="宋体" w:hAnsi="宋体"/>
                <w:bCs/>
                <w:sz w:val="18"/>
                <w:szCs w:val="18"/>
              </w:rPr>
            </w:pPr>
          </w:p>
        </w:tc>
        <w:tc>
          <w:tcPr>
            <w:tcW w:w="596" w:type="dxa"/>
            <w:noWrap w:val="0"/>
            <w:vAlign w:val="center"/>
          </w:tcPr>
          <w:p w14:paraId="386048FF">
            <w:pPr>
              <w:widowControl/>
              <w:jc w:val="center"/>
              <w:rPr>
                <w:rFonts w:hint="eastAsia" w:ascii="宋体" w:hAnsi="宋体" w:eastAsia="宋体"/>
                <w:bCs/>
                <w:sz w:val="18"/>
                <w:szCs w:val="18"/>
                <w:lang w:eastAsia="zh-CN"/>
              </w:rPr>
            </w:pPr>
          </w:p>
        </w:tc>
        <w:tc>
          <w:tcPr>
            <w:tcW w:w="2063" w:type="dxa"/>
            <w:noWrap w:val="0"/>
            <w:vAlign w:val="center"/>
          </w:tcPr>
          <w:p w14:paraId="4491F770">
            <w:pPr>
              <w:widowControl/>
              <w:jc w:val="left"/>
              <w:rPr>
                <w:rFonts w:hint="eastAsia" w:ascii="宋体" w:hAnsi="宋体"/>
                <w:bCs/>
                <w:sz w:val="18"/>
                <w:szCs w:val="18"/>
              </w:rPr>
            </w:pPr>
          </w:p>
        </w:tc>
        <w:tc>
          <w:tcPr>
            <w:tcW w:w="626" w:type="dxa"/>
            <w:noWrap w:val="0"/>
            <w:vAlign w:val="center"/>
          </w:tcPr>
          <w:p w14:paraId="4E07BDA7">
            <w:pPr>
              <w:adjustRightInd w:val="0"/>
              <w:snapToGrid w:val="0"/>
              <w:jc w:val="center"/>
              <w:rPr>
                <w:rFonts w:hint="eastAsia" w:ascii="宋体" w:hAnsi="宋体"/>
                <w:bCs/>
                <w:sz w:val="18"/>
                <w:szCs w:val="18"/>
              </w:rPr>
            </w:pPr>
          </w:p>
        </w:tc>
        <w:tc>
          <w:tcPr>
            <w:tcW w:w="1845" w:type="dxa"/>
            <w:noWrap w:val="0"/>
            <w:vAlign w:val="center"/>
          </w:tcPr>
          <w:p w14:paraId="38BF18A8">
            <w:pPr>
              <w:adjustRightInd w:val="0"/>
              <w:snapToGrid w:val="0"/>
              <w:jc w:val="center"/>
              <w:rPr>
                <w:rFonts w:hint="eastAsia" w:ascii="宋体" w:hAnsi="宋体"/>
                <w:bCs/>
                <w:sz w:val="18"/>
                <w:szCs w:val="18"/>
              </w:rPr>
            </w:pPr>
          </w:p>
        </w:tc>
        <w:tc>
          <w:tcPr>
            <w:tcW w:w="1127" w:type="dxa"/>
            <w:noWrap w:val="0"/>
            <w:vAlign w:val="center"/>
          </w:tcPr>
          <w:p w14:paraId="74CED854">
            <w:pPr>
              <w:adjustRightInd w:val="0"/>
              <w:snapToGrid w:val="0"/>
              <w:jc w:val="center"/>
              <w:rPr>
                <w:rFonts w:hint="eastAsia" w:ascii="宋体" w:hAnsi="宋体" w:eastAsia="宋体"/>
                <w:bCs/>
                <w:sz w:val="18"/>
                <w:szCs w:val="18"/>
                <w:lang w:eastAsia="zh-CN"/>
              </w:rPr>
            </w:pPr>
          </w:p>
        </w:tc>
      </w:tr>
      <w:tr w14:paraId="4E0F6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959" w:type="dxa"/>
            <w:noWrap w:val="0"/>
            <w:vAlign w:val="center"/>
          </w:tcPr>
          <w:p w14:paraId="5A19D619">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sz w:val="18"/>
                <w:szCs w:val="18"/>
              </w:rPr>
              <w:t>6.2.7</w:t>
            </w:r>
          </w:p>
        </w:tc>
        <w:tc>
          <w:tcPr>
            <w:tcW w:w="6885" w:type="dxa"/>
            <w:noWrap w:val="0"/>
            <w:vAlign w:val="center"/>
          </w:tcPr>
          <w:p w14:paraId="06BD488B">
            <w:pPr>
              <w:pStyle w:val="207"/>
              <w:adjustRightInd w:val="0"/>
              <w:spacing w:line="240" w:lineRule="exact"/>
              <w:ind w:right="0" w:rightChars="0"/>
              <w:jc w:val="left"/>
              <w:rPr>
                <w:rFonts w:hint="eastAsia" w:ascii="宋体" w:hAnsi="宋体" w:eastAsia="宋体"/>
                <w:spacing w:val="0"/>
                <w:kern w:val="2"/>
                <w:sz w:val="18"/>
                <w:szCs w:val="18"/>
              </w:rPr>
            </w:pPr>
            <w:r>
              <w:rPr>
                <w:rFonts w:hint="eastAsia" w:ascii="宋体" w:hAnsi="宋体" w:eastAsia="宋体"/>
                <w:spacing w:val="0"/>
                <w:kern w:val="2"/>
                <w:sz w:val="18"/>
                <w:szCs w:val="18"/>
              </w:rPr>
              <w:t>水中设备电气和照明应符合下列要求：</w:t>
            </w:r>
          </w:p>
          <w:p w14:paraId="22D3D051">
            <w:pPr>
              <w:snapToGrid w:val="0"/>
              <w:rPr>
                <w:highlight w:val="none"/>
              </w:rPr>
            </w:pPr>
            <w:r>
              <w:rPr>
                <w:rFonts w:ascii="宋体" w:hAnsi="宋体" w:eastAsia="宋体"/>
                <w:spacing w:val="0"/>
                <w:kern w:val="2"/>
                <w:sz w:val="18"/>
                <w:szCs w:val="18"/>
              </w:rPr>
              <w:t>a</w:t>
            </w:r>
            <w:r>
              <w:rPr>
                <w:rFonts w:hint="eastAsia" w:ascii="宋体" w:hAnsi="宋体" w:eastAsia="宋体"/>
                <w:spacing w:val="0"/>
                <w:kern w:val="2"/>
                <w:sz w:val="18"/>
                <w:szCs w:val="18"/>
                <w:highlight w:val="none"/>
              </w:rPr>
              <w:t>）游泳池及各种水中的照明灯具应为防触电保护的Ⅲ类灯具，其内部和外部线路的工作电压应不超过12 V；</w:t>
            </w:r>
          </w:p>
          <w:p w14:paraId="356E7703">
            <w:pPr>
              <w:pStyle w:val="207"/>
              <w:adjustRightInd w:val="0"/>
              <w:snapToGrid w:val="0"/>
              <w:spacing w:line="240" w:lineRule="auto"/>
              <w:ind w:right="0" w:rightChars="0"/>
              <w:jc w:val="left"/>
              <w:rPr>
                <w:rFonts w:hint="default" w:ascii="宋体" w:hAnsi="宋体" w:eastAsia="宋体"/>
                <w:spacing w:val="0"/>
                <w:kern w:val="2"/>
                <w:sz w:val="18"/>
                <w:szCs w:val="18"/>
                <w:lang w:val="en-US" w:eastAsia="zh-CN"/>
              </w:rPr>
            </w:pPr>
            <w:r>
              <w:rPr>
                <w:rFonts w:hint="eastAsia" w:ascii="宋体" w:hAnsi="宋体" w:eastAsia="宋体"/>
                <w:spacing w:val="0"/>
                <w:kern w:val="2"/>
                <w:sz w:val="18"/>
                <w:szCs w:val="18"/>
                <w:highlight w:val="none"/>
                <w:lang w:val="en-US" w:eastAsia="zh-CN"/>
              </w:rPr>
              <w:t>b</w:t>
            </w:r>
            <w:r>
              <w:rPr>
                <w:rFonts w:hint="eastAsia" w:ascii="宋体" w:hAnsi="宋体" w:eastAsia="宋体"/>
                <w:spacing w:val="0"/>
                <w:kern w:val="2"/>
                <w:sz w:val="18"/>
                <w:szCs w:val="18"/>
                <w:highlight w:val="none"/>
              </w:rPr>
              <w:t>）游泳池及各种水中的照明灯具防水和防尘等级与池、槽的水接触时应为加压水密型（IP</w:t>
            </w:r>
            <w:r>
              <w:rPr>
                <w:rFonts w:hint="eastAsia" w:ascii="宋体" w:hAnsi="宋体" w:eastAsia="宋体"/>
                <w:spacing w:val="0"/>
                <w:kern w:val="2"/>
                <w:sz w:val="18"/>
                <w:szCs w:val="18"/>
                <w:highlight w:val="none"/>
                <w:lang w:val="en-US" w:eastAsia="zh-CN"/>
              </w:rPr>
              <w:t>X</w:t>
            </w:r>
            <w:r>
              <w:rPr>
                <w:rFonts w:hint="eastAsia" w:ascii="宋体" w:hAnsi="宋体" w:eastAsia="宋体"/>
                <w:spacing w:val="0"/>
                <w:kern w:val="2"/>
                <w:sz w:val="18"/>
                <w:szCs w:val="18"/>
                <w:highlight w:val="none"/>
              </w:rPr>
              <w:t>8），不与池、槽的水接触时应至少为防尘和防溅型（IP54）；</w:t>
            </w:r>
          </w:p>
          <w:p w14:paraId="5EE6321D">
            <w:pPr>
              <w:pStyle w:val="207"/>
              <w:adjustRightInd w:val="0"/>
              <w:snapToGrid w:val="0"/>
              <w:spacing w:line="240" w:lineRule="auto"/>
              <w:ind w:right="0" w:rightChars="0"/>
              <w:jc w:val="left"/>
              <w:rPr>
                <w:rFonts w:hint="eastAsia" w:ascii="宋体" w:hAnsi="宋体" w:eastAsia="宋体" w:cs="Times New Roman"/>
                <w:bCs/>
                <w:spacing w:val="2"/>
                <w:kern w:val="0"/>
                <w:sz w:val="18"/>
                <w:szCs w:val="18"/>
                <w:lang w:val="en-US" w:eastAsia="zh-CN" w:bidi="ar-SA"/>
              </w:rPr>
            </w:pPr>
            <w:r>
              <w:rPr>
                <w:rFonts w:hint="eastAsia" w:ascii="宋体" w:hAnsi="宋体" w:eastAsia="宋体"/>
                <w:spacing w:val="0"/>
                <w:kern w:val="2"/>
                <w:sz w:val="18"/>
                <w:szCs w:val="18"/>
                <w:lang w:val="en-US" w:eastAsia="zh-CN"/>
              </w:rPr>
              <w:t>c</w:t>
            </w:r>
            <w:r>
              <w:rPr>
                <w:rFonts w:hint="eastAsia" w:ascii="宋体" w:hAnsi="宋体" w:eastAsia="宋体"/>
                <w:spacing w:val="0"/>
                <w:kern w:val="2"/>
                <w:sz w:val="18"/>
                <w:szCs w:val="18"/>
              </w:rPr>
              <w:t>）自电源引入灯具、电气设备的导管应采用绝缘导管，不应采用金属或有金属护层的导管。</w:t>
            </w:r>
          </w:p>
        </w:tc>
        <w:tc>
          <w:tcPr>
            <w:tcW w:w="626" w:type="dxa"/>
            <w:noWrap w:val="0"/>
            <w:vAlign w:val="center"/>
          </w:tcPr>
          <w:p w14:paraId="1BCA225E">
            <w:pPr>
              <w:adjustRightInd w:val="0"/>
              <w:snapToGrid w:val="0"/>
              <w:jc w:val="center"/>
              <w:rPr>
                <w:rFonts w:hint="eastAsia" w:ascii="宋体" w:hAnsi="宋体" w:eastAsia="宋体" w:cs="Times New Roman"/>
                <w:bCs/>
                <w:kern w:val="2"/>
                <w:sz w:val="18"/>
                <w:szCs w:val="18"/>
                <w:lang w:val="en-US" w:eastAsia="zh-CN" w:bidi="ar-SA"/>
              </w:rPr>
            </w:pPr>
          </w:p>
        </w:tc>
        <w:tc>
          <w:tcPr>
            <w:tcW w:w="626" w:type="dxa"/>
            <w:noWrap w:val="0"/>
            <w:vAlign w:val="center"/>
          </w:tcPr>
          <w:p w14:paraId="6C99C2D6">
            <w:pPr>
              <w:adjustRightInd w:val="0"/>
              <w:snapToGrid w:val="0"/>
              <w:jc w:val="center"/>
              <w:rPr>
                <w:rFonts w:hint="eastAsia" w:ascii="宋体" w:hAnsi="宋体" w:eastAsia="宋体" w:cs="Times New Roman"/>
                <w:bCs/>
                <w:kern w:val="2"/>
                <w:sz w:val="18"/>
                <w:szCs w:val="18"/>
                <w:lang w:val="en-US" w:eastAsia="zh-CN" w:bidi="ar-SA"/>
              </w:rPr>
            </w:pPr>
          </w:p>
        </w:tc>
        <w:tc>
          <w:tcPr>
            <w:tcW w:w="596" w:type="dxa"/>
            <w:noWrap w:val="0"/>
            <w:vAlign w:val="center"/>
          </w:tcPr>
          <w:p w14:paraId="7C3E0CDB">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5</w:t>
            </w:r>
          </w:p>
        </w:tc>
        <w:tc>
          <w:tcPr>
            <w:tcW w:w="2063" w:type="dxa"/>
            <w:noWrap w:val="0"/>
            <w:vAlign w:val="center"/>
          </w:tcPr>
          <w:p w14:paraId="66B8CE61">
            <w:pPr>
              <w:pStyle w:val="207"/>
              <w:numPr>
                <w:ilvl w:val="3"/>
                <w:numId w:val="0"/>
              </w:numPr>
              <w:adjustRightInd w:val="0"/>
              <w:snapToGrid w:val="0"/>
              <w:ind w:left="0" w:leftChars="0" w:right="-105" w:rightChars="0" w:firstLine="0" w:firstLineChars="0"/>
              <w:rPr>
                <w:rFonts w:hint="eastAsia" w:ascii="宋体" w:hAnsi="宋体" w:eastAsia="宋体" w:cs="Times New Roman"/>
                <w:spacing w:val="0"/>
                <w:kern w:val="2"/>
                <w:sz w:val="18"/>
                <w:szCs w:val="18"/>
                <w:lang w:val="en-US" w:eastAsia="zh-CN" w:bidi="ar-SA"/>
              </w:rPr>
            </w:pPr>
            <w:r>
              <w:rPr>
                <w:rFonts w:ascii="宋体" w:hAnsi="宋体" w:eastAsia="宋体"/>
                <w:bCs/>
                <w:sz w:val="18"/>
                <w:szCs w:val="18"/>
              </w:rPr>
              <w:t>一</w:t>
            </w:r>
            <w:r>
              <w:rPr>
                <w:rFonts w:hint="eastAsia" w:ascii="宋体" w:hAnsi="宋体" w:eastAsia="宋体"/>
                <w:sz w:val="18"/>
                <w:szCs w:val="18"/>
              </w:rPr>
              <w:t>处</w:t>
            </w:r>
            <w:r>
              <w:rPr>
                <w:rFonts w:ascii="宋体" w:hAnsi="宋体" w:eastAsia="宋体"/>
                <w:bCs/>
                <w:sz w:val="18"/>
                <w:szCs w:val="18"/>
              </w:rPr>
              <w:t>不符合扣</w:t>
            </w:r>
            <w:r>
              <w:rPr>
                <w:rFonts w:hint="eastAsia" w:ascii="宋体" w:hAnsi="宋体" w:eastAsia="宋体"/>
                <w:bCs/>
                <w:sz w:val="18"/>
                <w:szCs w:val="18"/>
              </w:rPr>
              <w:t>2分。</w:t>
            </w:r>
          </w:p>
        </w:tc>
        <w:tc>
          <w:tcPr>
            <w:tcW w:w="626" w:type="dxa"/>
            <w:noWrap w:val="0"/>
            <w:vAlign w:val="center"/>
          </w:tcPr>
          <w:p w14:paraId="5E1BE764">
            <w:pPr>
              <w:adjustRightInd w:val="0"/>
              <w:snapToGrid w:val="0"/>
              <w:jc w:val="center"/>
              <w:rPr>
                <w:rFonts w:hint="eastAsia" w:ascii="宋体" w:hAnsi="宋体" w:eastAsia="宋体" w:cs="Times New Roman"/>
                <w:bCs/>
                <w:kern w:val="2"/>
                <w:sz w:val="18"/>
                <w:szCs w:val="18"/>
                <w:lang w:val="en-US" w:eastAsia="zh-CN" w:bidi="ar-SA"/>
              </w:rPr>
            </w:pPr>
          </w:p>
        </w:tc>
        <w:tc>
          <w:tcPr>
            <w:tcW w:w="1845" w:type="dxa"/>
            <w:noWrap w:val="0"/>
            <w:vAlign w:val="center"/>
          </w:tcPr>
          <w:p w14:paraId="620C6D18">
            <w:pPr>
              <w:adjustRightInd w:val="0"/>
              <w:snapToGrid w:val="0"/>
              <w:jc w:val="center"/>
              <w:rPr>
                <w:rFonts w:hint="eastAsia" w:ascii="宋体" w:hAnsi="宋体" w:eastAsia="宋体" w:cs="Times New Roman"/>
                <w:bCs/>
                <w:kern w:val="2"/>
                <w:sz w:val="18"/>
                <w:szCs w:val="18"/>
                <w:lang w:val="en-US" w:eastAsia="zh-CN" w:bidi="ar-SA"/>
              </w:rPr>
            </w:pPr>
          </w:p>
        </w:tc>
        <w:tc>
          <w:tcPr>
            <w:tcW w:w="1127" w:type="dxa"/>
            <w:noWrap w:val="0"/>
            <w:vAlign w:val="center"/>
          </w:tcPr>
          <w:p w14:paraId="4A20A508">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eastAsia="zh-CN"/>
              </w:rPr>
              <w:t>4.6</w:t>
            </w:r>
            <w:r>
              <w:rPr>
                <w:rFonts w:hint="eastAsia" w:ascii="宋体" w:hAnsi="宋体"/>
                <w:bCs/>
                <w:sz w:val="18"/>
                <w:szCs w:val="18"/>
              </w:rPr>
              <w:t>.</w:t>
            </w:r>
            <w:r>
              <w:rPr>
                <w:rFonts w:hint="eastAsia" w:ascii="宋体" w:hAnsi="宋体"/>
                <w:bCs/>
                <w:sz w:val="18"/>
                <w:szCs w:val="18"/>
                <w:lang w:val="en-US" w:eastAsia="zh-CN"/>
              </w:rPr>
              <w:t>1</w:t>
            </w:r>
          </w:p>
        </w:tc>
      </w:tr>
      <w:tr w14:paraId="52B23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15353" w:type="dxa"/>
            <w:gridSpan w:val="9"/>
            <w:vAlign w:val="center"/>
          </w:tcPr>
          <w:p w14:paraId="20A03166">
            <w:pPr>
              <w:pStyle w:val="128"/>
              <w:rPr>
                <w:rFonts w:ascii="宋体" w:hAnsi="宋体"/>
                <w:bCs/>
                <w:sz w:val="18"/>
                <w:szCs w:val="18"/>
              </w:rPr>
            </w:pPr>
            <w:r>
              <w:rPr>
                <w:rFonts w:hint="eastAsia"/>
              </w:rPr>
              <w:t>二级否决条款用“★”予以标出。</w:t>
            </w:r>
          </w:p>
        </w:tc>
      </w:tr>
    </w:tbl>
    <w:p w14:paraId="0B0342C5">
      <w:pPr>
        <w:pStyle w:val="36"/>
        <w:ind w:firstLine="0" w:firstLineChars="0"/>
        <w:rPr>
          <w:rFonts w:hint="eastAsia"/>
        </w:rPr>
      </w:pPr>
      <w:r>
        <w:rPr>
          <w:rFonts w:hint="eastAsia" w:ascii="黑体" w:eastAsia="黑体"/>
          <w:lang w:val="en-US" w:eastAsia="zh-CN"/>
        </w:rPr>
        <w:t>G</w:t>
      </w:r>
      <w:r>
        <w:rPr>
          <w:rFonts w:hint="eastAsia" w:ascii="黑体" w:eastAsia="黑体"/>
        </w:rPr>
        <w:t xml:space="preserve">.2 </w:t>
      </w:r>
      <w:r>
        <w:rPr>
          <w:rFonts w:hint="eastAsia"/>
        </w:rPr>
        <w:t xml:space="preserve"> 表</w:t>
      </w:r>
      <w:r>
        <w:rPr>
          <w:rFonts w:hint="eastAsia"/>
          <w:lang w:val="en-US" w:eastAsia="zh-CN"/>
        </w:rPr>
        <w:t>G</w:t>
      </w:r>
      <w:r>
        <w:rPr>
          <w:rFonts w:hint="eastAsia"/>
        </w:rPr>
        <w:t>.2规定了安全工器具的试验项目和试验周期。</w:t>
      </w:r>
    </w:p>
    <w:p w14:paraId="0BA19788">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.2　</w:t>
      </w:r>
      <w:r>
        <w:rPr>
          <w:rFonts w:hint="eastAsia"/>
        </w:rPr>
        <w:t>安全工器具的试验项目和试验周期</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10"/>
        <w:gridCol w:w="4101"/>
        <w:gridCol w:w="5103"/>
        <w:gridCol w:w="4962"/>
      </w:tblGrid>
      <w:tr w14:paraId="7515D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5AFA500D">
            <w:pPr>
              <w:adjustRightInd w:val="0"/>
              <w:snapToGrid w:val="0"/>
              <w:jc w:val="center"/>
              <w:rPr>
                <w:rFonts w:ascii="宋体" w:hAnsi="宋体"/>
                <w:sz w:val="18"/>
                <w:szCs w:val="18"/>
              </w:rPr>
            </w:pPr>
            <w:r>
              <w:rPr>
                <w:rFonts w:hint="eastAsia" w:ascii="宋体" w:hAnsi="宋体"/>
                <w:sz w:val="18"/>
                <w:szCs w:val="18"/>
              </w:rPr>
              <w:t>序号</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668F9FBF">
            <w:pPr>
              <w:adjustRightInd w:val="0"/>
              <w:snapToGrid w:val="0"/>
              <w:jc w:val="center"/>
              <w:rPr>
                <w:rFonts w:ascii="宋体" w:hAnsi="宋体"/>
                <w:sz w:val="18"/>
                <w:szCs w:val="18"/>
              </w:rPr>
            </w:pPr>
            <w:r>
              <w:rPr>
                <w:rFonts w:hint="eastAsia" w:ascii="宋体" w:hAnsi="宋体"/>
                <w:sz w:val="18"/>
                <w:szCs w:val="18"/>
              </w:rPr>
              <w:t>器具</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35509E3D">
            <w:pPr>
              <w:adjustRightInd w:val="0"/>
              <w:snapToGrid w:val="0"/>
              <w:jc w:val="center"/>
              <w:rPr>
                <w:rFonts w:ascii="宋体" w:hAnsi="宋体"/>
                <w:sz w:val="18"/>
                <w:szCs w:val="18"/>
              </w:rPr>
            </w:pPr>
            <w:r>
              <w:rPr>
                <w:rFonts w:hint="eastAsia" w:ascii="宋体" w:hAnsi="宋体"/>
                <w:sz w:val="18"/>
                <w:szCs w:val="18"/>
              </w:rPr>
              <w:t>试验项目</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5E11DF09">
            <w:pPr>
              <w:adjustRightInd w:val="0"/>
              <w:snapToGrid w:val="0"/>
              <w:jc w:val="center"/>
              <w:rPr>
                <w:rFonts w:ascii="宋体" w:hAnsi="宋体"/>
                <w:sz w:val="18"/>
                <w:szCs w:val="18"/>
              </w:rPr>
            </w:pPr>
            <w:r>
              <w:rPr>
                <w:rFonts w:hint="eastAsia" w:ascii="宋体" w:hAnsi="宋体"/>
                <w:sz w:val="18"/>
                <w:szCs w:val="18"/>
              </w:rPr>
              <w:t>试验周期</w:t>
            </w:r>
          </w:p>
        </w:tc>
      </w:tr>
      <w:tr w14:paraId="64722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50C974">
            <w:pPr>
              <w:adjustRightInd w:val="0"/>
              <w:snapToGrid w:val="0"/>
              <w:jc w:val="center"/>
              <w:rPr>
                <w:rFonts w:ascii="宋体" w:hAnsi="宋体"/>
                <w:sz w:val="18"/>
                <w:szCs w:val="18"/>
              </w:rPr>
            </w:pPr>
            <w:r>
              <w:rPr>
                <w:rFonts w:ascii="宋体" w:hAnsi="宋体"/>
                <w:sz w:val="18"/>
                <w:szCs w:val="18"/>
              </w:rPr>
              <w:t>1</w:t>
            </w:r>
          </w:p>
        </w:tc>
        <w:tc>
          <w:tcPr>
            <w:tcW w:w="41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729504">
            <w:pPr>
              <w:adjustRightInd w:val="0"/>
              <w:snapToGrid w:val="0"/>
              <w:jc w:val="center"/>
              <w:rPr>
                <w:rFonts w:ascii="宋体" w:hAnsi="宋体"/>
                <w:sz w:val="18"/>
                <w:szCs w:val="18"/>
              </w:rPr>
            </w:pPr>
            <w:r>
              <w:rPr>
                <w:rFonts w:hint="eastAsia" w:ascii="宋体" w:hAnsi="宋体"/>
                <w:sz w:val="18"/>
                <w:szCs w:val="18"/>
              </w:rPr>
              <w:t>电容型验电器</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1F9E36E1">
            <w:pPr>
              <w:adjustRightInd w:val="0"/>
              <w:snapToGrid w:val="0"/>
              <w:jc w:val="center"/>
              <w:rPr>
                <w:rFonts w:ascii="宋体" w:hAnsi="宋体"/>
                <w:sz w:val="18"/>
                <w:szCs w:val="18"/>
              </w:rPr>
            </w:pPr>
            <w:r>
              <w:rPr>
                <w:rFonts w:hint="eastAsia" w:ascii="宋体" w:hAnsi="宋体"/>
                <w:sz w:val="18"/>
                <w:szCs w:val="18"/>
              </w:rPr>
              <w:t>启动电压试验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008389D0">
            <w:pPr>
              <w:adjustRightInd w:val="0"/>
              <w:snapToGrid w:val="0"/>
              <w:jc w:val="center"/>
              <w:rPr>
                <w:rFonts w:ascii="宋体" w:hAnsi="宋体"/>
                <w:sz w:val="18"/>
                <w:szCs w:val="18"/>
              </w:rPr>
            </w:pPr>
            <w:r>
              <w:rPr>
                <w:rFonts w:ascii="宋体" w:hAnsi="宋体"/>
                <w:sz w:val="18"/>
                <w:szCs w:val="18"/>
              </w:rPr>
              <w:t>1</w:t>
            </w:r>
            <w:r>
              <w:rPr>
                <w:rFonts w:hint="eastAsia" w:ascii="宋体" w:hAnsi="宋体"/>
                <w:sz w:val="18"/>
                <w:szCs w:val="18"/>
              </w:rPr>
              <w:t>年</w:t>
            </w:r>
          </w:p>
        </w:tc>
      </w:tr>
      <w:tr w14:paraId="09E13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ADF74">
            <w:pPr>
              <w:widowControl/>
              <w:adjustRightInd w:val="0"/>
              <w:snapToGrid w:val="0"/>
              <w:jc w:val="center"/>
              <w:rPr>
                <w:rFonts w:ascii="宋体" w:hAnsi="宋体"/>
                <w:sz w:val="18"/>
                <w:szCs w:val="18"/>
              </w:rPr>
            </w:pPr>
          </w:p>
        </w:tc>
        <w:tc>
          <w:tcPr>
            <w:tcW w:w="41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4FEED">
            <w:pPr>
              <w:widowControl/>
              <w:adjustRightInd w:val="0"/>
              <w:snapToGrid w:val="0"/>
              <w:jc w:val="center"/>
              <w:rPr>
                <w:rFonts w:ascii="宋体" w:hAnsi="宋体"/>
                <w:sz w:val="18"/>
                <w:szCs w:val="18"/>
              </w:rPr>
            </w:pP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2E136E67">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5EC187E8">
            <w:pPr>
              <w:adjustRightInd w:val="0"/>
              <w:snapToGrid w:val="0"/>
              <w:jc w:val="center"/>
              <w:rPr>
                <w:rFonts w:ascii="宋体" w:hAnsi="宋体"/>
                <w:sz w:val="18"/>
                <w:szCs w:val="18"/>
              </w:rPr>
            </w:pPr>
            <w:r>
              <w:rPr>
                <w:rFonts w:ascii="宋体" w:hAnsi="宋体"/>
                <w:sz w:val="18"/>
                <w:szCs w:val="18"/>
              </w:rPr>
              <w:t>1</w:t>
            </w:r>
            <w:r>
              <w:rPr>
                <w:rFonts w:hint="eastAsia" w:ascii="宋体" w:hAnsi="宋体"/>
                <w:sz w:val="18"/>
                <w:szCs w:val="18"/>
              </w:rPr>
              <w:t>年</w:t>
            </w:r>
          </w:p>
        </w:tc>
      </w:tr>
      <w:tr w14:paraId="4761A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6EEAF">
            <w:pPr>
              <w:adjustRightInd w:val="0"/>
              <w:snapToGrid w:val="0"/>
              <w:jc w:val="center"/>
              <w:rPr>
                <w:rFonts w:ascii="宋体" w:hAnsi="宋体"/>
                <w:sz w:val="18"/>
                <w:szCs w:val="18"/>
              </w:rPr>
            </w:pPr>
            <w:r>
              <w:rPr>
                <w:rFonts w:ascii="宋体" w:hAnsi="宋体"/>
                <w:sz w:val="18"/>
                <w:szCs w:val="18"/>
              </w:rPr>
              <w:t>2</w:t>
            </w:r>
          </w:p>
        </w:tc>
        <w:tc>
          <w:tcPr>
            <w:tcW w:w="41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787B1">
            <w:pPr>
              <w:adjustRightInd w:val="0"/>
              <w:snapToGrid w:val="0"/>
              <w:jc w:val="center"/>
              <w:rPr>
                <w:rFonts w:ascii="宋体" w:hAnsi="宋体"/>
                <w:sz w:val="18"/>
                <w:szCs w:val="18"/>
              </w:rPr>
            </w:pPr>
            <w:r>
              <w:rPr>
                <w:rFonts w:hint="eastAsia" w:ascii="宋体" w:hAnsi="宋体"/>
                <w:sz w:val="18"/>
                <w:szCs w:val="18"/>
              </w:rPr>
              <w:t>携带型短路接地线</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3ECB93A7">
            <w:pPr>
              <w:adjustRightInd w:val="0"/>
              <w:snapToGrid w:val="0"/>
              <w:jc w:val="center"/>
              <w:rPr>
                <w:rFonts w:ascii="宋体" w:hAnsi="宋体"/>
                <w:sz w:val="18"/>
                <w:szCs w:val="18"/>
              </w:rPr>
            </w:pPr>
            <w:r>
              <w:rPr>
                <w:rFonts w:hint="eastAsia" w:ascii="宋体" w:hAnsi="宋体"/>
                <w:sz w:val="18"/>
                <w:szCs w:val="18"/>
              </w:rPr>
              <w:t>成组直流电阻试验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03C2DC12">
            <w:pPr>
              <w:adjustRightInd w:val="0"/>
              <w:snapToGrid w:val="0"/>
              <w:jc w:val="center"/>
              <w:rPr>
                <w:rFonts w:ascii="宋体" w:hAnsi="宋体"/>
                <w:sz w:val="18"/>
                <w:szCs w:val="18"/>
              </w:rPr>
            </w:pPr>
            <w:r>
              <w:rPr>
                <w:rFonts w:ascii="宋体" w:hAnsi="宋体"/>
                <w:sz w:val="18"/>
                <w:szCs w:val="18"/>
              </w:rPr>
              <w:t>≤5</w:t>
            </w:r>
            <w:r>
              <w:rPr>
                <w:rFonts w:hint="eastAsia" w:ascii="宋体" w:hAnsi="宋体"/>
                <w:sz w:val="18"/>
                <w:szCs w:val="18"/>
              </w:rPr>
              <w:t>年</w:t>
            </w:r>
          </w:p>
        </w:tc>
      </w:tr>
      <w:tr w14:paraId="0001E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C86DB">
            <w:pPr>
              <w:widowControl/>
              <w:adjustRightInd w:val="0"/>
              <w:snapToGrid w:val="0"/>
              <w:jc w:val="center"/>
              <w:rPr>
                <w:rFonts w:ascii="宋体" w:hAnsi="宋体"/>
                <w:sz w:val="18"/>
                <w:szCs w:val="18"/>
              </w:rPr>
            </w:pPr>
          </w:p>
        </w:tc>
        <w:tc>
          <w:tcPr>
            <w:tcW w:w="41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D0631">
            <w:pPr>
              <w:widowControl/>
              <w:adjustRightInd w:val="0"/>
              <w:snapToGrid w:val="0"/>
              <w:jc w:val="center"/>
              <w:rPr>
                <w:rFonts w:ascii="宋体" w:hAnsi="宋体"/>
                <w:sz w:val="18"/>
                <w:szCs w:val="18"/>
              </w:rPr>
            </w:pP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20B8DA55">
            <w:pPr>
              <w:adjustRightInd w:val="0"/>
              <w:snapToGrid w:val="0"/>
              <w:jc w:val="center"/>
              <w:rPr>
                <w:rFonts w:ascii="宋体" w:hAnsi="宋体"/>
                <w:sz w:val="18"/>
                <w:szCs w:val="18"/>
              </w:rPr>
            </w:pPr>
            <w:r>
              <w:rPr>
                <w:rFonts w:hint="eastAsia" w:ascii="宋体" w:hAnsi="宋体"/>
                <w:sz w:val="18"/>
                <w:szCs w:val="18"/>
              </w:rPr>
              <w:t>操作棒的工频耐压试验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2A57553B">
            <w:pPr>
              <w:adjustRightInd w:val="0"/>
              <w:snapToGrid w:val="0"/>
              <w:jc w:val="center"/>
              <w:rPr>
                <w:rFonts w:ascii="宋体" w:hAnsi="宋体"/>
                <w:sz w:val="18"/>
                <w:szCs w:val="18"/>
              </w:rPr>
            </w:pPr>
            <w:r>
              <w:rPr>
                <w:rFonts w:ascii="宋体" w:hAnsi="宋体"/>
                <w:sz w:val="18"/>
                <w:szCs w:val="18"/>
              </w:rPr>
              <w:t>5</w:t>
            </w:r>
            <w:r>
              <w:rPr>
                <w:rFonts w:hint="eastAsia" w:ascii="宋体" w:hAnsi="宋体"/>
                <w:sz w:val="18"/>
                <w:szCs w:val="18"/>
              </w:rPr>
              <w:t>年</w:t>
            </w:r>
          </w:p>
        </w:tc>
      </w:tr>
      <w:tr w14:paraId="1573B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16B7FD6">
            <w:pPr>
              <w:adjustRightInd w:val="0"/>
              <w:snapToGrid w:val="0"/>
              <w:jc w:val="center"/>
              <w:rPr>
                <w:rFonts w:ascii="宋体" w:hAnsi="宋体"/>
                <w:sz w:val="18"/>
                <w:szCs w:val="18"/>
              </w:rPr>
            </w:pPr>
            <w:r>
              <w:rPr>
                <w:rFonts w:ascii="宋体" w:hAnsi="宋体"/>
                <w:sz w:val="18"/>
                <w:szCs w:val="18"/>
              </w:rPr>
              <w:t>3</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3E3C2038">
            <w:pPr>
              <w:adjustRightInd w:val="0"/>
              <w:snapToGrid w:val="0"/>
              <w:jc w:val="center"/>
              <w:rPr>
                <w:rFonts w:ascii="宋体" w:hAnsi="宋体"/>
                <w:sz w:val="18"/>
                <w:szCs w:val="18"/>
              </w:rPr>
            </w:pPr>
            <w:r>
              <w:rPr>
                <w:rFonts w:hint="eastAsia" w:ascii="宋体" w:hAnsi="宋体"/>
                <w:sz w:val="18"/>
                <w:szCs w:val="18"/>
              </w:rPr>
              <w:t>绝缘杆</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377738C7">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756FCE7C">
            <w:pPr>
              <w:adjustRightInd w:val="0"/>
              <w:snapToGrid w:val="0"/>
              <w:jc w:val="center"/>
              <w:rPr>
                <w:rFonts w:ascii="宋体" w:hAnsi="宋体"/>
                <w:sz w:val="18"/>
                <w:szCs w:val="18"/>
              </w:rPr>
            </w:pPr>
            <w:r>
              <w:rPr>
                <w:rFonts w:ascii="宋体" w:hAnsi="宋体"/>
                <w:sz w:val="18"/>
                <w:szCs w:val="18"/>
              </w:rPr>
              <w:t>1</w:t>
            </w:r>
            <w:r>
              <w:rPr>
                <w:rFonts w:hint="eastAsia" w:ascii="宋体" w:hAnsi="宋体"/>
                <w:sz w:val="18"/>
                <w:szCs w:val="18"/>
              </w:rPr>
              <w:t>年</w:t>
            </w:r>
          </w:p>
        </w:tc>
      </w:tr>
      <w:tr w14:paraId="67714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3FB65C69">
            <w:pPr>
              <w:adjustRightInd w:val="0"/>
              <w:snapToGrid w:val="0"/>
              <w:jc w:val="center"/>
              <w:rPr>
                <w:rFonts w:ascii="宋体" w:hAnsi="宋体"/>
                <w:sz w:val="18"/>
                <w:szCs w:val="18"/>
              </w:rPr>
            </w:pPr>
            <w:r>
              <w:rPr>
                <w:rFonts w:ascii="宋体" w:hAnsi="宋体"/>
                <w:sz w:val="18"/>
                <w:szCs w:val="18"/>
              </w:rPr>
              <w:t>4</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773D3997">
            <w:pPr>
              <w:adjustRightInd w:val="0"/>
              <w:snapToGrid w:val="0"/>
              <w:jc w:val="center"/>
              <w:rPr>
                <w:rFonts w:ascii="宋体" w:hAnsi="宋体"/>
                <w:sz w:val="18"/>
                <w:szCs w:val="18"/>
              </w:rPr>
            </w:pPr>
            <w:r>
              <w:rPr>
                <w:rFonts w:hint="eastAsia" w:ascii="宋体" w:hAnsi="宋体"/>
                <w:sz w:val="18"/>
                <w:szCs w:val="18"/>
              </w:rPr>
              <w:t>绝缘胶垫</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7277F8A5">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734972CB">
            <w:pPr>
              <w:adjustRightInd w:val="0"/>
              <w:snapToGrid w:val="0"/>
              <w:jc w:val="center"/>
              <w:rPr>
                <w:rFonts w:ascii="宋体" w:hAnsi="宋体"/>
                <w:sz w:val="18"/>
                <w:szCs w:val="18"/>
              </w:rPr>
            </w:pPr>
            <w:r>
              <w:rPr>
                <w:rFonts w:ascii="宋体" w:hAnsi="宋体"/>
                <w:sz w:val="18"/>
                <w:szCs w:val="18"/>
              </w:rPr>
              <w:t>1</w:t>
            </w:r>
            <w:r>
              <w:rPr>
                <w:rFonts w:hint="eastAsia" w:ascii="宋体" w:hAnsi="宋体"/>
                <w:sz w:val="18"/>
                <w:szCs w:val="18"/>
              </w:rPr>
              <w:t>年</w:t>
            </w:r>
          </w:p>
        </w:tc>
      </w:tr>
      <w:tr w14:paraId="5BB5A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130D07BD">
            <w:pPr>
              <w:adjustRightInd w:val="0"/>
              <w:snapToGrid w:val="0"/>
              <w:jc w:val="center"/>
              <w:rPr>
                <w:rFonts w:ascii="宋体" w:hAnsi="宋体"/>
                <w:sz w:val="18"/>
                <w:szCs w:val="18"/>
              </w:rPr>
            </w:pPr>
            <w:r>
              <w:rPr>
                <w:rFonts w:ascii="宋体" w:hAnsi="宋体"/>
                <w:sz w:val="18"/>
                <w:szCs w:val="18"/>
              </w:rPr>
              <w:t>5</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514AFA0A">
            <w:pPr>
              <w:adjustRightInd w:val="0"/>
              <w:snapToGrid w:val="0"/>
              <w:jc w:val="center"/>
              <w:rPr>
                <w:rFonts w:ascii="宋体" w:hAnsi="宋体"/>
                <w:sz w:val="18"/>
                <w:szCs w:val="18"/>
              </w:rPr>
            </w:pPr>
            <w:r>
              <w:rPr>
                <w:rFonts w:hint="eastAsia" w:ascii="宋体" w:hAnsi="宋体"/>
                <w:sz w:val="18"/>
                <w:szCs w:val="18"/>
              </w:rPr>
              <w:t>绝缘靴</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0318479E">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0A03202C">
            <w:pPr>
              <w:adjustRightInd w:val="0"/>
              <w:snapToGrid w:val="0"/>
              <w:jc w:val="center"/>
              <w:rPr>
                <w:rFonts w:ascii="宋体" w:hAnsi="宋体"/>
                <w:sz w:val="18"/>
                <w:szCs w:val="18"/>
              </w:rPr>
            </w:pPr>
            <w:r>
              <w:rPr>
                <w:rFonts w:hint="eastAsia" w:ascii="宋体" w:hAnsi="宋体"/>
                <w:sz w:val="18"/>
                <w:szCs w:val="18"/>
              </w:rPr>
              <w:t>半年</w:t>
            </w:r>
          </w:p>
        </w:tc>
      </w:tr>
      <w:tr w14:paraId="666A2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012039E7">
            <w:pPr>
              <w:adjustRightInd w:val="0"/>
              <w:snapToGrid w:val="0"/>
              <w:jc w:val="center"/>
              <w:rPr>
                <w:rFonts w:ascii="宋体" w:hAnsi="宋体"/>
                <w:sz w:val="18"/>
                <w:szCs w:val="18"/>
              </w:rPr>
            </w:pPr>
            <w:r>
              <w:rPr>
                <w:rFonts w:ascii="宋体" w:hAnsi="宋体"/>
                <w:sz w:val="18"/>
                <w:szCs w:val="18"/>
              </w:rPr>
              <w:t>6</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5813DBBB">
            <w:pPr>
              <w:adjustRightInd w:val="0"/>
              <w:snapToGrid w:val="0"/>
              <w:jc w:val="center"/>
              <w:rPr>
                <w:rFonts w:ascii="宋体" w:hAnsi="宋体"/>
                <w:sz w:val="18"/>
                <w:szCs w:val="18"/>
              </w:rPr>
            </w:pPr>
            <w:r>
              <w:rPr>
                <w:rFonts w:hint="eastAsia" w:ascii="宋体" w:hAnsi="宋体"/>
                <w:sz w:val="18"/>
                <w:szCs w:val="18"/>
              </w:rPr>
              <w:t>绝缘手套</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74950819">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141B9ECE">
            <w:pPr>
              <w:adjustRightInd w:val="0"/>
              <w:snapToGrid w:val="0"/>
              <w:jc w:val="center"/>
              <w:rPr>
                <w:rFonts w:ascii="宋体" w:hAnsi="宋体"/>
                <w:sz w:val="18"/>
                <w:szCs w:val="18"/>
              </w:rPr>
            </w:pPr>
            <w:r>
              <w:rPr>
                <w:rFonts w:hint="eastAsia" w:ascii="宋体" w:hAnsi="宋体"/>
                <w:sz w:val="18"/>
                <w:szCs w:val="18"/>
              </w:rPr>
              <w:t>半年</w:t>
            </w:r>
          </w:p>
        </w:tc>
      </w:tr>
      <w:tr w14:paraId="0B1A1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6E4E0F17">
            <w:pPr>
              <w:adjustRightInd w:val="0"/>
              <w:snapToGrid w:val="0"/>
              <w:jc w:val="center"/>
              <w:rPr>
                <w:rFonts w:ascii="宋体" w:hAnsi="宋体"/>
                <w:sz w:val="18"/>
                <w:szCs w:val="18"/>
              </w:rPr>
            </w:pPr>
            <w:r>
              <w:rPr>
                <w:rFonts w:ascii="宋体" w:hAnsi="宋体"/>
                <w:sz w:val="18"/>
                <w:szCs w:val="18"/>
              </w:rPr>
              <w:t>7</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6D91EF16">
            <w:pPr>
              <w:adjustRightInd w:val="0"/>
              <w:snapToGrid w:val="0"/>
              <w:jc w:val="center"/>
              <w:rPr>
                <w:rFonts w:ascii="宋体" w:hAnsi="宋体"/>
                <w:sz w:val="18"/>
                <w:szCs w:val="18"/>
              </w:rPr>
            </w:pPr>
            <w:r>
              <w:rPr>
                <w:rFonts w:hint="eastAsia" w:ascii="宋体" w:hAnsi="宋体"/>
                <w:sz w:val="18"/>
                <w:szCs w:val="18"/>
              </w:rPr>
              <w:t>绝缘夹钳</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4FAA6D69">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3B9919E7">
            <w:pPr>
              <w:adjustRightInd w:val="0"/>
              <w:snapToGrid w:val="0"/>
              <w:jc w:val="center"/>
              <w:rPr>
                <w:rFonts w:ascii="宋体" w:hAnsi="宋体"/>
                <w:sz w:val="18"/>
                <w:szCs w:val="18"/>
              </w:rPr>
            </w:pPr>
            <w:r>
              <w:rPr>
                <w:rFonts w:ascii="宋体" w:hAnsi="宋体"/>
                <w:sz w:val="18"/>
                <w:szCs w:val="18"/>
              </w:rPr>
              <w:t>1</w:t>
            </w:r>
            <w:r>
              <w:rPr>
                <w:rFonts w:hint="eastAsia" w:ascii="宋体" w:hAnsi="宋体"/>
                <w:sz w:val="18"/>
                <w:szCs w:val="18"/>
              </w:rPr>
              <w:t>年</w:t>
            </w:r>
          </w:p>
        </w:tc>
      </w:tr>
      <w:tr w14:paraId="7CB3F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10" w:type="dxa"/>
            <w:tcBorders>
              <w:top w:val="single" w:color="000000" w:sz="4" w:space="0"/>
              <w:left w:val="single" w:color="000000" w:sz="4" w:space="0"/>
              <w:bottom w:val="single" w:color="000000" w:sz="4" w:space="0"/>
              <w:right w:val="single" w:color="000000" w:sz="4" w:space="0"/>
            </w:tcBorders>
            <w:noWrap w:val="0"/>
            <w:vAlign w:val="center"/>
          </w:tcPr>
          <w:p w14:paraId="748D9063">
            <w:pPr>
              <w:adjustRightInd w:val="0"/>
              <w:snapToGrid w:val="0"/>
              <w:jc w:val="center"/>
              <w:rPr>
                <w:rFonts w:ascii="宋体" w:hAnsi="宋体"/>
                <w:sz w:val="18"/>
                <w:szCs w:val="18"/>
              </w:rPr>
            </w:pPr>
            <w:r>
              <w:rPr>
                <w:rFonts w:ascii="宋体" w:hAnsi="宋体"/>
                <w:sz w:val="18"/>
                <w:szCs w:val="18"/>
              </w:rPr>
              <w:t>8</w:t>
            </w:r>
          </w:p>
        </w:tc>
        <w:tc>
          <w:tcPr>
            <w:tcW w:w="4101" w:type="dxa"/>
            <w:tcBorders>
              <w:top w:val="single" w:color="000000" w:sz="4" w:space="0"/>
              <w:left w:val="single" w:color="000000" w:sz="4" w:space="0"/>
              <w:bottom w:val="single" w:color="000000" w:sz="4" w:space="0"/>
              <w:right w:val="single" w:color="000000" w:sz="4" w:space="0"/>
            </w:tcBorders>
            <w:noWrap w:val="0"/>
            <w:vAlign w:val="center"/>
          </w:tcPr>
          <w:p w14:paraId="61BFB3B0">
            <w:pPr>
              <w:adjustRightInd w:val="0"/>
              <w:snapToGrid w:val="0"/>
              <w:jc w:val="center"/>
              <w:rPr>
                <w:rFonts w:ascii="宋体" w:hAnsi="宋体"/>
                <w:sz w:val="18"/>
                <w:szCs w:val="18"/>
              </w:rPr>
            </w:pPr>
            <w:r>
              <w:rPr>
                <w:rFonts w:hint="eastAsia" w:ascii="宋体" w:hAnsi="宋体"/>
                <w:sz w:val="18"/>
                <w:szCs w:val="18"/>
              </w:rPr>
              <w:t>绝缘绳</w:t>
            </w:r>
          </w:p>
        </w:tc>
        <w:tc>
          <w:tcPr>
            <w:tcW w:w="5103" w:type="dxa"/>
            <w:tcBorders>
              <w:top w:val="single" w:color="000000" w:sz="4" w:space="0"/>
              <w:left w:val="single" w:color="000000" w:sz="4" w:space="0"/>
              <w:bottom w:val="single" w:color="000000" w:sz="4" w:space="0"/>
              <w:right w:val="single" w:color="000000" w:sz="4" w:space="0"/>
            </w:tcBorders>
            <w:noWrap w:val="0"/>
            <w:vAlign w:val="center"/>
          </w:tcPr>
          <w:p w14:paraId="4A3924B0">
            <w:pPr>
              <w:adjustRightInd w:val="0"/>
              <w:snapToGrid w:val="0"/>
              <w:jc w:val="center"/>
              <w:rPr>
                <w:rFonts w:ascii="宋体" w:hAnsi="宋体"/>
                <w:sz w:val="18"/>
                <w:szCs w:val="18"/>
              </w:rPr>
            </w:pPr>
            <w:r>
              <w:rPr>
                <w:rFonts w:hint="eastAsia" w:ascii="宋体" w:hAnsi="宋体"/>
                <w:sz w:val="18"/>
                <w:szCs w:val="18"/>
              </w:rPr>
              <w:t>工频耐压试验</w:t>
            </w:r>
          </w:p>
        </w:tc>
        <w:tc>
          <w:tcPr>
            <w:tcW w:w="4962" w:type="dxa"/>
            <w:tcBorders>
              <w:top w:val="single" w:color="000000" w:sz="4" w:space="0"/>
              <w:left w:val="single" w:color="000000" w:sz="4" w:space="0"/>
              <w:bottom w:val="single" w:color="000000" w:sz="4" w:space="0"/>
              <w:right w:val="single" w:color="000000" w:sz="4" w:space="0"/>
            </w:tcBorders>
            <w:noWrap w:val="0"/>
            <w:vAlign w:val="center"/>
          </w:tcPr>
          <w:p w14:paraId="11A01368">
            <w:pPr>
              <w:adjustRightInd w:val="0"/>
              <w:snapToGrid w:val="0"/>
              <w:jc w:val="center"/>
              <w:rPr>
                <w:rFonts w:ascii="宋体" w:hAnsi="宋体"/>
                <w:sz w:val="18"/>
                <w:szCs w:val="18"/>
              </w:rPr>
            </w:pPr>
            <w:r>
              <w:rPr>
                <w:rFonts w:hint="eastAsia" w:ascii="宋体" w:hAnsi="宋体"/>
                <w:sz w:val="18"/>
                <w:szCs w:val="18"/>
              </w:rPr>
              <w:t>半年</w:t>
            </w:r>
          </w:p>
        </w:tc>
      </w:tr>
    </w:tbl>
    <w:p w14:paraId="608863AD">
      <w:pPr>
        <w:pStyle w:val="36"/>
        <w:ind w:firstLine="0" w:firstLineChars="0"/>
        <w:rPr>
          <w:rFonts w:hint="eastAsia"/>
        </w:rPr>
      </w:pPr>
      <w:r>
        <w:rPr>
          <w:rFonts w:hint="eastAsia" w:ascii="黑体" w:eastAsia="黑体"/>
          <w:lang w:val="en-US" w:eastAsia="zh-CN"/>
        </w:rPr>
        <w:t>G</w:t>
      </w:r>
      <w:r>
        <w:rPr>
          <w:rFonts w:hint="eastAsia" w:ascii="黑体" w:eastAsia="黑体"/>
        </w:rPr>
        <w:t>.3</w:t>
      </w:r>
      <w:r>
        <w:rPr>
          <w:rFonts w:hint="eastAsia"/>
        </w:rPr>
        <w:t xml:space="preserve">  表</w:t>
      </w:r>
      <w:r>
        <w:rPr>
          <w:rFonts w:hint="eastAsia"/>
          <w:lang w:val="en-US" w:eastAsia="zh-CN"/>
        </w:rPr>
        <w:t>G</w:t>
      </w:r>
      <w:r>
        <w:rPr>
          <w:rFonts w:hint="eastAsia"/>
        </w:rPr>
        <w:t>.3规定了</w:t>
      </w:r>
      <w:r>
        <w:t>安全</w:t>
      </w:r>
      <w:r>
        <w:rPr>
          <w:rFonts w:hint="eastAsia"/>
        </w:rPr>
        <w:t>标示牌悬挂位置和式样要求。</w:t>
      </w:r>
    </w:p>
    <w:p w14:paraId="262E57B0">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.3　</w:t>
      </w:r>
      <w:r>
        <w:t>安全</w:t>
      </w:r>
      <w:r>
        <w:rPr>
          <w:rFonts w:hint="eastAsia"/>
        </w:rPr>
        <w:t>标示牌悬挂位置和式样要求</w:t>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182"/>
        <w:gridCol w:w="7665"/>
        <w:gridCol w:w="3045"/>
        <w:gridCol w:w="2310"/>
      </w:tblGrid>
      <w:tr w14:paraId="2331E0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4" w:space="0"/>
            </w:tcBorders>
            <w:noWrap w:val="0"/>
            <w:vAlign w:val="center"/>
          </w:tcPr>
          <w:p w14:paraId="3433C164">
            <w:pPr>
              <w:adjustRightInd w:val="0"/>
              <w:snapToGrid w:val="0"/>
              <w:jc w:val="center"/>
              <w:rPr>
                <w:rFonts w:ascii="宋体" w:hAnsi="宋体"/>
                <w:sz w:val="18"/>
                <w:szCs w:val="18"/>
              </w:rPr>
            </w:pPr>
            <w:r>
              <w:rPr>
                <w:rFonts w:ascii="宋体" w:hAnsi="宋体"/>
                <w:sz w:val="18"/>
                <w:szCs w:val="18"/>
              </w:rPr>
              <w:t>名称</w:t>
            </w:r>
          </w:p>
        </w:tc>
        <w:tc>
          <w:tcPr>
            <w:tcW w:w="7665" w:type="dxa"/>
            <w:tcBorders>
              <w:top w:val="single" w:color="auto" w:sz="4" w:space="0"/>
              <w:bottom w:val="single" w:color="auto" w:sz="4" w:space="0"/>
            </w:tcBorders>
            <w:noWrap w:val="0"/>
            <w:vAlign w:val="center"/>
          </w:tcPr>
          <w:p w14:paraId="1C3B0B46">
            <w:pPr>
              <w:adjustRightInd w:val="0"/>
              <w:snapToGrid w:val="0"/>
              <w:jc w:val="center"/>
              <w:rPr>
                <w:rFonts w:ascii="宋体" w:hAnsi="宋体"/>
                <w:sz w:val="18"/>
                <w:szCs w:val="18"/>
              </w:rPr>
            </w:pPr>
            <w:r>
              <w:rPr>
                <w:rFonts w:ascii="宋体" w:hAnsi="宋体"/>
                <w:sz w:val="18"/>
                <w:szCs w:val="18"/>
              </w:rPr>
              <w:t>使用方法</w:t>
            </w:r>
          </w:p>
        </w:tc>
        <w:tc>
          <w:tcPr>
            <w:tcW w:w="5355" w:type="dxa"/>
            <w:gridSpan w:val="2"/>
            <w:tcBorders>
              <w:top w:val="single" w:color="auto" w:sz="4" w:space="0"/>
              <w:bottom w:val="single" w:color="auto" w:sz="4" w:space="0"/>
            </w:tcBorders>
            <w:noWrap w:val="0"/>
            <w:vAlign w:val="center"/>
          </w:tcPr>
          <w:p w14:paraId="5D8CE953">
            <w:pPr>
              <w:adjustRightInd w:val="0"/>
              <w:snapToGrid w:val="0"/>
              <w:jc w:val="center"/>
              <w:rPr>
                <w:rFonts w:hint="eastAsia" w:ascii="宋体" w:hAnsi="宋体"/>
                <w:sz w:val="18"/>
                <w:szCs w:val="18"/>
                <w:vertAlign w:val="superscript"/>
              </w:rPr>
            </w:pPr>
            <w:r>
              <w:rPr>
                <w:rFonts w:ascii="宋体" w:hAnsi="宋体"/>
                <w:sz w:val="18"/>
                <w:szCs w:val="18"/>
              </w:rPr>
              <w:t>式样</w:t>
            </w:r>
          </w:p>
        </w:tc>
      </w:tr>
      <w:tr w14:paraId="39729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tcBorders>
            <w:noWrap w:val="0"/>
            <w:vAlign w:val="center"/>
          </w:tcPr>
          <w:p w14:paraId="63ED6DC6">
            <w:pPr>
              <w:adjustRightInd w:val="0"/>
              <w:snapToGrid w:val="0"/>
              <w:jc w:val="center"/>
              <w:rPr>
                <w:rFonts w:ascii="宋体" w:hAnsi="宋体"/>
                <w:sz w:val="18"/>
                <w:szCs w:val="18"/>
              </w:rPr>
            </w:pPr>
            <w:r>
              <w:rPr>
                <w:rFonts w:ascii="宋体" w:hAnsi="宋体"/>
                <w:sz w:val="18"/>
                <w:szCs w:val="18"/>
              </w:rPr>
              <w:t>禁止合闸，</w:t>
            </w:r>
          </w:p>
          <w:p w14:paraId="291E44EA">
            <w:pPr>
              <w:adjustRightInd w:val="0"/>
              <w:snapToGrid w:val="0"/>
              <w:jc w:val="center"/>
              <w:rPr>
                <w:rFonts w:ascii="宋体" w:hAnsi="宋体"/>
                <w:sz w:val="18"/>
                <w:szCs w:val="18"/>
              </w:rPr>
            </w:pPr>
            <w:r>
              <w:rPr>
                <w:rFonts w:ascii="宋体" w:hAnsi="宋体"/>
                <w:sz w:val="18"/>
                <w:szCs w:val="18"/>
              </w:rPr>
              <w:t>有人工作！</w:t>
            </w:r>
          </w:p>
        </w:tc>
        <w:tc>
          <w:tcPr>
            <w:tcW w:w="7665" w:type="dxa"/>
            <w:tcBorders>
              <w:top w:val="single" w:color="auto" w:sz="4" w:space="0"/>
            </w:tcBorders>
            <w:noWrap w:val="0"/>
            <w:vAlign w:val="center"/>
          </w:tcPr>
          <w:p w14:paraId="6B5EB5E3">
            <w:pPr>
              <w:adjustRightInd w:val="0"/>
              <w:snapToGrid w:val="0"/>
              <w:jc w:val="center"/>
              <w:rPr>
                <w:rFonts w:ascii="宋体" w:hAnsi="宋体"/>
                <w:sz w:val="18"/>
                <w:szCs w:val="18"/>
              </w:rPr>
            </w:pPr>
            <w:r>
              <w:rPr>
                <w:rFonts w:ascii="宋体" w:hAnsi="宋体"/>
                <w:sz w:val="18"/>
                <w:szCs w:val="18"/>
              </w:rPr>
              <w:t>一经合闸即可送电到设备的断路器或隔离开关操作把手上</w:t>
            </w:r>
          </w:p>
        </w:tc>
        <w:tc>
          <w:tcPr>
            <w:tcW w:w="3045" w:type="dxa"/>
            <w:vMerge w:val="restart"/>
            <w:tcBorders>
              <w:top w:val="single" w:color="auto" w:sz="4" w:space="0"/>
            </w:tcBorders>
            <w:noWrap w:val="0"/>
            <w:vAlign w:val="center"/>
          </w:tcPr>
          <w:p w14:paraId="5742131D">
            <w:pPr>
              <w:adjustRightInd w:val="0"/>
              <w:snapToGrid w:val="0"/>
              <w:jc w:val="center"/>
              <w:rPr>
                <w:rFonts w:ascii="宋体" w:hAnsi="宋体"/>
                <w:sz w:val="18"/>
                <w:szCs w:val="18"/>
              </w:rPr>
            </w:pPr>
            <w:r>
              <w:rPr>
                <w:rFonts w:ascii="宋体" w:hAnsi="宋体"/>
                <w:sz w:val="18"/>
                <w:szCs w:val="18"/>
              </w:rPr>
              <w:t>白底，红色圆形斜杠，黑色禁止标志符号</w:t>
            </w:r>
          </w:p>
        </w:tc>
        <w:tc>
          <w:tcPr>
            <w:tcW w:w="2310" w:type="dxa"/>
            <w:vMerge w:val="restart"/>
            <w:tcBorders>
              <w:top w:val="single" w:color="auto" w:sz="4" w:space="0"/>
            </w:tcBorders>
            <w:noWrap w:val="0"/>
            <w:vAlign w:val="center"/>
          </w:tcPr>
          <w:p w14:paraId="25AC3A83">
            <w:pPr>
              <w:adjustRightInd w:val="0"/>
              <w:snapToGrid w:val="0"/>
              <w:jc w:val="center"/>
              <w:rPr>
                <w:rFonts w:ascii="宋体" w:hAnsi="宋体"/>
                <w:sz w:val="18"/>
                <w:szCs w:val="18"/>
              </w:rPr>
            </w:pPr>
            <w:r>
              <w:rPr>
                <w:rFonts w:ascii="宋体" w:hAnsi="宋体"/>
                <w:sz w:val="18"/>
                <w:szCs w:val="18"/>
              </w:rPr>
              <w:t>黑字</w:t>
            </w:r>
          </w:p>
        </w:tc>
      </w:tr>
      <w:tr w14:paraId="4D4FD2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bottom w:val="single" w:color="auto" w:sz="4" w:space="0"/>
            </w:tcBorders>
            <w:noWrap w:val="0"/>
            <w:vAlign w:val="center"/>
          </w:tcPr>
          <w:p w14:paraId="2E83751E">
            <w:pPr>
              <w:adjustRightInd w:val="0"/>
              <w:snapToGrid w:val="0"/>
              <w:jc w:val="center"/>
              <w:rPr>
                <w:rFonts w:ascii="宋体" w:hAnsi="宋体"/>
                <w:sz w:val="18"/>
                <w:szCs w:val="18"/>
              </w:rPr>
            </w:pPr>
            <w:r>
              <w:rPr>
                <w:rFonts w:ascii="宋体" w:hAnsi="宋体"/>
                <w:sz w:val="18"/>
                <w:szCs w:val="18"/>
              </w:rPr>
              <w:t>禁止合闸，</w:t>
            </w:r>
          </w:p>
          <w:p w14:paraId="30315263">
            <w:pPr>
              <w:adjustRightInd w:val="0"/>
              <w:snapToGrid w:val="0"/>
              <w:jc w:val="center"/>
              <w:rPr>
                <w:rFonts w:ascii="宋体" w:hAnsi="宋体"/>
                <w:sz w:val="18"/>
                <w:szCs w:val="18"/>
              </w:rPr>
            </w:pPr>
            <w:r>
              <w:rPr>
                <w:rFonts w:ascii="宋体" w:hAnsi="宋体"/>
                <w:sz w:val="18"/>
                <w:szCs w:val="18"/>
              </w:rPr>
              <w:t>线路有人工作！</w:t>
            </w:r>
          </w:p>
        </w:tc>
        <w:tc>
          <w:tcPr>
            <w:tcW w:w="7665" w:type="dxa"/>
            <w:tcBorders>
              <w:bottom w:val="single" w:color="auto" w:sz="4" w:space="0"/>
            </w:tcBorders>
            <w:noWrap w:val="0"/>
            <w:vAlign w:val="center"/>
          </w:tcPr>
          <w:p w14:paraId="42721F7E">
            <w:pPr>
              <w:adjustRightInd w:val="0"/>
              <w:snapToGrid w:val="0"/>
              <w:jc w:val="center"/>
              <w:rPr>
                <w:rFonts w:ascii="宋体" w:hAnsi="宋体"/>
                <w:sz w:val="18"/>
                <w:szCs w:val="18"/>
              </w:rPr>
            </w:pPr>
            <w:r>
              <w:rPr>
                <w:rFonts w:ascii="宋体" w:hAnsi="宋体"/>
                <w:sz w:val="18"/>
                <w:szCs w:val="18"/>
              </w:rPr>
              <w:t>线路断路器或隔离开关把手上</w:t>
            </w:r>
          </w:p>
        </w:tc>
        <w:tc>
          <w:tcPr>
            <w:tcW w:w="3045" w:type="dxa"/>
            <w:vMerge w:val="continue"/>
            <w:noWrap w:val="0"/>
            <w:vAlign w:val="center"/>
          </w:tcPr>
          <w:p w14:paraId="581FCBDD">
            <w:pPr>
              <w:adjustRightInd w:val="0"/>
              <w:snapToGrid w:val="0"/>
              <w:jc w:val="center"/>
              <w:rPr>
                <w:rFonts w:hint="eastAsia" w:ascii="宋体" w:hAnsi="宋体"/>
                <w:sz w:val="18"/>
                <w:szCs w:val="18"/>
              </w:rPr>
            </w:pPr>
          </w:p>
        </w:tc>
        <w:tc>
          <w:tcPr>
            <w:tcW w:w="2310" w:type="dxa"/>
            <w:vMerge w:val="continue"/>
            <w:noWrap w:val="0"/>
            <w:vAlign w:val="center"/>
          </w:tcPr>
          <w:p w14:paraId="7D9C75B1">
            <w:pPr>
              <w:adjustRightInd w:val="0"/>
              <w:snapToGrid w:val="0"/>
              <w:jc w:val="center"/>
              <w:rPr>
                <w:rFonts w:hint="eastAsia" w:ascii="宋体" w:hAnsi="宋体"/>
                <w:sz w:val="18"/>
                <w:szCs w:val="18"/>
              </w:rPr>
            </w:pPr>
          </w:p>
        </w:tc>
      </w:tr>
      <w:tr w14:paraId="2911AF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4" w:space="0"/>
            </w:tcBorders>
            <w:noWrap w:val="0"/>
            <w:vAlign w:val="center"/>
          </w:tcPr>
          <w:p w14:paraId="1BE6AC71">
            <w:pPr>
              <w:adjustRightInd w:val="0"/>
              <w:snapToGrid w:val="0"/>
              <w:jc w:val="center"/>
              <w:rPr>
                <w:rFonts w:ascii="宋体" w:hAnsi="宋体"/>
                <w:sz w:val="18"/>
                <w:szCs w:val="18"/>
              </w:rPr>
            </w:pPr>
            <w:r>
              <w:rPr>
                <w:rFonts w:ascii="宋体" w:hAnsi="宋体"/>
                <w:sz w:val="18"/>
                <w:szCs w:val="18"/>
              </w:rPr>
              <w:t>禁止攀登，</w:t>
            </w:r>
          </w:p>
          <w:p w14:paraId="50E4E7B2">
            <w:pPr>
              <w:adjustRightInd w:val="0"/>
              <w:snapToGrid w:val="0"/>
              <w:jc w:val="center"/>
              <w:rPr>
                <w:rFonts w:ascii="宋体" w:hAnsi="宋体"/>
                <w:sz w:val="18"/>
                <w:szCs w:val="18"/>
              </w:rPr>
            </w:pPr>
            <w:r>
              <w:rPr>
                <w:rFonts w:ascii="宋体" w:hAnsi="宋体"/>
                <w:sz w:val="18"/>
                <w:szCs w:val="18"/>
              </w:rPr>
              <w:t>高压危险！</w:t>
            </w:r>
          </w:p>
        </w:tc>
        <w:tc>
          <w:tcPr>
            <w:tcW w:w="7665" w:type="dxa"/>
            <w:tcBorders>
              <w:top w:val="single" w:color="auto" w:sz="4" w:space="0"/>
              <w:bottom w:val="single" w:color="auto" w:sz="4" w:space="0"/>
            </w:tcBorders>
            <w:noWrap w:val="0"/>
            <w:vAlign w:val="center"/>
          </w:tcPr>
          <w:p w14:paraId="0086DF99">
            <w:pPr>
              <w:adjustRightInd w:val="0"/>
              <w:snapToGrid w:val="0"/>
              <w:jc w:val="center"/>
              <w:rPr>
                <w:rFonts w:ascii="宋体" w:hAnsi="宋体"/>
                <w:sz w:val="18"/>
                <w:szCs w:val="18"/>
              </w:rPr>
            </w:pPr>
            <w:r>
              <w:rPr>
                <w:rFonts w:ascii="宋体" w:hAnsi="宋体"/>
                <w:sz w:val="18"/>
                <w:szCs w:val="18"/>
              </w:rPr>
              <w:t>高压配电装置构架的爬梯上，变压器、电抗器等设备的爬梯上</w:t>
            </w:r>
          </w:p>
        </w:tc>
        <w:tc>
          <w:tcPr>
            <w:tcW w:w="3045" w:type="dxa"/>
            <w:vMerge w:val="continue"/>
            <w:noWrap w:val="0"/>
            <w:vAlign w:val="center"/>
          </w:tcPr>
          <w:p w14:paraId="5C8B8074">
            <w:pPr>
              <w:adjustRightInd w:val="0"/>
              <w:snapToGrid w:val="0"/>
              <w:jc w:val="center"/>
              <w:rPr>
                <w:rFonts w:hint="eastAsia" w:ascii="宋体" w:hAnsi="宋体"/>
                <w:sz w:val="18"/>
                <w:szCs w:val="18"/>
              </w:rPr>
            </w:pPr>
          </w:p>
        </w:tc>
        <w:tc>
          <w:tcPr>
            <w:tcW w:w="2310" w:type="dxa"/>
            <w:vMerge w:val="continue"/>
            <w:noWrap w:val="0"/>
            <w:vAlign w:val="center"/>
          </w:tcPr>
          <w:p w14:paraId="228AEA69">
            <w:pPr>
              <w:adjustRightInd w:val="0"/>
              <w:snapToGrid w:val="0"/>
              <w:jc w:val="center"/>
              <w:rPr>
                <w:rFonts w:hint="eastAsia" w:ascii="宋体" w:hAnsi="宋体"/>
                <w:sz w:val="18"/>
                <w:szCs w:val="18"/>
              </w:rPr>
            </w:pPr>
          </w:p>
        </w:tc>
      </w:tr>
      <w:tr w14:paraId="3DCC8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8" w:space="0"/>
            </w:tcBorders>
            <w:noWrap w:val="0"/>
            <w:vAlign w:val="center"/>
          </w:tcPr>
          <w:p w14:paraId="30FCD963">
            <w:pPr>
              <w:adjustRightInd w:val="0"/>
              <w:snapToGrid w:val="0"/>
              <w:jc w:val="center"/>
              <w:rPr>
                <w:rFonts w:ascii="宋体" w:hAnsi="宋体"/>
                <w:sz w:val="18"/>
                <w:szCs w:val="18"/>
              </w:rPr>
            </w:pPr>
            <w:r>
              <w:rPr>
                <w:rFonts w:ascii="宋体" w:hAnsi="宋体"/>
                <w:sz w:val="18"/>
                <w:szCs w:val="18"/>
              </w:rPr>
              <w:t>止    步，</w:t>
            </w:r>
          </w:p>
          <w:p w14:paraId="4554B2A9">
            <w:pPr>
              <w:adjustRightInd w:val="0"/>
              <w:snapToGrid w:val="0"/>
              <w:jc w:val="center"/>
              <w:rPr>
                <w:rFonts w:ascii="宋体" w:hAnsi="宋体"/>
                <w:sz w:val="18"/>
                <w:szCs w:val="18"/>
              </w:rPr>
            </w:pPr>
            <w:r>
              <w:rPr>
                <w:rFonts w:ascii="宋体" w:hAnsi="宋体"/>
                <w:sz w:val="18"/>
                <w:szCs w:val="18"/>
              </w:rPr>
              <w:t>高压危险！</w:t>
            </w:r>
          </w:p>
        </w:tc>
        <w:tc>
          <w:tcPr>
            <w:tcW w:w="7665" w:type="dxa"/>
            <w:tcBorders>
              <w:top w:val="single" w:color="auto" w:sz="4" w:space="0"/>
              <w:bottom w:val="single" w:color="auto" w:sz="8" w:space="0"/>
            </w:tcBorders>
            <w:noWrap w:val="0"/>
            <w:vAlign w:val="center"/>
          </w:tcPr>
          <w:p w14:paraId="31E9607B">
            <w:pPr>
              <w:adjustRightInd w:val="0"/>
              <w:snapToGrid w:val="0"/>
              <w:jc w:val="center"/>
              <w:rPr>
                <w:rFonts w:ascii="宋体" w:hAnsi="宋体"/>
                <w:sz w:val="18"/>
                <w:szCs w:val="18"/>
              </w:rPr>
            </w:pPr>
            <w:r>
              <w:rPr>
                <w:rFonts w:ascii="宋体" w:hAnsi="宋体"/>
                <w:sz w:val="18"/>
                <w:szCs w:val="18"/>
              </w:rPr>
              <w:t>施工地点临近带电设备的遮栏上；室外工作地点的围栏上；禁止通行的过道上；高压试验地点；室外构架上；工作地点临近带电设备的横梁上</w:t>
            </w:r>
          </w:p>
        </w:tc>
        <w:tc>
          <w:tcPr>
            <w:tcW w:w="3045" w:type="dxa"/>
            <w:tcBorders>
              <w:bottom w:val="single" w:color="auto" w:sz="8" w:space="0"/>
            </w:tcBorders>
            <w:noWrap w:val="0"/>
            <w:vAlign w:val="center"/>
          </w:tcPr>
          <w:p w14:paraId="0453840F">
            <w:pPr>
              <w:adjustRightInd w:val="0"/>
              <w:snapToGrid w:val="0"/>
              <w:jc w:val="center"/>
              <w:rPr>
                <w:rFonts w:ascii="宋体" w:hAnsi="宋体"/>
                <w:sz w:val="18"/>
                <w:szCs w:val="18"/>
              </w:rPr>
            </w:pPr>
            <w:r>
              <w:rPr>
                <w:rFonts w:ascii="宋体" w:hAnsi="宋体"/>
                <w:sz w:val="18"/>
                <w:szCs w:val="18"/>
              </w:rPr>
              <w:t>白底，黑色正三角形及标志符号，衬底为黄色</w:t>
            </w:r>
          </w:p>
        </w:tc>
        <w:tc>
          <w:tcPr>
            <w:tcW w:w="2310" w:type="dxa"/>
            <w:tcBorders>
              <w:bottom w:val="single" w:color="auto" w:sz="8" w:space="0"/>
            </w:tcBorders>
            <w:noWrap w:val="0"/>
            <w:vAlign w:val="center"/>
          </w:tcPr>
          <w:p w14:paraId="68C6E019">
            <w:pPr>
              <w:adjustRightInd w:val="0"/>
              <w:snapToGrid w:val="0"/>
              <w:jc w:val="center"/>
              <w:rPr>
                <w:rFonts w:ascii="宋体" w:hAnsi="宋体"/>
                <w:sz w:val="18"/>
                <w:szCs w:val="18"/>
              </w:rPr>
            </w:pPr>
            <w:r>
              <w:rPr>
                <w:rFonts w:ascii="宋体" w:hAnsi="宋体"/>
                <w:sz w:val="18"/>
                <w:szCs w:val="18"/>
              </w:rPr>
              <w:t>黑字</w:t>
            </w:r>
          </w:p>
        </w:tc>
      </w:tr>
      <w:tr w14:paraId="5AAB0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4" w:space="0"/>
            </w:tcBorders>
            <w:noWrap w:val="0"/>
            <w:vAlign w:val="center"/>
          </w:tcPr>
          <w:p w14:paraId="500CB741">
            <w:pPr>
              <w:adjustRightInd w:val="0"/>
              <w:snapToGrid w:val="0"/>
              <w:jc w:val="center"/>
              <w:rPr>
                <w:rFonts w:ascii="宋体" w:hAnsi="宋体"/>
                <w:sz w:val="18"/>
                <w:szCs w:val="18"/>
              </w:rPr>
            </w:pPr>
            <w:r>
              <w:rPr>
                <w:rFonts w:ascii="宋体" w:hAnsi="宋体"/>
                <w:sz w:val="18"/>
                <w:szCs w:val="18"/>
              </w:rPr>
              <w:t>从此上下！</w:t>
            </w:r>
          </w:p>
        </w:tc>
        <w:tc>
          <w:tcPr>
            <w:tcW w:w="7665" w:type="dxa"/>
            <w:tcBorders>
              <w:top w:val="single" w:color="auto" w:sz="4" w:space="0"/>
              <w:bottom w:val="single" w:color="auto" w:sz="4" w:space="0"/>
            </w:tcBorders>
            <w:noWrap w:val="0"/>
            <w:vAlign w:val="center"/>
          </w:tcPr>
          <w:p w14:paraId="19EE5EEA">
            <w:pPr>
              <w:adjustRightInd w:val="0"/>
              <w:snapToGrid w:val="0"/>
              <w:jc w:val="center"/>
              <w:rPr>
                <w:rFonts w:ascii="宋体" w:hAnsi="宋体"/>
                <w:sz w:val="18"/>
                <w:szCs w:val="18"/>
              </w:rPr>
            </w:pPr>
            <w:r>
              <w:rPr>
                <w:rFonts w:ascii="宋体" w:hAnsi="宋体"/>
                <w:sz w:val="18"/>
                <w:szCs w:val="18"/>
              </w:rPr>
              <w:t>工作人员可上下的铁架、爬梯上</w:t>
            </w:r>
          </w:p>
        </w:tc>
        <w:tc>
          <w:tcPr>
            <w:tcW w:w="3045" w:type="dxa"/>
            <w:vMerge w:val="restart"/>
            <w:noWrap w:val="0"/>
            <w:vAlign w:val="center"/>
          </w:tcPr>
          <w:p w14:paraId="1EA0A5C2">
            <w:pPr>
              <w:adjustRightInd w:val="0"/>
              <w:snapToGrid w:val="0"/>
              <w:jc w:val="center"/>
              <w:rPr>
                <w:rFonts w:ascii="宋体" w:hAnsi="宋体"/>
                <w:sz w:val="18"/>
                <w:szCs w:val="18"/>
              </w:rPr>
            </w:pPr>
            <w:r>
              <w:rPr>
                <w:rFonts w:ascii="宋体" w:hAnsi="宋体"/>
                <w:sz w:val="18"/>
                <w:szCs w:val="18"/>
              </w:rPr>
              <w:t>衬底为绿色，中有白圆圈</w:t>
            </w:r>
          </w:p>
        </w:tc>
        <w:tc>
          <w:tcPr>
            <w:tcW w:w="2310" w:type="dxa"/>
            <w:vMerge w:val="restart"/>
            <w:noWrap w:val="0"/>
            <w:vAlign w:val="center"/>
          </w:tcPr>
          <w:p w14:paraId="541968F2">
            <w:pPr>
              <w:adjustRightInd w:val="0"/>
              <w:snapToGrid w:val="0"/>
              <w:jc w:val="center"/>
              <w:rPr>
                <w:rFonts w:ascii="宋体" w:hAnsi="宋体"/>
                <w:sz w:val="18"/>
                <w:szCs w:val="18"/>
              </w:rPr>
            </w:pPr>
            <w:r>
              <w:rPr>
                <w:rFonts w:ascii="宋体" w:hAnsi="宋体"/>
                <w:sz w:val="18"/>
                <w:szCs w:val="18"/>
              </w:rPr>
              <w:t>黑字，写于白圆圈中</w:t>
            </w:r>
          </w:p>
        </w:tc>
      </w:tr>
      <w:tr w14:paraId="150C9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4" w:space="0"/>
            </w:tcBorders>
            <w:noWrap w:val="0"/>
            <w:vAlign w:val="center"/>
          </w:tcPr>
          <w:p w14:paraId="565CE6CE">
            <w:pPr>
              <w:adjustRightInd w:val="0"/>
              <w:snapToGrid w:val="0"/>
              <w:jc w:val="center"/>
              <w:rPr>
                <w:rFonts w:ascii="宋体" w:hAnsi="宋体"/>
                <w:sz w:val="18"/>
                <w:szCs w:val="18"/>
              </w:rPr>
            </w:pPr>
            <w:r>
              <w:rPr>
                <w:rFonts w:hint="eastAsia" w:ascii="宋体" w:hAnsi="宋体"/>
                <w:sz w:val="18"/>
                <w:szCs w:val="18"/>
              </w:rPr>
              <w:t>在此工作！</w:t>
            </w:r>
          </w:p>
        </w:tc>
        <w:tc>
          <w:tcPr>
            <w:tcW w:w="7665" w:type="dxa"/>
            <w:tcBorders>
              <w:top w:val="single" w:color="auto" w:sz="4" w:space="0"/>
              <w:bottom w:val="single" w:color="auto" w:sz="4" w:space="0"/>
            </w:tcBorders>
            <w:noWrap w:val="0"/>
            <w:vAlign w:val="center"/>
          </w:tcPr>
          <w:p w14:paraId="57125279">
            <w:pPr>
              <w:adjustRightInd w:val="0"/>
              <w:snapToGrid w:val="0"/>
              <w:jc w:val="center"/>
              <w:rPr>
                <w:rFonts w:ascii="宋体" w:hAnsi="宋体"/>
                <w:sz w:val="18"/>
                <w:szCs w:val="18"/>
              </w:rPr>
            </w:pPr>
            <w:r>
              <w:rPr>
                <w:rFonts w:hint="eastAsia" w:ascii="宋体" w:hAnsi="宋体"/>
                <w:sz w:val="18"/>
                <w:szCs w:val="18"/>
              </w:rPr>
              <w:t>工作地点或检修设备上</w:t>
            </w:r>
          </w:p>
        </w:tc>
        <w:tc>
          <w:tcPr>
            <w:tcW w:w="3045" w:type="dxa"/>
            <w:vMerge w:val="continue"/>
            <w:noWrap w:val="0"/>
            <w:vAlign w:val="center"/>
          </w:tcPr>
          <w:p w14:paraId="01C7E01B">
            <w:pPr>
              <w:adjustRightInd w:val="0"/>
              <w:snapToGrid w:val="0"/>
              <w:jc w:val="center"/>
              <w:rPr>
                <w:rFonts w:ascii="宋体" w:hAnsi="宋体"/>
                <w:sz w:val="18"/>
                <w:szCs w:val="18"/>
              </w:rPr>
            </w:pPr>
          </w:p>
        </w:tc>
        <w:tc>
          <w:tcPr>
            <w:tcW w:w="2310" w:type="dxa"/>
            <w:vMerge w:val="continue"/>
            <w:noWrap w:val="0"/>
            <w:vAlign w:val="center"/>
          </w:tcPr>
          <w:p w14:paraId="4DC4BA41">
            <w:pPr>
              <w:adjustRightInd w:val="0"/>
              <w:snapToGrid w:val="0"/>
              <w:jc w:val="center"/>
              <w:rPr>
                <w:rFonts w:ascii="宋体" w:hAnsi="宋体"/>
                <w:sz w:val="18"/>
                <w:szCs w:val="18"/>
              </w:rPr>
            </w:pPr>
          </w:p>
        </w:tc>
      </w:tr>
      <w:tr w14:paraId="7FC444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182" w:type="dxa"/>
            <w:tcBorders>
              <w:top w:val="single" w:color="auto" w:sz="4" w:space="0"/>
              <w:bottom w:val="single" w:color="auto" w:sz="8" w:space="0"/>
            </w:tcBorders>
            <w:noWrap w:val="0"/>
            <w:vAlign w:val="center"/>
          </w:tcPr>
          <w:p w14:paraId="4BF27042">
            <w:pPr>
              <w:adjustRightInd w:val="0"/>
              <w:snapToGrid w:val="0"/>
              <w:jc w:val="center"/>
              <w:rPr>
                <w:rFonts w:ascii="宋体" w:hAnsi="宋体"/>
                <w:sz w:val="18"/>
                <w:szCs w:val="18"/>
              </w:rPr>
            </w:pPr>
            <w:r>
              <w:rPr>
                <w:rFonts w:ascii="宋体" w:hAnsi="宋体"/>
                <w:sz w:val="18"/>
                <w:szCs w:val="18"/>
              </w:rPr>
              <w:t>已接地</w:t>
            </w:r>
          </w:p>
        </w:tc>
        <w:tc>
          <w:tcPr>
            <w:tcW w:w="7665" w:type="dxa"/>
            <w:tcBorders>
              <w:top w:val="single" w:color="auto" w:sz="4" w:space="0"/>
              <w:bottom w:val="single" w:color="auto" w:sz="8" w:space="0"/>
            </w:tcBorders>
            <w:noWrap w:val="0"/>
            <w:vAlign w:val="center"/>
          </w:tcPr>
          <w:p w14:paraId="4FAC50EE">
            <w:pPr>
              <w:adjustRightInd w:val="0"/>
              <w:snapToGrid w:val="0"/>
              <w:jc w:val="center"/>
              <w:rPr>
                <w:rFonts w:ascii="宋体" w:hAnsi="宋体"/>
                <w:sz w:val="18"/>
                <w:szCs w:val="18"/>
              </w:rPr>
            </w:pPr>
            <w:r>
              <w:rPr>
                <w:rFonts w:ascii="宋体" w:hAnsi="宋体"/>
                <w:sz w:val="18"/>
                <w:szCs w:val="18"/>
              </w:rPr>
              <w:t>悬挂在已接地线的隔离开关操作手把上</w:t>
            </w:r>
          </w:p>
        </w:tc>
        <w:tc>
          <w:tcPr>
            <w:tcW w:w="3045" w:type="dxa"/>
            <w:tcBorders>
              <w:bottom w:val="single" w:color="auto" w:sz="8" w:space="0"/>
            </w:tcBorders>
            <w:noWrap w:val="0"/>
            <w:vAlign w:val="center"/>
          </w:tcPr>
          <w:p w14:paraId="3112323A">
            <w:pPr>
              <w:adjustRightInd w:val="0"/>
              <w:snapToGrid w:val="0"/>
              <w:jc w:val="center"/>
              <w:rPr>
                <w:rFonts w:ascii="宋体" w:hAnsi="宋体"/>
                <w:sz w:val="18"/>
                <w:szCs w:val="18"/>
              </w:rPr>
            </w:pPr>
            <w:r>
              <w:rPr>
                <w:rFonts w:ascii="宋体" w:hAnsi="宋体"/>
                <w:sz w:val="18"/>
                <w:szCs w:val="18"/>
              </w:rPr>
              <w:t>衬底为绿色</w:t>
            </w:r>
          </w:p>
        </w:tc>
        <w:tc>
          <w:tcPr>
            <w:tcW w:w="2310" w:type="dxa"/>
            <w:tcBorders>
              <w:bottom w:val="single" w:color="auto" w:sz="8" w:space="0"/>
            </w:tcBorders>
            <w:noWrap w:val="0"/>
            <w:vAlign w:val="center"/>
          </w:tcPr>
          <w:p w14:paraId="7C77C258">
            <w:pPr>
              <w:adjustRightInd w:val="0"/>
              <w:snapToGrid w:val="0"/>
              <w:jc w:val="center"/>
              <w:rPr>
                <w:rFonts w:ascii="宋体" w:hAnsi="宋体"/>
                <w:sz w:val="18"/>
                <w:szCs w:val="18"/>
              </w:rPr>
            </w:pPr>
            <w:r>
              <w:rPr>
                <w:rFonts w:ascii="宋体" w:hAnsi="宋体"/>
                <w:sz w:val="18"/>
                <w:szCs w:val="18"/>
              </w:rPr>
              <w:t>黑字</w:t>
            </w:r>
          </w:p>
        </w:tc>
      </w:tr>
    </w:tbl>
    <w:p w14:paraId="73F6F659">
      <w:pPr>
        <w:pStyle w:val="36"/>
        <w:ind w:firstLine="0" w:firstLineChars="0"/>
      </w:pPr>
      <w:r>
        <w:rPr>
          <w:rFonts w:hint="eastAsia" w:ascii="黑体" w:eastAsia="黑体"/>
        </w:rPr>
        <w:t>G.</w:t>
      </w:r>
      <w:r>
        <w:rPr>
          <w:rFonts w:hint="eastAsia" w:ascii="黑体" w:eastAsia="黑体"/>
          <w:lang w:val="en-US" w:eastAsia="zh-CN"/>
        </w:rPr>
        <w:t>4</w:t>
      </w:r>
      <w:r>
        <w:rPr>
          <w:rFonts w:hint="eastAsia"/>
        </w:rPr>
        <w:t xml:space="preserve">  表G.</w:t>
      </w:r>
      <w:r>
        <w:rPr>
          <w:rFonts w:hint="eastAsia"/>
          <w:lang w:val="en-US" w:eastAsia="zh-CN"/>
        </w:rPr>
        <w:t>4</w:t>
      </w:r>
      <w:r>
        <w:rPr>
          <w:rFonts w:hint="eastAsia"/>
        </w:rPr>
        <w:t>规定了导体最小允许截面。</w:t>
      </w:r>
    </w:p>
    <w:p w14:paraId="559BCC31">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w:t>
      </w:r>
      <w:r>
        <w:rPr>
          <w:rFonts w:hint="eastAsia" w:cs="Times New Roman"/>
          <w:kern w:val="2"/>
          <w:sz w:val="21"/>
          <w:szCs w:val="21"/>
          <w:lang w:val="en-US" w:eastAsia="zh-CN" w:bidi="ar-SA"/>
        </w:rPr>
        <w:t>4</w:t>
      </w:r>
      <w:r>
        <w:rPr>
          <w:rFonts w:hint="eastAsia" w:ascii="黑体" w:hAnsi="Times New Roman" w:eastAsia="黑体" w:cs="Times New Roman"/>
          <w:kern w:val="2"/>
          <w:sz w:val="21"/>
          <w:szCs w:val="21"/>
          <w:lang w:val="en-US" w:eastAsia="zh-CN" w:bidi="ar-SA"/>
        </w:rPr>
        <w:t>　</w:t>
      </w:r>
      <w:r>
        <w:rPr>
          <w:rFonts w:hint="eastAsia"/>
        </w:rPr>
        <w:t>导体最小允许截面</w:t>
      </w:r>
    </w:p>
    <w:p w14:paraId="4EA66DE0">
      <w:pPr>
        <w:pStyle w:val="36"/>
        <w:ind w:firstLine="13860" w:firstLineChars="7700"/>
        <w:rPr>
          <w:rFonts w:hint="eastAsia"/>
          <w:sz w:val="18"/>
          <w:szCs w:val="18"/>
        </w:rPr>
      </w:pPr>
      <w:r>
        <w:rPr>
          <w:rFonts w:hint="eastAsia"/>
          <w:sz w:val="18"/>
          <w:szCs w:val="18"/>
        </w:rPr>
        <w:t>单位为平方毫米</w:t>
      </w:r>
    </w:p>
    <w:tbl>
      <w:tblPr>
        <w:tblStyle w:val="4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62"/>
        <w:gridCol w:w="4630"/>
        <w:gridCol w:w="3132"/>
        <w:gridCol w:w="3129"/>
      </w:tblGrid>
      <w:tr w14:paraId="04686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tcBorders>
              <w:top w:val="single" w:color="000000" w:sz="4" w:space="0"/>
              <w:left w:val="single" w:color="000000" w:sz="4" w:space="0"/>
              <w:bottom w:val="single" w:color="000000" w:sz="4" w:space="0"/>
              <w:right w:val="single" w:color="000000" w:sz="4" w:space="0"/>
            </w:tcBorders>
            <w:noWrap w:val="0"/>
            <w:vAlign w:val="center"/>
          </w:tcPr>
          <w:p w14:paraId="5D578DB4">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布线系统形式</w:t>
            </w: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5F022FE2">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线路用途</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2F1B5FF5">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铜导体</w:t>
            </w:r>
          </w:p>
        </w:tc>
        <w:tc>
          <w:tcPr>
            <w:tcW w:w="3129" w:type="dxa"/>
            <w:tcBorders>
              <w:top w:val="single" w:color="000000" w:sz="4" w:space="0"/>
              <w:left w:val="single" w:color="000000" w:sz="4" w:space="0"/>
              <w:bottom w:val="single" w:color="000000" w:sz="4" w:space="0"/>
              <w:right w:val="single" w:color="000000" w:sz="4" w:space="0"/>
            </w:tcBorders>
            <w:noWrap w:val="0"/>
            <w:vAlign w:val="top"/>
          </w:tcPr>
          <w:p w14:paraId="59B09C9E">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铝导体</w:t>
            </w:r>
          </w:p>
        </w:tc>
      </w:tr>
      <w:tr w14:paraId="1DD01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D05AEA1">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固定敷设的电缆和绝缘电线</w:t>
            </w: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744ED58F">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电</w:t>
            </w:r>
            <w:r>
              <w:rPr>
                <w:rFonts w:hint="eastAsia" w:ascii="宋体" w:hAnsi="宋体" w:eastAsia="宋体"/>
                <w:spacing w:val="0"/>
                <w:kern w:val="2"/>
                <w:sz w:val="18"/>
                <w:szCs w:val="18"/>
                <w:highlight w:val="none"/>
                <w:lang w:val="en-US" w:eastAsia="zh-CN"/>
              </w:rPr>
              <w:t>力</w:t>
            </w:r>
            <w:r>
              <w:rPr>
                <w:rFonts w:hint="eastAsia" w:ascii="宋体" w:hAnsi="宋体" w:eastAsia="宋体"/>
                <w:spacing w:val="0"/>
                <w:kern w:val="2"/>
                <w:sz w:val="18"/>
                <w:szCs w:val="18"/>
                <w:highlight w:val="none"/>
              </w:rPr>
              <w:t>和照明线路</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4A93F109">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1.5</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4F1604B1">
            <w:pPr>
              <w:pStyle w:val="207"/>
              <w:adjustRightInd w:val="0"/>
              <w:snapToGrid w:val="0"/>
              <w:ind w:right="0" w:rightChars="0"/>
              <w:jc w:val="center"/>
              <w:rPr>
                <w:rFonts w:hint="default" w:ascii="宋体" w:hAnsi="宋体" w:eastAsia="宋体"/>
                <w:spacing w:val="0"/>
                <w:kern w:val="2"/>
                <w:sz w:val="18"/>
                <w:szCs w:val="18"/>
                <w:highlight w:val="none"/>
                <w:lang w:val="en-US" w:eastAsia="zh-CN"/>
              </w:rPr>
            </w:pPr>
            <w:r>
              <w:rPr>
                <w:rFonts w:hint="eastAsia" w:ascii="宋体" w:hAnsi="宋体" w:eastAsia="宋体"/>
                <w:spacing w:val="0"/>
                <w:kern w:val="2"/>
                <w:sz w:val="18"/>
                <w:szCs w:val="18"/>
                <w:highlight w:val="none"/>
                <w:lang w:val="en-US" w:eastAsia="zh-CN"/>
              </w:rPr>
              <w:t>10</w:t>
            </w:r>
          </w:p>
        </w:tc>
      </w:tr>
      <w:tr w14:paraId="54ABF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ECBDDA">
            <w:pPr>
              <w:widowControl/>
              <w:adjustRightInd w:val="0"/>
              <w:snapToGrid w:val="0"/>
              <w:jc w:val="left"/>
              <w:rPr>
                <w:rFonts w:ascii="宋体" w:hAnsi="宋体"/>
                <w:sz w:val="18"/>
                <w:szCs w:val="18"/>
                <w:highlight w:val="none"/>
              </w:rPr>
            </w:pP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38E4F8AB">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信号和控制线路</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0EF4B202">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0.5</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57C99D07">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w:t>
            </w:r>
          </w:p>
        </w:tc>
      </w:tr>
      <w:tr w14:paraId="1E800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21B1972D">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固定敷设的裸导体</w:t>
            </w: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7D8119E2">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电力（供电）线路</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7AC9F463">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10</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3EB80F41">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16</w:t>
            </w:r>
            <w:r>
              <w:rPr>
                <w:rFonts w:hint="eastAsia" w:ascii="宋体" w:hAnsi="宋体" w:eastAsia="宋体"/>
                <w:spacing w:val="0"/>
                <w:kern w:val="2"/>
                <w:sz w:val="18"/>
                <w:szCs w:val="18"/>
                <w:highlight w:val="none"/>
              </w:rPr>
              <w:t xml:space="preserve"> </w:t>
            </w:r>
          </w:p>
        </w:tc>
      </w:tr>
      <w:tr w14:paraId="21743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E3A82">
            <w:pPr>
              <w:widowControl/>
              <w:adjustRightInd w:val="0"/>
              <w:snapToGrid w:val="0"/>
              <w:jc w:val="left"/>
              <w:rPr>
                <w:rFonts w:ascii="宋体" w:hAnsi="宋体"/>
                <w:sz w:val="18"/>
                <w:szCs w:val="18"/>
                <w:highlight w:val="none"/>
              </w:rPr>
            </w:pP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5A506FD2">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信号和控制线路</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7B94EB13">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4</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40BC1DB6">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w:t>
            </w:r>
          </w:p>
        </w:tc>
      </w:tr>
      <w:tr w14:paraId="3D679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E62393">
            <w:pPr>
              <w:pStyle w:val="207"/>
              <w:adjustRightInd w:val="0"/>
              <w:snapToGrid w:val="0"/>
              <w:ind w:right="0" w:rightChars="0"/>
              <w:jc w:val="center"/>
              <w:rPr>
                <w:rFonts w:hint="default" w:ascii="宋体" w:hAnsi="宋体" w:eastAsia="宋体"/>
                <w:spacing w:val="0"/>
                <w:kern w:val="2"/>
                <w:sz w:val="18"/>
                <w:szCs w:val="18"/>
                <w:highlight w:val="none"/>
                <w:lang w:val="en-US" w:eastAsia="zh-CN"/>
              </w:rPr>
            </w:pPr>
            <w:r>
              <w:rPr>
                <w:rFonts w:hint="eastAsia" w:ascii="宋体" w:hAnsi="宋体" w:eastAsia="宋体"/>
                <w:spacing w:val="0"/>
                <w:kern w:val="2"/>
                <w:sz w:val="18"/>
                <w:szCs w:val="18"/>
                <w:highlight w:val="none"/>
                <w:lang w:val="en-US" w:eastAsia="zh-CN"/>
              </w:rPr>
              <w:t>软导体及电缆的连接</w:t>
            </w: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76E40225">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任何用途</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47649D7E">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0.75</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26534D39">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w:t>
            </w:r>
          </w:p>
        </w:tc>
      </w:tr>
      <w:tr w14:paraId="53143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70709">
            <w:pPr>
              <w:widowControl/>
              <w:adjustRightInd w:val="0"/>
              <w:snapToGrid w:val="0"/>
              <w:jc w:val="left"/>
              <w:rPr>
                <w:rFonts w:ascii="宋体" w:hAnsi="宋体"/>
                <w:sz w:val="18"/>
                <w:szCs w:val="18"/>
                <w:highlight w:val="none"/>
              </w:rPr>
            </w:pPr>
          </w:p>
        </w:tc>
        <w:tc>
          <w:tcPr>
            <w:tcW w:w="4630" w:type="dxa"/>
            <w:tcBorders>
              <w:top w:val="single" w:color="000000" w:sz="4" w:space="0"/>
              <w:left w:val="single" w:color="000000" w:sz="4" w:space="0"/>
              <w:bottom w:val="single" w:color="000000" w:sz="4" w:space="0"/>
              <w:right w:val="single" w:color="000000" w:sz="4" w:space="0"/>
            </w:tcBorders>
            <w:noWrap w:val="0"/>
            <w:vAlign w:val="center"/>
          </w:tcPr>
          <w:p w14:paraId="149AF0EF">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特殊用途的特低压电路</w:t>
            </w:r>
          </w:p>
        </w:tc>
        <w:tc>
          <w:tcPr>
            <w:tcW w:w="3132" w:type="dxa"/>
            <w:tcBorders>
              <w:top w:val="single" w:color="000000" w:sz="4" w:space="0"/>
              <w:left w:val="single" w:color="000000" w:sz="4" w:space="0"/>
              <w:bottom w:val="single" w:color="000000" w:sz="4" w:space="0"/>
              <w:right w:val="single" w:color="000000" w:sz="4" w:space="0"/>
            </w:tcBorders>
            <w:noWrap w:val="0"/>
            <w:vAlign w:val="center"/>
          </w:tcPr>
          <w:p w14:paraId="7532E280">
            <w:pPr>
              <w:pStyle w:val="207"/>
              <w:adjustRightInd w:val="0"/>
              <w:snapToGrid w:val="0"/>
              <w:ind w:right="0" w:rightChars="0"/>
              <w:jc w:val="center"/>
              <w:rPr>
                <w:rFonts w:hint="eastAsia" w:ascii="宋体" w:hAnsi="宋体" w:eastAsia="宋体"/>
                <w:spacing w:val="0"/>
                <w:kern w:val="2"/>
                <w:sz w:val="18"/>
                <w:szCs w:val="18"/>
                <w:highlight w:val="none"/>
              </w:rPr>
            </w:pPr>
            <w:r>
              <w:rPr>
                <w:rFonts w:ascii="宋体" w:hAnsi="宋体" w:eastAsia="宋体"/>
                <w:spacing w:val="0"/>
                <w:kern w:val="2"/>
                <w:sz w:val="18"/>
                <w:szCs w:val="18"/>
                <w:highlight w:val="none"/>
              </w:rPr>
              <w:t>0.75</w:t>
            </w:r>
            <w:r>
              <w:rPr>
                <w:rFonts w:hint="eastAsia" w:ascii="宋体" w:hAnsi="宋体" w:eastAsia="宋体"/>
                <w:spacing w:val="0"/>
                <w:kern w:val="2"/>
                <w:sz w:val="18"/>
                <w:szCs w:val="18"/>
                <w:highlight w:val="none"/>
              </w:rPr>
              <w:t xml:space="preserve"> </w:t>
            </w:r>
          </w:p>
        </w:tc>
        <w:tc>
          <w:tcPr>
            <w:tcW w:w="3129" w:type="dxa"/>
            <w:tcBorders>
              <w:top w:val="single" w:color="000000" w:sz="4" w:space="0"/>
              <w:left w:val="single" w:color="000000" w:sz="4" w:space="0"/>
              <w:bottom w:val="single" w:color="000000" w:sz="4" w:space="0"/>
              <w:right w:val="single" w:color="000000" w:sz="4" w:space="0"/>
            </w:tcBorders>
            <w:noWrap w:val="0"/>
            <w:vAlign w:val="center"/>
          </w:tcPr>
          <w:p w14:paraId="346BBBB6">
            <w:pPr>
              <w:pStyle w:val="207"/>
              <w:adjustRightInd w:val="0"/>
              <w:snapToGrid w:val="0"/>
              <w:ind w:right="0" w:rightChars="0"/>
              <w:jc w:val="center"/>
              <w:rPr>
                <w:rFonts w:ascii="宋体" w:hAnsi="宋体" w:eastAsia="宋体"/>
                <w:spacing w:val="0"/>
                <w:kern w:val="2"/>
                <w:sz w:val="18"/>
                <w:szCs w:val="18"/>
                <w:highlight w:val="none"/>
              </w:rPr>
            </w:pPr>
            <w:r>
              <w:rPr>
                <w:rFonts w:hint="eastAsia" w:ascii="宋体" w:hAnsi="宋体" w:eastAsia="宋体"/>
                <w:spacing w:val="0"/>
                <w:kern w:val="2"/>
                <w:sz w:val="18"/>
                <w:szCs w:val="18"/>
                <w:highlight w:val="none"/>
              </w:rPr>
              <w:t>——</w:t>
            </w:r>
          </w:p>
        </w:tc>
      </w:tr>
    </w:tbl>
    <w:p w14:paraId="264F2F52">
      <w:pPr>
        <w:pStyle w:val="36"/>
        <w:ind w:firstLine="0" w:firstLineChars="0"/>
        <w:rPr>
          <w:rFonts w:hint="eastAsia"/>
        </w:rPr>
      </w:pPr>
      <w:r>
        <w:rPr>
          <w:rFonts w:hint="eastAsia" w:ascii="黑体" w:eastAsia="黑体"/>
          <w:lang w:val="en-US" w:eastAsia="zh-CN"/>
        </w:rPr>
        <w:t>G</w:t>
      </w:r>
      <w:r>
        <w:rPr>
          <w:rFonts w:hint="eastAsia" w:ascii="黑体" w:eastAsia="黑体"/>
        </w:rPr>
        <w:t>.</w:t>
      </w:r>
      <w:r>
        <w:rPr>
          <w:rFonts w:hint="eastAsia" w:ascii="黑体" w:eastAsia="黑体"/>
          <w:lang w:val="en-US" w:eastAsia="zh-CN"/>
        </w:rPr>
        <w:t>5</w:t>
      </w:r>
      <w:r>
        <w:rPr>
          <w:rFonts w:hint="eastAsia"/>
        </w:rPr>
        <w:t xml:space="preserve">  表</w:t>
      </w:r>
      <w:r>
        <w:rPr>
          <w:rFonts w:hint="eastAsia"/>
          <w:lang w:val="en-US" w:eastAsia="zh-CN"/>
        </w:rPr>
        <w:t>G</w:t>
      </w:r>
      <w:r>
        <w:rPr>
          <w:rFonts w:hint="eastAsia"/>
        </w:rPr>
        <w:t>.</w:t>
      </w:r>
      <w:r>
        <w:rPr>
          <w:rFonts w:hint="eastAsia"/>
          <w:lang w:val="en-US" w:eastAsia="zh-CN"/>
        </w:rPr>
        <w:t>5</w:t>
      </w:r>
      <w:r>
        <w:rPr>
          <w:rFonts w:hint="eastAsia"/>
        </w:rPr>
        <w:t>规定</w:t>
      </w:r>
      <w:r>
        <w:t>了</w:t>
      </w:r>
      <w:r>
        <w:rPr>
          <w:rFonts w:hint="eastAsia"/>
        </w:rPr>
        <w:t>电缆桥架和金属线槽与各种管道的最小净距。</w:t>
      </w:r>
    </w:p>
    <w:p w14:paraId="25D1E7D8">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G</w:t>
      </w:r>
      <w:r>
        <w:rPr>
          <w:rFonts w:hint="eastAsia" w:ascii="黑体" w:hAnsi="Times New Roman" w:eastAsia="黑体" w:cs="Times New Roman"/>
          <w:kern w:val="2"/>
          <w:sz w:val="21"/>
          <w:szCs w:val="21"/>
          <w:lang w:val="en-US" w:eastAsia="zh-CN" w:bidi="ar-SA"/>
        </w:rPr>
        <w:t>.</w:t>
      </w:r>
      <w:r>
        <w:rPr>
          <w:rFonts w:hint="eastAsia" w:cs="Times New Roman"/>
          <w:kern w:val="2"/>
          <w:sz w:val="21"/>
          <w:szCs w:val="21"/>
          <w:lang w:val="en-US" w:eastAsia="zh-CN" w:bidi="ar-SA"/>
        </w:rPr>
        <w:t>5</w:t>
      </w:r>
      <w:r>
        <w:rPr>
          <w:rFonts w:hint="eastAsia" w:ascii="黑体" w:hAnsi="Times New Roman" w:eastAsia="黑体" w:cs="Times New Roman"/>
          <w:kern w:val="2"/>
          <w:sz w:val="21"/>
          <w:szCs w:val="21"/>
          <w:lang w:val="en-US" w:eastAsia="zh-CN" w:bidi="ar-SA"/>
        </w:rPr>
        <w:t>　</w:t>
      </w:r>
      <w:r>
        <w:rPr>
          <w:rFonts w:hint="eastAsia"/>
        </w:rPr>
        <w:t>电缆桥架和金属线槽与各种管道的最小净距</w:t>
      </w:r>
    </w:p>
    <w:p w14:paraId="3DC7A48A">
      <w:pPr>
        <w:pStyle w:val="36"/>
        <w:ind w:firstLine="14400" w:firstLineChars="8000"/>
        <w:rPr>
          <w:rFonts w:hint="eastAsia"/>
          <w:sz w:val="18"/>
          <w:szCs w:val="18"/>
        </w:rPr>
      </w:pPr>
      <w:r>
        <w:rPr>
          <w:rFonts w:hint="eastAsia"/>
          <w:sz w:val="18"/>
          <w:szCs w:val="18"/>
        </w:rPr>
        <w:t>单位为米</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92"/>
        <w:gridCol w:w="3812"/>
        <w:gridCol w:w="4819"/>
        <w:gridCol w:w="4253"/>
      </w:tblGrid>
      <w:tr w14:paraId="440AE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04" w:type="dxa"/>
            <w:gridSpan w:val="2"/>
            <w:tcBorders>
              <w:top w:val="single" w:color="auto" w:sz="4" w:space="0"/>
              <w:bottom w:val="single" w:color="auto" w:sz="4" w:space="0"/>
            </w:tcBorders>
            <w:noWrap w:val="0"/>
            <w:vAlign w:val="center"/>
          </w:tcPr>
          <w:p w14:paraId="3E76F525">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管道类别</w:t>
            </w:r>
          </w:p>
        </w:tc>
        <w:tc>
          <w:tcPr>
            <w:tcW w:w="4819" w:type="dxa"/>
            <w:tcBorders>
              <w:top w:val="single" w:color="auto" w:sz="4" w:space="0"/>
              <w:bottom w:val="single" w:color="auto" w:sz="4" w:space="0"/>
            </w:tcBorders>
            <w:noWrap w:val="0"/>
            <w:vAlign w:val="center"/>
          </w:tcPr>
          <w:p w14:paraId="2ECA001D">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平行净距</w:t>
            </w:r>
          </w:p>
        </w:tc>
        <w:tc>
          <w:tcPr>
            <w:tcW w:w="4253" w:type="dxa"/>
            <w:tcBorders>
              <w:top w:val="single" w:color="auto" w:sz="4" w:space="0"/>
              <w:bottom w:val="single" w:color="auto" w:sz="4" w:space="0"/>
            </w:tcBorders>
            <w:noWrap w:val="0"/>
            <w:vAlign w:val="center"/>
          </w:tcPr>
          <w:p w14:paraId="181FA1CA">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交叉净距</w:t>
            </w:r>
          </w:p>
        </w:tc>
      </w:tr>
      <w:tr w14:paraId="75F80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6204" w:type="dxa"/>
            <w:gridSpan w:val="2"/>
            <w:tcBorders>
              <w:top w:val="single" w:color="auto" w:sz="4" w:space="0"/>
              <w:bottom w:val="single" w:color="auto" w:sz="4" w:space="0"/>
            </w:tcBorders>
            <w:noWrap w:val="0"/>
            <w:vAlign w:val="center"/>
          </w:tcPr>
          <w:p w14:paraId="56DA035D">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一般工艺管道</w:t>
            </w:r>
          </w:p>
        </w:tc>
        <w:tc>
          <w:tcPr>
            <w:tcW w:w="4819" w:type="dxa"/>
            <w:tcBorders>
              <w:top w:val="single" w:color="auto" w:sz="4" w:space="0"/>
              <w:bottom w:val="single" w:color="auto" w:sz="4" w:space="0"/>
            </w:tcBorders>
            <w:noWrap w:val="0"/>
            <w:vAlign w:val="center"/>
          </w:tcPr>
          <w:p w14:paraId="5B4885A2">
            <w:pPr>
              <w:pStyle w:val="207"/>
              <w:adjustRightInd w:val="0"/>
              <w:snapToGrid w:val="0"/>
              <w:ind w:right="0" w:rightChars="0"/>
              <w:jc w:val="center"/>
              <w:rPr>
                <w:rFonts w:ascii="Times New Roman" w:eastAsia="宋体"/>
                <w:spacing w:val="0"/>
                <w:kern w:val="2"/>
                <w:sz w:val="18"/>
                <w:szCs w:val="18"/>
              </w:rPr>
            </w:pPr>
            <w:r>
              <w:rPr>
                <w:rFonts w:ascii="Times New Roman" w:eastAsia="宋体"/>
                <w:spacing w:val="0"/>
                <w:kern w:val="2"/>
                <w:sz w:val="18"/>
                <w:szCs w:val="18"/>
              </w:rPr>
              <w:t>0.4</w:t>
            </w:r>
          </w:p>
        </w:tc>
        <w:tc>
          <w:tcPr>
            <w:tcW w:w="4253" w:type="dxa"/>
            <w:tcBorders>
              <w:top w:val="single" w:color="auto" w:sz="4" w:space="0"/>
              <w:bottom w:val="single" w:color="auto" w:sz="4" w:space="0"/>
            </w:tcBorders>
            <w:noWrap w:val="0"/>
            <w:vAlign w:val="center"/>
          </w:tcPr>
          <w:p w14:paraId="292AD869">
            <w:pPr>
              <w:pStyle w:val="207"/>
              <w:adjustRightInd w:val="0"/>
              <w:snapToGrid w:val="0"/>
              <w:ind w:right="0" w:rightChars="0"/>
              <w:jc w:val="center"/>
              <w:rPr>
                <w:rFonts w:ascii="Times New Roman" w:eastAsia="宋体"/>
                <w:spacing w:val="0"/>
                <w:kern w:val="2"/>
                <w:sz w:val="18"/>
                <w:szCs w:val="18"/>
              </w:rPr>
            </w:pPr>
            <w:r>
              <w:rPr>
                <w:rFonts w:ascii="Times New Roman" w:eastAsia="宋体"/>
                <w:spacing w:val="0"/>
                <w:kern w:val="2"/>
                <w:sz w:val="18"/>
                <w:szCs w:val="18"/>
              </w:rPr>
              <w:t>0.3</w:t>
            </w:r>
          </w:p>
        </w:tc>
      </w:tr>
      <w:tr w14:paraId="7DE8E4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92" w:type="dxa"/>
            <w:vMerge w:val="restart"/>
            <w:tcBorders>
              <w:top w:val="single" w:color="auto" w:sz="8" w:space="0"/>
            </w:tcBorders>
            <w:noWrap w:val="0"/>
            <w:vAlign w:val="center"/>
          </w:tcPr>
          <w:p w14:paraId="6392305C">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热力管道</w:t>
            </w:r>
          </w:p>
        </w:tc>
        <w:tc>
          <w:tcPr>
            <w:tcW w:w="3812" w:type="dxa"/>
            <w:tcBorders>
              <w:top w:val="single" w:color="auto" w:sz="8" w:space="0"/>
            </w:tcBorders>
            <w:noWrap w:val="0"/>
            <w:vAlign w:val="center"/>
          </w:tcPr>
          <w:p w14:paraId="0B6D9146">
            <w:pPr>
              <w:pStyle w:val="207"/>
              <w:adjustRightInd w:val="0"/>
              <w:snapToGrid w:val="0"/>
              <w:ind w:right="0" w:rightChars="0"/>
              <w:jc w:val="center"/>
              <w:rPr>
                <w:rFonts w:ascii="Times New Roman" w:eastAsia="宋体"/>
                <w:spacing w:val="0"/>
                <w:kern w:val="2"/>
                <w:sz w:val="18"/>
                <w:szCs w:val="18"/>
              </w:rPr>
            </w:pPr>
            <w:r>
              <w:rPr>
                <w:rFonts w:hint="eastAsia" w:ascii="Times New Roman" w:eastAsia="宋体"/>
                <w:spacing w:val="0"/>
                <w:kern w:val="2"/>
                <w:sz w:val="18"/>
                <w:szCs w:val="18"/>
              </w:rPr>
              <w:t>有保温层</w:t>
            </w:r>
          </w:p>
        </w:tc>
        <w:tc>
          <w:tcPr>
            <w:tcW w:w="4819" w:type="dxa"/>
            <w:tcBorders>
              <w:top w:val="single" w:color="auto" w:sz="8" w:space="0"/>
            </w:tcBorders>
            <w:noWrap w:val="0"/>
            <w:vAlign w:val="center"/>
          </w:tcPr>
          <w:p w14:paraId="0D2BB18A">
            <w:pPr>
              <w:pStyle w:val="207"/>
              <w:adjustRightInd w:val="0"/>
              <w:snapToGrid w:val="0"/>
              <w:ind w:right="0" w:rightChars="0"/>
              <w:jc w:val="center"/>
              <w:rPr>
                <w:rFonts w:ascii="Times New Roman" w:eastAsia="宋体"/>
                <w:spacing w:val="0"/>
                <w:kern w:val="2"/>
                <w:sz w:val="18"/>
                <w:szCs w:val="18"/>
              </w:rPr>
            </w:pPr>
            <w:r>
              <w:rPr>
                <w:rFonts w:ascii="Times New Roman" w:eastAsia="宋体"/>
                <w:spacing w:val="0"/>
                <w:kern w:val="2"/>
                <w:sz w:val="18"/>
                <w:szCs w:val="18"/>
              </w:rPr>
              <w:t>0.5</w:t>
            </w:r>
          </w:p>
        </w:tc>
        <w:tc>
          <w:tcPr>
            <w:tcW w:w="4253" w:type="dxa"/>
            <w:tcBorders>
              <w:top w:val="single" w:color="auto" w:sz="8" w:space="0"/>
            </w:tcBorders>
            <w:noWrap w:val="0"/>
            <w:vAlign w:val="center"/>
          </w:tcPr>
          <w:p w14:paraId="0E1FBC82">
            <w:pPr>
              <w:pStyle w:val="207"/>
              <w:adjustRightInd w:val="0"/>
              <w:snapToGrid w:val="0"/>
              <w:ind w:right="0" w:rightChars="0"/>
              <w:jc w:val="center"/>
              <w:rPr>
                <w:rFonts w:ascii="Times New Roman" w:eastAsia="宋体"/>
                <w:spacing w:val="0"/>
                <w:kern w:val="2"/>
                <w:sz w:val="18"/>
                <w:szCs w:val="18"/>
              </w:rPr>
            </w:pPr>
            <w:r>
              <w:rPr>
                <w:rFonts w:ascii="Times New Roman" w:eastAsia="宋体"/>
                <w:spacing w:val="0"/>
                <w:kern w:val="2"/>
                <w:sz w:val="18"/>
                <w:szCs w:val="18"/>
              </w:rPr>
              <w:t>0.3</w:t>
            </w:r>
          </w:p>
        </w:tc>
      </w:tr>
      <w:tr w14:paraId="24A05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392" w:type="dxa"/>
            <w:vMerge w:val="continue"/>
            <w:noWrap w:val="0"/>
            <w:vAlign w:val="center"/>
          </w:tcPr>
          <w:p w14:paraId="2AC741C6">
            <w:pPr>
              <w:adjustRightInd w:val="0"/>
              <w:snapToGrid w:val="0"/>
              <w:jc w:val="center"/>
              <w:rPr>
                <w:rFonts w:hint="eastAsia" w:ascii="宋体"/>
                <w:sz w:val="18"/>
              </w:rPr>
            </w:pPr>
          </w:p>
        </w:tc>
        <w:tc>
          <w:tcPr>
            <w:tcW w:w="3812" w:type="dxa"/>
            <w:noWrap w:val="0"/>
            <w:vAlign w:val="center"/>
          </w:tcPr>
          <w:p w14:paraId="626A3EAC">
            <w:pPr>
              <w:adjustRightInd w:val="0"/>
              <w:snapToGrid w:val="0"/>
              <w:jc w:val="center"/>
              <w:rPr>
                <w:rFonts w:hint="eastAsia" w:ascii="宋体"/>
                <w:sz w:val="18"/>
              </w:rPr>
            </w:pPr>
            <w:r>
              <w:rPr>
                <w:rFonts w:hint="eastAsia"/>
                <w:sz w:val="18"/>
                <w:szCs w:val="18"/>
              </w:rPr>
              <w:t>无保温层</w:t>
            </w:r>
          </w:p>
        </w:tc>
        <w:tc>
          <w:tcPr>
            <w:tcW w:w="4819" w:type="dxa"/>
            <w:noWrap w:val="0"/>
            <w:vAlign w:val="center"/>
          </w:tcPr>
          <w:p w14:paraId="45C404C8">
            <w:pPr>
              <w:adjustRightInd w:val="0"/>
              <w:snapToGrid w:val="0"/>
              <w:jc w:val="center"/>
              <w:rPr>
                <w:rFonts w:hint="eastAsia" w:ascii="宋体"/>
                <w:sz w:val="18"/>
              </w:rPr>
            </w:pPr>
            <w:r>
              <w:rPr>
                <w:sz w:val="18"/>
                <w:szCs w:val="18"/>
              </w:rPr>
              <w:t>1.0</w:t>
            </w:r>
          </w:p>
        </w:tc>
        <w:tc>
          <w:tcPr>
            <w:tcW w:w="4253" w:type="dxa"/>
            <w:noWrap w:val="0"/>
            <w:vAlign w:val="center"/>
          </w:tcPr>
          <w:p w14:paraId="36A6F8C8">
            <w:pPr>
              <w:adjustRightInd w:val="0"/>
              <w:snapToGrid w:val="0"/>
              <w:jc w:val="center"/>
              <w:rPr>
                <w:rFonts w:hint="eastAsia" w:ascii="宋体"/>
                <w:sz w:val="18"/>
              </w:rPr>
            </w:pPr>
            <w:r>
              <w:rPr>
                <w:sz w:val="18"/>
                <w:szCs w:val="18"/>
              </w:rPr>
              <w:t>0.5</w:t>
            </w:r>
          </w:p>
        </w:tc>
      </w:tr>
    </w:tbl>
    <w:p w14:paraId="497A346A">
      <w:pPr>
        <w:rPr>
          <w:rFonts w:hint="eastAsia" w:ascii="黑体" w:eastAsia="黑体"/>
        </w:rPr>
      </w:pPr>
    </w:p>
    <w:p w14:paraId="655263B9">
      <w:pPr>
        <w:pStyle w:val="167"/>
        <w:numPr>
          <w:numId w:val="0"/>
        </w:numPr>
        <w:tabs>
          <w:tab w:val="clear" w:pos="0"/>
        </w:tabs>
        <w:ind w:left="0" w:leftChars="0" w:hanging="425" w:firstLineChars="0"/>
        <w:rPr>
          <w:rFonts w:hint="eastAsia"/>
        </w:rPr>
      </w:pPr>
      <w:bookmarkStart w:id="574" w:name="_Toc29977"/>
      <w:bookmarkStart w:id="575" w:name="_Toc5811"/>
      <w:r>
        <w:rPr>
          <w:rFonts w:hint="eastAsia" w:ascii="Times New Roman" w:hAnsi="Times New Roman" w:eastAsia="宋体" w:cs="Times New Roman"/>
          <w:color w:val="FFFFFF"/>
          <w:kern w:val="2"/>
          <w:sz w:val="21"/>
          <w:szCs w:val="24"/>
          <w:lang w:val="en-US" w:eastAsia="zh-CN" w:bidi="ar-SA"/>
        </w:rPr>
        <w:t>G</w:t>
      </w:r>
      <w:bookmarkEnd w:id="574"/>
      <w:bookmarkEnd w:id="575"/>
    </w:p>
    <w:p w14:paraId="3ED57A01">
      <w:pPr>
        <w:pStyle w:val="160"/>
        <w:rPr>
          <w:rFonts w:hint="eastAsia"/>
        </w:rPr>
      </w:pPr>
      <w:bookmarkStart w:id="576" w:name="_Toc14536"/>
      <w:bookmarkStart w:id="577" w:name="_Toc6142"/>
      <w:r>
        <w:br w:type="textWrapping"/>
      </w:r>
      <w:bookmarkStart w:id="578" w:name="_Toc482174639"/>
      <w:bookmarkStart w:id="579" w:name="_Toc504594729"/>
      <w:bookmarkStart w:id="580" w:name="_Toc504931854"/>
      <w:bookmarkStart w:id="581" w:name="_Toc484965507"/>
      <w:bookmarkStart w:id="582" w:name="_Toc498286361"/>
      <w:bookmarkStart w:id="583" w:name="_Toc482189188"/>
      <w:bookmarkStart w:id="584" w:name="_Toc482175061"/>
      <w:bookmarkStart w:id="585" w:name="_Toc484984816"/>
      <w:bookmarkStart w:id="586" w:name="_Toc484958283"/>
      <w:bookmarkStart w:id="587" w:name="_Toc482172284"/>
      <w:bookmarkStart w:id="588" w:name="_Toc498348148"/>
      <w:bookmarkStart w:id="589" w:name="_Toc482174155"/>
      <w:bookmarkStart w:id="590" w:name="_Toc482172343"/>
      <w:bookmarkStart w:id="591" w:name="_Toc486261044"/>
      <w:bookmarkStart w:id="592" w:name="_Toc498325688"/>
      <w:bookmarkStart w:id="593" w:name="_Toc498337283"/>
      <w:bookmarkStart w:id="594" w:name="_Toc484965777"/>
      <w:bookmarkStart w:id="595" w:name="_Toc482198500"/>
      <w:r>
        <w:rPr>
          <w:rFonts w:hint="eastAsia"/>
        </w:rPr>
        <w:t>（规范性附录）</w:t>
      </w:r>
      <w:r>
        <w:br w:type="textWrapping"/>
      </w:r>
      <w:r>
        <w:rPr>
          <w:rFonts w:hint="eastAsia"/>
        </w:rPr>
        <w:t>消防要素的安全生产等级评定细则</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608B81EE">
      <w:pPr>
        <w:pStyle w:val="36"/>
        <w:ind w:firstLine="0" w:firstLineChars="0"/>
        <w:rPr>
          <w:rFonts w:hint="eastAsia"/>
        </w:rPr>
      </w:pPr>
      <w:r>
        <w:rPr>
          <w:rFonts w:hint="eastAsia" w:ascii="黑体" w:hAnsi="黑体" w:eastAsia="黑体"/>
        </w:rPr>
        <w:t xml:space="preserve">H.1  </w:t>
      </w:r>
      <w:r>
        <w:rPr>
          <w:rFonts w:hint="eastAsia" w:hAnsi="宋体"/>
        </w:rPr>
        <w:t>表H.1给出了消防要素的安全生产等级评定细则，总分1</w:t>
      </w:r>
      <w:r>
        <w:rPr>
          <w:rFonts w:hint="eastAsia" w:hAnsi="宋体"/>
          <w:lang w:val="en-US" w:eastAsia="zh-CN"/>
        </w:rPr>
        <w:t>20</w:t>
      </w:r>
      <w:r>
        <w:rPr>
          <w:rFonts w:hint="eastAsia" w:hAnsi="宋体"/>
        </w:rPr>
        <w:t>分。</w:t>
      </w:r>
    </w:p>
    <w:p w14:paraId="00B46FD9">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H</w:t>
      </w:r>
      <w:r>
        <w:rPr>
          <w:rFonts w:hint="eastAsia" w:ascii="黑体" w:hAnsi="Times New Roman" w:eastAsia="黑体" w:cs="Times New Roman"/>
          <w:kern w:val="2"/>
          <w:sz w:val="21"/>
          <w:szCs w:val="21"/>
          <w:lang w:val="en-US" w:eastAsia="zh-CN" w:bidi="ar-SA"/>
        </w:rPr>
        <w:t>.1　</w:t>
      </w:r>
      <w:r>
        <w:rPr>
          <w:rFonts w:hint="eastAsia"/>
        </w:rPr>
        <w:t>消防要素的安全生产等级评定细则</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6627"/>
        <w:gridCol w:w="738"/>
        <w:gridCol w:w="633"/>
        <w:gridCol w:w="633"/>
        <w:gridCol w:w="2803"/>
        <w:gridCol w:w="679"/>
        <w:gridCol w:w="1084"/>
        <w:gridCol w:w="1179"/>
      </w:tblGrid>
      <w:tr w14:paraId="029DE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77" w:type="dxa"/>
            <w:tcBorders>
              <w:top w:val="single" w:color="000000" w:sz="4" w:space="0"/>
              <w:left w:val="single" w:color="000000" w:sz="4" w:space="0"/>
              <w:bottom w:val="single" w:color="000000" w:sz="4" w:space="0"/>
              <w:right w:val="single" w:color="000000" w:sz="4" w:space="0"/>
            </w:tcBorders>
            <w:noWrap w:val="0"/>
            <w:vAlign w:val="center"/>
          </w:tcPr>
          <w:p w14:paraId="5527233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27" w:type="dxa"/>
            <w:tcBorders>
              <w:top w:val="single" w:color="000000" w:sz="4" w:space="0"/>
              <w:left w:val="single" w:color="000000" w:sz="4" w:space="0"/>
              <w:bottom w:val="single" w:color="auto" w:sz="4" w:space="0"/>
              <w:right w:val="single" w:color="auto" w:sz="4" w:space="0"/>
            </w:tcBorders>
            <w:noWrap w:val="0"/>
            <w:vAlign w:val="center"/>
          </w:tcPr>
          <w:p w14:paraId="13EC70A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8" w:type="dxa"/>
            <w:tcBorders>
              <w:top w:val="single" w:color="000000" w:sz="4" w:space="0"/>
              <w:left w:val="single" w:color="auto" w:sz="4" w:space="0"/>
              <w:bottom w:val="single" w:color="auto" w:sz="4" w:space="0"/>
              <w:right w:val="single" w:color="auto" w:sz="4" w:space="0"/>
            </w:tcBorders>
            <w:noWrap w:val="0"/>
            <w:vAlign w:val="center"/>
          </w:tcPr>
          <w:p w14:paraId="45BFDF9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3" w:type="dxa"/>
            <w:tcBorders>
              <w:top w:val="single" w:color="000000" w:sz="4" w:space="0"/>
              <w:left w:val="single" w:color="auto" w:sz="4" w:space="0"/>
              <w:bottom w:val="single" w:color="auto" w:sz="4" w:space="0"/>
              <w:right w:val="single" w:color="auto" w:sz="4" w:space="0"/>
            </w:tcBorders>
            <w:noWrap w:val="0"/>
            <w:vAlign w:val="top"/>
          </w:tcPr>
          <w:p w14:paraId="296CBE9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tcBorders>
              <w:top w:val="single" w:color="000000" w:sz="4" w:space="0"/>
              <w:left w:val="single" w:color="auto" w:sz="4" w:space="0"/>
              <w:bottom w:val="single" w:color="auto" w:sz="4" w:space="0"/>
              <w:right w:val="single" w:color="auto" w:sz="4" w:space="0"/>
            </w:tcBorders>
            <w:noWrap w:val="0"/>
            <w:vAlign w:val="top"/>
          </w:tcPr>
          <w:p w14:paraId="6524CC6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803" w:type="dxa"/>
            <w:tcBorders>
              <w:top w:val="single" w:color="000000" w:sz="4" w:space="0"/>
              <w:left w:val="single" w:color="auto" w:sz="4" w:space="0"/>
              <w:bottom w:val="single" w:color="auto" w:sz="4" w:space="0"/>
              <w:right w:val="single" w:color="auto" w:sz="4" w:space="0"/>
            </w:tcBorders>
            <w:noWrap w:val="0"/>
            <w:vAlign w:val="center"/>
          </w:tcPr>
          <w:p w14:paraId="1143C45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9" w:type="dxa"/>
            <w:tcBorders>
              <w:top w:val="single" w:color="000000" w:sz="4" w:space="0"/>
              <w:left w:val="single" w:color="auto" w:sz="4" w:space="0"/>
              <w:bottom w:val="single" w:color="auto" w:sz="4" w:space="0"/>
              <w:right w:val="single" w:color="auto" w:sz="4" w:space="0"/>
            </w:tcBorders>
            <w:noWrap w:val="0"/>
            <w:vAlign w:val="center"/>
          </w:tcPr>
          <w:p w14:paraId="6B62130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084" w:type="dxa"/>
            <w:tcBorders>
              <w:top w:val="single" w:color="000000" w:sz="4" w:space="0"/>
              <w:left w:val="single" w:color="auto" w:sz="4" w:space="0"/>
              <w:bottom w:val="single" w:color="auto" w:sz="4" w:space="0"/>
              <w:right w:val="single" w:color="auto" w:sz="4" w:space="0"/>
            </w:tcBorders>
            <w:noWrap w:val="0"/>
            <w:vAlign w:val="center"/>
          </w:tcPr>
          <w:p w14:paraId="6E1EDAE4">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9" w:type="dxa"/>
            <w:tcBorders>
              <w:top w:val="single" w:color="000000" w:sz="4" w:space="0"/>
              <w:left w:val="single" w:color="auto" w:sz="4" w:space="0"/>
              <w:bottom w:val="single" w:color="auto" w:sz="4" w:space="0"/>
              <w:right w:val="single" w:color="000000" w:sz="4" w:space="0"/>
            </w:tcBorders>
            <w:noWrap w:val="0"/>
            <w:vAlign w:val="center"/>
          </w:tcPr>
          <w:p w14:paraId="07BA02D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26B3C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77" w:type="dxa"/>
            <w:tcBorders>
              <w:top w:val="single" w:color="000000" w:sz="4" w:space="0"/>
              <w:left w:val="single" w:color="000000" w:sz="4" w:space="0"/>
              <w:bottom w:val="single" w:color="000000" w:sz="4" w:space="0"/>
              <w:right w:val="single" w:color="000000" w:sz="4" w:space="0"/>
            </w:tcBorders>
            <w:noWrap w:val="0"/>
            <w:vAlign w:val="center"/>
          </w:tcPr>
          <w:p w14:paraId="138EBCD3">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7</w:t>
            </w:r>
          </w:p>
        </w:tc>
        <w:tc>
          <w:tcPr>
            <w:tcW w:w="6627" w:type="dxa"/>
            <w:tcBorders>
              <w:top w:val="single" w:color="000000" w:sz="4" w:space="0"/>
              <w:left w:val="single" w:color="000000" w:sz="4" w:space="0"/>
              <w:bottom w:val="single" w:color="auto" w:sz="4" w:space="0"/>
              <w:right w:val="single" w:color="auto" w:sz="4" w:space="0"/>
            </w:tcBorders>
            <w:noWrap w:val="0"/>
            <w:vAlign w:val="center"/>
          </w:tcPr>
          <w:p w14:paraId="11137E8C">
            <w:pPr>
              <w:adjustRightInd w:val="0"/>
              <w:snapToGrid w:val="0"/>
              <w:rPr>
                <w:rFonts w:ascii="宋体" w:hAnsi="宋体" w:cs="宋体"/>
                <w:snapToGrid w:val="0"/>
                <w:kern w:val="21"/>
                <w:sz w:val="18"/>
                <w:szCs w:val="18"/>
              </w:rPr>
            </w:pPr>
            <w:r>
              <w:rPr>
                <w:rFonts w:hint="eastAsia" w:ascii="宋体" w:hAnsi="宋体" w:cs="宋体"/>
                <w:snapToGrid w:val="0"/>
                <w:kern w:val="21"/>
                <w:sz w:val="18"/>
                <w:szCs w:val="18"/>
              </w:rPr>
              <w:t>消防</w:t>
            </w:r>
          </w:p>
        </w:tc>
        <w:tc>
          <w:tcPr>
            <w:tcW w:w="738" w:type="dxa"/>
            <w:tcBorders>
              <w:top w:val="single" w:color="000000" w:sz="4" w:space="0"/>
              <w:left w:val="single" w:color="auto" w:sz="4" w:space="0"/>
              <w:bottom w:val="single" w:color="auto" w:sz="4" w:space="0"/>
              <w:right w:val="single" w:color="auto" w:sz="4" w:space="0"/>
            </w:tcBorders>
            <w:noWrap w:val="0"/>
            <w:vAlign w:val="center"/>
          </w:tcPr>
          <w:p w14:paraId="44103287">
            <w:pPr>
              <w:adjustRightInd w:val="0"/>
              <w:snapToGrid w:val="0"/>
              <w:jc w:val="center"/>
              <w:rPr>
                <w:rFonts w:hint="default" w:ascii="宋体" w:hAnsi="宋体" w:eastAsia="宋体" w:cs="宋体"/>
                <w:snapToGrid w:val="0"/>
                <w:kern w:val="21"/>
                <w:sz w:val="18"/>
                <w:szCs w:val="18"/>
                <w:lang w:val="en-US" w:eastAsia="zh-CN"/>
              </w:rPr>
            </w:pPr>
            <w:r>
              <w:rPr>
                <w:rFonts w:hint="eastAsia" w:ascii="宋体" w:hAnsi="宋体" w:cs="宋体"/>
                <w:snapToGrid w:val="0"/>
                <w:kern w:val="21"/>
                <w:sz w:val="18"/>
                <w:szCs w:val="18"/>
              </w:rPr>
              <w:t>1</w:t>
            </w:r>
            <w:r>
              <w:rPr>
                <w:rFonts w:hint="eastAsia" w:ascii="宋体" w:hAnsi="宋体" w:cs="宋体"/>
                <w:snapToGrid w:val="0"/>
                <w:kern w:val="21"/>
                <w:sz w:val="18"/>
                <w:szCs w:val="18"/>
                <w:lang w:val="en-US" w:eastAsia="zh-CN"/>
              </w:rPr>
              <w:t>20</w:t>
            </w:r>
          </w:p>
        </w:tc>
        <w:tc>
          <w:tcPr>
            <w:tcW w:w="633" w:type="dxa"/>
            <w:tcBorders>
              <w:top w:val="single" w:color="000000" w:sz="4" w:space="0"/>
              <w:left w:val="single" w:color="auto" w:sz="4" w:space="0"/>
              <w:bottom w:val="single" w:color="auto" w:sz="4" w:space="0"/>
              <w:right w:val="single" w:color="auto" w:sz="4" w:space="0"/>
            </w:tcBorders>
            <w:noWrap w:val="0"/>
            <w:vAlign w:val="top"/>
          </w:tcPr>
          <w:p w14:paraId="5BFE3D95">
            <w:pPr>
              <w:adjustRightInd w:val="0"/>
              <w:snapToGrid w:val="0"/>
              <w:jc w:val="center"/>
              <w:rPr>
                <w:rFonts w:ascii="宋体" w:hAnsi="宋体" w:cs="宋体"/>
                <w:snapToGrid w:val="0"/>
                <w:kern w:val="21"/>
                <w:sz w:val="18"/>
                <w:szCs w:val="18"/>
              </w:rPr>
            </w:pPr>
          </w:p>
        </w:tc>
        <w:tc>
          <w:tcPr>
            <w:tcW w:w="633" w:type="dxa"/>
            <w:tcBorders>
              <w:top w:val="single" w:color="000000" w:sz="4" w:space="0"/>
              <w:left w:val="single" w:color="auto" w:sz="4" w:space="0"/>
              <w:bottom w:val="single" w:color="auto" w:sz="4" w:space="0"/>
              <w:right w:val="single" w:color="auto" w:sz="4" w:space="0"/>
            </w:tcBorders>
            <w:noWrap w:val="0"/>
            <w:vAlign w:val="top"/>
          </w:tcPr>
          <w:p w14:paraId="503D53CC">
            <w:pPr>
              <w:adjustRightInd w:val="0"/>
              <w:snapToGrid w:val="0"/>
              <w:jc w:val="center"/>
              <w:rPr>
                <w:rFonts w:ascii="宋体" w:hAnsi="宋体" w:cs="宋体"/>
                <w:snapToGrid w:val="0"/>
                <w:kern w:val="21"/>
                <w:sz w:val="18"/>
                <w:szCs w:val="18"/>
              </w:rPr>
            </w:pPr>
          </w:p>
        </w:tc>
        <w:tc>
          <w:tcPr>
            <w:tcW w:w="2803" w:type="dxa"/>
            <w:tcBorders>
              <w:top w:val="single" w:color="000000" w:sz="4" w:space="0"/>
              <w:left w:val="single" w:color="auto" w:sz="4" w:space="0"/>
              <w:bottom w:val="single" w:color="auto" w:sz="4" w:space="0"/>
              <w:right w:val="single" w:color="auto" w:sz="4" w:space="0"/>
            </w:tcBorders>
            <w:noWrap w:val="0"/>
            <w:vAlign w:val="center"/>
          </w:tcPr>
          <w:p w14:paraId="3C1D9EDF">
            <w:pPr>
              <w:adjustRightInd w:val="0"/>
              <w:snapToGrid w:val="0"/>
              <w:rPr>
                <w:rFonts w:ascii="宋体" w:hAnsi="宋体" w:cs="宋体"/>
                <w:snapToGrid w:val="0"/>
                <w:kern w:val="21"/>
                <w:sz w:val="18"/>
                <w:szCs w:val="18"/>
              </w:rPr>
            </w:pPr>
          </w:p>
        </w:tc>
        <w:tc>
          <w:tcPr>
            <w:tcW w:w="679" w:type="dxa"/>
            <w:tcBorders>
              <w:top w:val="single" w:color="000000" w:sz="4" w:space="0"/>
              <w:left w:val="single" w:color="auto" w:sz="4" w:space="0"/>
              <w:bottom w:val="single" w:color="auto" w:sz="4" w:space="0"/>
              <w:right w:val="single" w:color="auto" w:sz="4" w:space="0"/>
            </w:tcBorders>
            <w:noWrap w:val="0"/>
            <w:vAlign w:val="center"/>
          </w:tcPr>
          <w:p w14:paraId="409892E4">
            <w:pPr>
              <w:adjustRightInd w:val="0"/>
              <w:snapToGrid w:val="0"/>
              <w:jc w:val="center"/>
              <w:rPr>
                <w:rFonts w:ascii="宋体" w:hAnsi="宋体" w:cs="宋体"/>
                <w:snapToGrid w:val="0"/>
                <w:kern w:val="21"/>
                <w:sz w:val="18"/>
                <w:szCs w:val="18"/>
              </w:rPr>
            </w:pPr>
          </w:p>
        </w:tc>
        <w:tc>
          <w:tcPr>
            <w:tcW w:w="1084" w:type="dxa"/>
            <w:tcBorders>
              <w:top w:val="single" w:color="000000" w:sz="4" w:space="0"/>
              <w:left w:val="single" w:color="auto" w:sz="4" w:space="0"/>
              <w:bottom w:val="single" w:color="auto" w:sz="4" w:space="0"/>
              <w:right w:val="single" w:color="auto" w:sz="4" w:space="0"/>
            </w:tcBorders>
            <w:noWrap w:val="0"/>
            <w:vAlign w:val="center"/>
          </w:tcPr>
          <w:p w14:paraId="4FA18B08">
            <w:pPr>
              <w:adjustRightInd w:val="0"/>
              <w:snapToGrid w:val="0"/>
              <w:jc w:val="center"/>
              <w:rPr>
                <w:rFonts w:ascii="宋体" w:hAnsi="宋体" w:cs="宋体"/>
                <w:snapToGrid w:val="0"/>
                <w:kern w:val="21"/>
                <w:sz w:val="18"/>
                <w:szCs w:val="18"/>
              </w:rPr>
            </w:pPr>
          </w:p>
        </w:tc>
        <w:tc>
          <w:tcPr>
            <w:tcW w:w="1179" w:type="dxa"/>
            <w:tcBorders>
              <w:top w:val="single" w:color="000000" w:sz="4" w:space="0"/>
              <w:left w:val="single" w:color="auto" w:sz="4" w:space="0"/>
              <w:bottom w:val="single" w:color="auto" w:sz="4" w:space="0"/>
              <w:right w:val="single" w:color="000000" w:sz="4" w:space="0"/>
            </w:tcBorders>
            <w:noWrap w:val="0"/>
            <w:vAlign w:val="center"/>
          </w:tcPr>
          <w:p w14:paraId="02AC7B6E">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lang w:eastAsia="zh-CN"/>
              </w:rPr>
              <w:t>4.7</w:t>
            </w:r>
          </w:p>
        </w:tc>
      </w:tr>
      <w:tr w14:paraId="13AEC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77" w:type="dxa"/>
            <w:tcBorders>
              <w:top w:val="single" w:color="000000" w:sz="4" w:space="0"/>
              <w:left w:val="single" w:color="000000" w:sz="4" w:space="0"/>
              <w:bottom w:val="single" w:color="000000" w:sz="4" w:space="0"/>
              <w:right w:val="single" w:color="000000" w:sz="4" w:space="0"/>
            </w:tcBorders>
            <w:noWrap w:val="0"/>
            <w:vAlign w:val="center"/>
          </w:tcPr>
          <w:p w14:paraId="0DD968C5">
            <w:pPr>
              <w:adjustRightInd w:val="0"/>
              <w:snapToGrid w:val="0"/>
              <w:jc w:val="center"/>
              <w:rPr>
                <w:rFonts w:hint="eastAsia" w:ascii="宋体" w:hAnsi="宋体" w:cs="宋体"/>
                <w:snapToGrid w:val="0"/>
                <w:kern w:val="21"/>
                <w:sz w:val="18"/>
                <w:szCs w:val="18"/>
              </w:rPr>
            </w:pPr>
            <w:r>
              <w:rPr>
                <w:rFonts w:hint="eastAsia" w:ascii="宋体" w:hAnsi="宋体" w:cs="宋体"/>
                <w:snapToGrid w:val="0"/>
                <w:kern w:val="21"/>
                <w:sz w:val="18"/>
                <w:szCs w:val="18"/>
              </w:rPr>
              <w:t>7.1</w:t>
            </w:r>
          </w:p>
        </w:tc>
        <w:tc>
          <w:tcPr>
            <w:tcW w:w="6627" w:type="dxa"/>
            <w:tcBorders>
              <w:top w:val="single" w:color="000000" w:sz="4" w:space="0"/>
              <w:left w:val="single" w:color="000000" w:sz="4" w:space="0"/>
              <w:bottom w:val="single" w:color="auto" w:sz="4" w:space="0"/>
              <w:right w:val="single" w:color="auto" w:sz="4" w:space="0"/>
            </w:tcBorders>
            <w:noWrap w:val="0"/>
            <w:vAlign w:val="center"/>
          </w:tcPr>
          <w:p w14:paraId="229F9A0C">
            <w:pPr>
              <w:adjustRightInd w:val="0"/>
              <w:snapToGrid w:val="0"/>
              <w:rPr>
                <w:rFonts w:hint="eastAsia" w:ascii="宋体" w:hAnsi="宋体" w:cs="宋体"/>
                <w:snapToGrid w:val="0"/>
                <w:kern w:val="21"/>
                <w:sz w:val="18"/>
                <w:szCs w:val="18"/>
              </w:rPr>
            </w:pPr>
            <w:r>
              <w:rPr>
                <w:rFonts w:hint="eastAsia" w:ascii="宋体" w:hAnsi="宋体" w:cs="宋体"/>
                <w:snapToGrid w:val="0"/>
                <w:kern w:val="21"/>
                <w:sz w:val="18"/>
                <w:szCs w:val="18"/>
              </w:rPr>
              <w:t>消防设施资料和日常管理</w:t>
            </w:r>
          </w:p>
        </w:tc>
        <w:tc>
          <w:tcPr>
            <w:tcW w:w="738" w:type="dxa"/>
            <w:tcBorders>
              <w:top w:val="single" w:color="000000" w:sz="4" w:space="0"/>
              <w:left w:val="single" w:color="auto" w:sz="4" w:space="0"/>
              <w:bottom w:val="single" w:color="auto" w:sz="4" w:space="0"/>
              <w:right w:val="single" w:color="auto" w:sz="4" w:space="0"/>
            </w:tcBorders>
            <w:noWrap w:val="0"/>
            <w:vAlign w:val="center"/>
          </w:tcPr>
          <w:p w14:paraId="70B896B6">
            <w:pPr>
              <w:adjustRightInd w:val="0"/>
              <w:snapToGrid w:val="0"/>
              <w:jc w:val="center"/>
              <w:rPr>
                <w:rFonts w:hint="eastAsia" w:ascii="宋体" w:hAnsi="宋体" w:cs="宋体"/>
                <w:snapToGrid w:val="0"/>
                <w:kern w:val="21"/>
                <w:sz w:val="18"/>
                <w:szCs w:val="18"/>
              </w:rPr>
            </w:pPr>
          </w:p>
        </w:tc>
        <w:tc>
          <w:tcPr>
            <w:tcW w:w="633" w:type="dxa"/>
            <w:tcBorders>
              <w:top w:val="single" w:color="000000" w:sz="4" w:space="0"/>
              <w:left w:val="single" w:color="auto" w:sz="4" w:space="0"/>
              <w:bottom w:val="single" w:color="auto" w:sz="4" w:space="0"/>
              <w:right w:val="single" w:color="auto" w:sz="4" w:space="0"/>
            </w:tcBorders>
            <w:noWrap w:val="0"/>
            <w:vAlign w:val="top"/>
          </w:tcPr>
          <w:p w14:paraId="405BF2B7">
            <w:pPr>
              <w:adjustRightInd w:val="0"/>
              <w:snapToGrid w:val="0"/>
              <w:jc w:val="center"/>
              <w:rPr>
                <w:rFonts w:hint="default" w:ascii="宋体" w:hAnsi="宋体" w:eastAsia="宋体" w:cs="宋体"/>
                <w:snapToGrid w:val="0"/>
                <w:kern w:val="21"/>
                <w:sz w:val="18"/>
                <w:szCs w:val="18"/>
                <w:lang w:val="en-US" w:eastAsia="zh-CN"/>
              </w:rPr>
            </w:pPr>
            <w:r>
              <w:rPr>
                <w:rFonts w:hint="eastAsia" w:ascii="宋体" w:hAnsi="宋体" w:cs="宋体"/>
                <w:snapToGrid w:val="0"/>
                <w:kern w:val="21"/>
                <w:sz w:val="18"/>
                <w:szCs w:val="18"/>
                <w:lang w:val="en-US" w:eastAsia="zh-CN"/>
              </w:rPr>
              <w:t>10</w:t>
            </w:r>
          </w:p>
        </w:tc>
        <w:tc>
          <w:tcPr>
            <w:tcW w:w="633" w:type="dxa"/>
            <w:tcBorders>
              <w:top w:val="single" w:color="000000" w:sz="4" w:space="0"/>
              <w:left w:val="single" w:color="auto" w:sz="4" w:space="0"/>
              <w:bottom w:val="single" w:color="auto" w:sz="4" w:space="0"/>
              <w:right w:val="single" w:color="auto" w:sz="4" w:space="0"/>
            </w:tcBorders>
            <w:noWrap w:val="0"/>
            <w:vAlign w:val="top"/>
          </w:tcPr>
          <w:p w14:paraId="0EF3219E">
            <w:pPr>
              <w:adjustRightInd w:val="0"/>
              <w:snapToGrid w:val="0"/>
              <w:jc w:val="center"/>
              <w:rPr>
                <w:rFonts w:ascii="宋体" w:hAnsi="宋体" w:cs="宋体"/>
                <w:snapToGrid w:val="0"/>
                <w:kern w:val="21"/>
                <w:sz w:val="18"/>
                <w:szCs w:val="18"/>
              </w:rPr>
            </w:pPr>
          </w:p>
        </w:tc>
        <w:tc>
          <w:tcPr>
            <w:tcW w:w="2803" w:type="dxa"/>
            <w:tcBorders>
              <w:top w:val="single" w:color="000000" w:sz="4" w:space="0"/>
              <w:left w:val="single" w:color="auto" w:sz="4" w:space="0"/>
              <w:bottom w:val="single" w:color="auto" w:sz="4" w:space="0"/>
              <w:right w:val="single" w:color="auto" w:sz="4" w:space="0"/>
            </w:tcBorders>
            <w:noWrap w:val="0"/>
            <w:vAlign w:val="center"/>
          </w:tcPr>
          <w:p w14:paraId="101838DD">
            <w:pPr>
              <w:adjustRightInd w:val="0"/>
              <w:snapToGrid w:val="0"/>
              <w:rPr>
                <w:rFonts w:ascii="宋体" w:hAnsi="宋体" w:cs="宋体"/>
                <w:snapToGrid w:val="0"/>
                <w:kern w:val="21"/>
                <w:sz w:val="18"/>
                <w:szCs w:val="18"/>
              </w:rPr>
            </w:pPr>
          </w:p>
        </w:tc>
        <w:tc>
          <w:tcPr>
            <w:tcW w:w="679" w:type="dxa"/>
            <w:tcBorders>
              <w:top w:val="single" w:color="000000" w:sz="4" w:space="0"/>
              <w:left w:val="single" w:color="auto" w:sz="4" w:space="0"/>
              <w:bottom w:val="single" w:color="auto" w:sz="4" w:space="0"/>
              <w:right w:val="single" w:color="auto" w:sz="4" w:space="0"/>
            </w:tcBorders>
            <w:noWrap w:val="0"/>
            <w:vAlign w:val="center"/>
          </w:tcPr>
          <w:p w14:paraId="4E5BA631">
            <w:pPr>
              <w:adjustRightInd w:val="0"/>
              <w:snapToGrid w:val="0"/>
              <w:jc w:val="center"/>
              <w:rPr>
                <w:rFonts w:ascii="宋体" w:hAnsi="宋体" w:cs="宋体"/>
                <w:snapToGrid w:val="0"/>
                <w:kern w:val="21"/>
                <w:sz w:val="18"/>
                <w:szCs w:val="18"/>
              </w:rPr>
            </w:pPr>
          </w:p>
        </w:tc>
        <w:tc>
          <w:tcPr>
            <w:tcW w:w="1084" w:type="dxa"/>
            <w:tcBorders>
              <w:top w:val="single" w:color="000000" w:sz="4" w:space="0"/>
              <w:left w:val="single" w:color="auto" w:sz="4" w:space="0"/>
              <w:bottom w:val="single" w:color="auto" w:sz="4" w:space="0"/>
              <w:right w:val="single" w:color="auto" w:sz="4" w:space="0"/>
            </w:tcBorders>
            <w:noWrap w:val="0"/>
            <w:vAlign w:val="center"/>
          </w:tcPr>
          <w:p w14:paraId="56F85924">
            <w:pPr>
              <w:adjustRightInd w:val="0"/>
              <w:snapToGrid w:val="0"/>
              <w:jc w:val="center"/>
              <w:rPr>
                <w:rFonts w:ascii="宋体" w:hAnsi="宋体" w:cs="宋体"/>
                <w:snapToGrid w:val="0"/>
                <w:kern w:val="21"/>
                <w:sz w:val="18"/>
                <w:szCs w:val="18"/>
              </w:rPr>
            </w:pPr>
          </w:p>
        </w:tc>
        <w:tc>
          <w:tcPr>
            <w:tcW w:w="1179" w:type="dxa"/>
            <w:tcBorders>
              <w:top w:val="single" w:color="000000" w:sz="4" w:space="0"/>
              <w:left w:val="single" w:color="auto" w:sz="4" w:space="0"/>
              <w:bottom w:val="single" w:color="auto" w:sz="4" w:space="0"/>
              <w:right w:val="single" w:color="000000" w:sz="4" w:space="0"/>
            </w:tcBorders>
            <w:noWrap w:val="0"/>
            <w:vAlign w:val="center"/>
          </w:tcPr>
          <w:p w14:paraId="5E29DEC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4.7</w:t>
            </w:r>
            <w:r>
              <w:rPr>
                <w:rFonts w:hint="eastAsia" w:ascii="宋体" w:hAnsi="宋体" w:cs="宋体"/>
                <w:snapToGrid w:val="0"/>
                <w:kern w:val="21"/>
                <w:sz w:val="18"/>
                <w:szCs w:val="18"/>
              </w:rPr>
              <w:t>.1</w:t>
            </w:r>
          </w:p>
        </w:tc>
      </w:tr>
      <w:tr w14:paraId="02BDE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tblHeader/>
          <w:jc w:val="center"/>
        </w:trPr>
        <w:tc>
          <w:tcPr>
            <w:tcW w:w="977" w:type="dxa"/>
            <w:tcBorders>
              <w:top w:val="single" w:color="000000" w:sz="4" w:space="0"/>
              <w:left w:val="single" w:color="000000" w:sz="4" w:space="0"/>
              <w:bottom w:val="single" w:color="000000" w:sz="4" w:space="0"/>
              <w:right w:val="single" w:color="000000" w:sz="4" w:space="0"/>
            </w:tcBorders>
            <w:noWrap w:val="0"/>
            <w:vAlign w:val="center"/>
          </w:tcPr>
          <w:p w14:paraId="5C2271C0">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rPr>
              <w:t>7.1.1</w:t>
            </w:r>
          </w:p>
        </w:tc>
        <w:tc>
          <w:tcPr>
            <w:tcW w:w="6627" w:type="dxa"/>
            <w:tcBorders>
              <w:top w:val="single" w:color="000000" w:sz="4" w:space="0"/>
              <w:left w:val="single" w:color="000000" w:sz="4" w:space="0"/>
              <w:bottom w:val="single" w:color="000000" w:sz="4" w:space="0"/>
              <w:right w:val="single" w:color="auto" w:sz="4" w:space="0"/>
            </w:tcBorders>
            <w:noWrap w:val="0"/>
            <w:vAlign w:val="center"/>
          </w:tcPr>
          <w:p w14:paraId="33902DDE">
            <w:pPr>
              <w:adjustRightInd w:val="0"/>
              <w:snapToGrid w:val="0"/>
              <w:rPr>
                <w:rFonts w:hint="eastAsia" w:ascii="宋体" w:hAnsi="宋体" w:cs="宋体"/>
                <w:snapToGrid w:val="0"/>
                <w:kern w:val="21"/>
                <w:sz w:val="18"/>
                <w:szCs w:val="18"/>
                <w:lang w:val="en-US" w:eastAsia="zh-CN"/>
              </w:rPr>
            </w:pPr>
            <w:r>
              <w:rPr>
                <w:rFonts w:hint="eastAsia" w:ascii="宋体" w:hAnsi="宋体" w:cs="宋体"/>
                <w:snapToGrid w:val="0"/>
                <w:kern w:val="21"/>
                <w:sz w:val="18"/>
                <w:szCs w:val="18"/>
              </w:rPr>
              <w:t>消防设施资料和日常管理</w:t>
            </w:r>
            <w:r>
              <w:rPr>
                <w:rFonts w:hint="eastAsia" w:ascii="宋体" w:hAnsi="宋体" w:cs="宋体"/>
                <w:snapToGrid w:val="0"/>
                <w:kern w:val="21"/>
                <w:sz w:val="18"/>
                <w:szCs w:val="18"/>
                <w:lang w:val="en-US" w:eastAsia="zh-CN"/>
              </w:rPr>
              <w:t>应符合下列要求：</w:t>
            </w:r>
          </w:p>
          <w:p w14:paraId="1EC3755A">
            <w:pPr>
              <w:adjustRightInd w:val="0"/>
              <w:snapToGrid w:val="0"/>
              <w:rPr>
                <w:rFonts w:hint="eastAsia" w:ascii="宋体" w:hAnsi="宋体" w:cs="宋体"/>
                <w:snapToGrid w:val="0"/>
                <w:kern w:val="21"/>
                <w:sz w:val="18"/>
                <w:szCs w:val="18"/>
              </w:rPr>
            </w:pPr>
            <w:r>
              <w:rPr>
                <w:rFonts w:hint="eastAsia" w:ascii="宋体" w:hAnsi="宋体"/>
                <w:sz w:val="18"/>
                <w:szCs w:val="18"/>
              </w:rPr>
              <w:t>a）</w:t>
            </w:r>
            <w:r>
              <w:rPr>
                <w:rFonts w:hint="eastAsia" w:ascii="宋体" w:hAnsi="宋体" w:cs="宋体"/>
                <w:snapToGrid w:val="0"/>
                <w:kern w:val="21"/>
                <w:sz w:val="18"/>
                <w:szCs w:val="18"/>
              </w:rPr>
              <w:t>建筑物或者场所应依法通过消防验收或者进行消防竣工验收备案</w:t>
            </w:r>
            <w:r>
              <w:rPr>
                <w:rFonts w:hint="eastAsia" w:ascii="宋体" w:hAnsi="宋体" w:cs="宋体"/>
                <w:snapToGrid w:val="0"/>
                <w:kern w:val="21"/>
                <w:sz w:val="18"/>
                <w:szCs w:val="18"/>
                <w:lang w:eastAsia="zh-CN"/>
              </w:rPr>
              <w:t>；</w:t>
            </w:r>
          </w:p>
          <w:p w14:paraId="783F9FEA">
            <w:pPr>
              <w:adjustRightInd w:val="0"/>
              <w:snapToGrid w:val="0"/>
              <w:rPr>
                <w:rFonts w:hint="eastAsia" w:ascii="宋体" w:hAnsi="宋体" w:eastAsia="宋体" w:cs="宋体"/>
                <w:snapToGrid w:val="0"/>
                <w:kern w:val="21"/>
                <w:sz w:val="18"/>
                <w:szCs w:val="18"/>
                <w:lang w:eastAsia="zh-CN"/>
              </w:rPr>
            </w:pPr>
            <w:r>
              <w:rPr>
                <w:rFonts w:hint="eastAsia" w:ascii="宋体" w:hAnsi="宋体"/>
                <w:sz w:val="18"/>
                <w:szCs w:val="18"/>
                <w:lang w:val="en-US" w:eastAsia="zh-CN"/>
              </w:rPr>
              <w:t>b</w:t>
            </w:r>
            <w:r>
              <w:rPr>
                <w:rFonts w:hint="eastAsia" w:ascii="宋体" w:hAnsi="宋体"/>
                <w:sz w:val="18"/>
                <w:szCs w:val="18"/>
              </w:rPr>
              <w:t>）</w:t>
            </w:r>
            <w:r>
              <w:rPr>
                <w:rFonts w:hint="eastAsia" w:ascii="宋体" w:hAnsi="宋体" w:cs="宋体"/>
                <w:snapToGrid w:val="0"/>
                <w:kern w:val="21"/>
                <w:sz w:val="18"/>
                <w:szCs w:val="18"/>
              </w:rPr>
              <w:t>应对建筑消防设施每年至少进行1次全面检测，确保完好有效</w:t>
            </w:r>
            <w:r>
              <w:rPr>
                <w:rFonts w:hint="eastAsia" w:ascii="宋体" w:hAnsi="宋体" w:cs="宋体"/>
                <w:snapToGrid w:val="0"/>
                <w:kern w:val="21"/>
                <w:sz w:val="18"/>
                <w:szCs w:val="18"/>
                <w:lang w:eastAsia="zh-CN"/>
              </w:rPr>
              <w:t>；</w:t>
            </w:r>
          </w:p>
          <w:p w14:paraId="7CBC1B73">
            <w:pPr>
              <w:adjustRightInd w:val="0"/>
              <w:snapToGrid w:val="0"/>
              <w:rPr>
                <w:rFonts w:hint="eastAsia" w:ascii="宋体" w:hAnsi="宋体" w:eastAsia="宋体" w:cs="宋体"/>
                <w:snapToGrid w:val="0"/>
                <w:kern w:val="21"/>
                <w:sz w:val="18"/>
                <w:szCs w:val="18"/>
                <w:lang w:eastAsia="zh-CN"/>
              </w:rPr>
            </w:pPr>
            <w:r>
              <w:rPr>
                <w:rFonts w:hint="eastAsia" w:ascii="宋体" w:hAnsi="宋体"/>
                <w:sz w:val="18"/>
                <w:szCs w:val="18"/>
                <w:lang w:val="en-US" w:eastAsia="zh-CN"/>
              </w:rPr>
              <w:t>c</w:t>
            </w:r>
            <w:r>
              <w:rPr>
                <w:rFonts w:hint="eastAsia" w:ascii="宋体" w:hAnsi="宋体"/>
                <w:sz w:val="18"/>
                <w:szCs w:val="18"/>
              </w:rPr>
              <w:t>）</w:t>
            </w:r>
            <w:r>
              <w:rPr>
                <w:rFonts w:hint="eastAsia" w:ascii="宋体" w:hAnsi="宋体" w:cs="宋体"/>
                <w:snapToGrid w:val="0"/>
                <w:kern w:val="21"/>
                <w:sz w:val="18"/>
                <w:szCs w:val="18"/>
              </w:rPr>
              <w:t>消防安全重点</w:t>
            </w:r>
            <w:r>
              <w:rPr>
                <w:rFonts w:hint="eastAsia" w:ascii="宋体" w:hAnsi="宋体" w:cs="宋体"/>
                <w:snapToGrid w:val="0"/>
                <w:kern w:val="21"/>
                <w:sz w:val="18"/>
                <w:szCs w:val="18"/>
                <w:lang w:val="en-US" w:eastAsia="zh-CN"/>
              </w:rPr>
              <w:t>单位应定期对电气防火安全进行检测和开展每日防火巡查</w:t>
            </w:r>
            <w:r>
              <w:rPr>
                <w:rFonts w:hint="eastAsia" w:ascii="宋体" w:hAnsi="宋体" w:cs="宋体"/>
                <w:snapToGrid w:val="0"/>
                <w:kern w:val="21"/>
                <w:sz w:val="18"/>
                <w:szCs w:val="18"/>
              </w:rPr>
              <w:t>，</w:t>
            </w:r>
            <w:r>
              <w:rPr>
                <w:rFonts w:hint="eastAsia" w:ascii="宋体" w:hAnsi="宋体" w:cs="宋体"/>
                <w:snapToGrid w:val="0"/>
                <w:kern w:val="21"/>
                <w:sz w:val="18"/>
                <w:szCs w:val="18"/>
                <w:lang w:val="en-US" w:eastAsia="zh-CN"/>
              </w:rPr>
              <w:t>确定巡查的人员、内容、</w:t>
            </w:r>
            <w:r>
              <w:rPr>
                <w:rFonts w:hint="eastAsia" w:ascii="宋体" w:hAnsi="宋体" w:cs="宋体"/>
                <w:snapToGrid w:val="0"/>
                <w:kern w:val="21"/>
                <w:sz w:val="18"/>
                <w:szCs w:val="18"/>
              </w:rPr>
              <w:t>部位和频次，并保存记录</w:t>
            </w:r>
            <w:r>
              <w:rPr>
                <w:rFonts w:hint="eastAsia" w:ascii="宋体" w:hAnsi="宋体" w:cs="宋体"/>
                <w:snapToGrid w:val="0"/>
                <w:kern w:val="21"/>
                <w:sz w:val="18"/>
                <w:szCs w:val="18"/>
                <w:lang w:eastAsia="zh-CN"/>
              </w:rPr>
              <w:t>；</w:t>
            </w:r>
          </w:p>
          <w:p w14:paraId="54EF56CE">
            <w:pPr>
              <w:adjustRightInd w:val="0"/>
              <w:snapToGrid w:val="0"/>
              <w:rPr>
                <w:rFonts w:hint="eastAsia" w:ascii="宋体" w:hAnsi="宋体" w:cs="宋体"/>
                <w:snapToGrid w:val="0"/>
                <w:kern w:val="21"/>
                <w:sz w:val="18"/>
                <w:szCs w:val="18"/>
              </w:rPr>
            </w:pPr>
            <w:r>
              <w:rPr>
                <w:rFonts w:hint="eastAsia" w:ascii="宋体" w:hAnsi="宋体"/>
                <w:sz w:val="18"/>
                <w:szCs w:val="18"/>
                <w:lang w:val="en-US" w:eastAsia="zh-CN"/>
              </w:rPr>
              <w:t>d</w:t>
            </w:r>
            <w:r>
              <w:rPr>
                <w:rFonts w:hint="eastAsia" w:ascii="宋体" w:hAnsi="宋体"/>
                <w:sz w:val="18"/>
                <w:szCs w:val="18"/>
              </w:rPr>
              <w:t>）应建立消防安全重点部位台帐或清单，消防安全重点部位应张贴重点部位标志。消防安全重点部位应包括景区的人员密集场所、文物库（馆）、汽柴油</w:t>
            </w:r>
            <w:r>
              <w:rPr>
                <w:rFonts w:hint="eastAsia" w:ascii="宋体" w:hAnsi="宋体"/>
                <w:sz w:val="18"/>
                <w:szCs w:val="18"/>
                <w:lang w:val="en-US" w:eastAsia="zh-CN"/>
              </w:rPr>
              <w:t>存放点</w:t>
            </w:r>
            <w:r>
              <w:rPr>
                <w:rFonts w:hint="eastAsia" w:ascii="宋体" w:hAnsi="宋体"/>
                <w:sz w:val="18"/>
                <w:szCs w:val="18"/>
              </w:rPr>
              <w:t>、经常使用燃气或汽柴油等易燃易爆物品的部位、变配电室、锅炉房</w:t>
            </w:r>
            <w:r>
              <w:rPr>
                <w:rFonts w:hint="eastAsia" w:ascii="宋体" w:hAnsi="宋体"/>
                <w:sz w:val="18"/>
                <w:szCs w:val="18"/>
                <w:lang w:eastAsia="zh-CN"/>
              </w:rPr>
              <w:t>、</w:t>
            </w:r>
            <w:r>
              <w:rPr>
                <w:rFonts w:hint="eastAsia" w:ascii="宋体" w:hAnsi="宋体"/>
                <w:sz w:val="18"/>
                <w:szCs w:val="18"/>
                <w:lang w:val="en-US" w:eastAsia="zh-CN"/>
              </w:rPr>
              <w:t>消防控制室</w:t>
            </w:r>
            <w:r>
              <w:rPr>
                <w:rFonts w:hint="eastAsia" w:ascii="宋体" w:hAnsi="宋体"/>
                <w:sz w:val="18"/>
                <w:szCs w:val="18"/>
              </w:rPr>
              <w:t>及其他火灾危险较大的场所</w:t>
            </w:r>
            <w:r>
              <w:rPr>
                <w:rFonts w:hint="eastAsia" w:ascii="宋体" w:hAnsi="宋体"/>
                <w:sz w:val="18"/>
                <w:szCs w:val="18"/>
                <w:lang w:eastAsia="zh-CN"/>
              </w:rPr>
              <w:t>。</w:t>
            </w:r>
          </w:p>
        </w:tc>
        <w:tc>
          <w:tcPr>
            <w:tcW w:w="738" w:type="dxa"/>
            <w:tcBorders>
              <w:top w:val="single" w:color="000000" w:sz="4" w:space="0"/>
              <w:left w:val="single" w:color="auto" w:sz="4" w:space="0"/>
              <w:bottom w:val="single" w:color="000000" w:sz="4" w:space="0"/>
              <w:right w:val="single" w:color="auto" w:sz="4" w:space="0"/>
            </w:tcBorders>
            <w:noWrap w:val="0"/>
            <w:vAlign w:val="center"/>
          </w:tcPr>
          <w:p w14:paraId="5467E6FE">
            <w:pPr>
              <w:adjustRightInd w:val="0"/>
              <w:snapToGrid w:val="0"/>
              <w:jc w:val="center"/>
              <w:rPr>
                <w:rFonts w:hint="eastAsia" w:ascii="宋体" w:hAnsi="宋体" w:cs="宋体"/>
                <w:snapToGrid w:val="0"/>
                <w:kern w:val="21"/>
                <w:sz w:val="18"/>
                <w:szCs w:val="18"/>
              </w:rPr>
            </w:pPr>
          </w:p>
        </w:tc>
        <w:tc>
          <w:tcPr>
            <w:tcW w:w="633" w:type="dxa"/>
            <w:tcBorders>
              <w:top w:val="single" w:color="000000" w:sz="4" w:space="0"/>
              <w:left w:val="single" w:color="auto" w:sz="4" w:space="0"/>
              <w:bottom w:val="single" w:color="000000" w:sz="4" w:space="0"/>
              <w:right w:val="single" w:color="auto" w:sz="4" w:space="0"/>
            </w:tcBorders>
            <w:noWrap w:val="0"/>
            <w:vAlign w:val="top"/>
          </w:tcPr>
          <w:p w14:paraId="03AAFE76">
            <w:pPr>
              <w:adjustRightInd w:val="0"/>
              <w:snapToGrid w:val="0"/>
              <w:jc w:val="center"/>
              <w:rPr>
                <w:rFonts w:ascii="宋体" w:hAnsi="宋体" w:cs="宋体"/>
                <w:snapToGrid w:val="0"/>
                <w:kern w:val="21"/>
                <w:sz w:val="18"/>
                <w:szCs w:val="18"/>
              </w:rPr>
            </w:pPr>
          </w:p>
        </w:tc>
        <w:tc>
          <w:tcPr>
            <w:tcW w:w="633" w:type="dxa"/>
            <w:tcBorders>
              <w:top w:val="single" w:color="000000" w:sz="4" w:space="0"/>
              <w:left w:val="single" w:color="auto" w:sz="4" w:space="0"/>
              <w:bottom w:val="single" w:color="000000" w:sz="4" w:space="0"/>
              <w:right w:val="single" w:color="auto" w:sz="4" w:space="0"/>
            </w:tcBorders>
            <w:noWrap w:val="0"/>
            <w:vAlign w:val="center"/>
          </w:tcPr>
          <w:p w14:paraId="6F8CD142">
            <w:pPr>
              <w:adjustRightInd w:val="0"/>
              <w:snapToGrid w:val="0"/>
              <w:jc w:val="center"/>
              <w:rPr>
                <w:rFonts w:hint="eastAsia" w:ascii="宋体" w:hAnsi="宋体" w:cs="宋体"/>
                <w:snapToGrid w:val="0"/>
                <w:kern w:val="21"/>
                <w:sz w:val="18"/>
                <w:szCs w:val="18"/>
              </w:rPr>
            </w:pPr>
            <w:r>
              <w:rPr>
                <w:rFonts w:hint="eastAsia" w:ascii="宋体" w:hAnsi="宋体" w:cs="宋体"/>
                <w:sz w:val="18"/>
                <w:szCs w:val="18"/>
                <w:lang w:val="en-US" w:eastAsia="zh-CN"/>
              </w:rPr>
              <w:t>10</w:t>
            </w:r>
          </w:p>
        </w:tc>
        <w:tc>
          <w:tcPr>
            <w:tcW w:w="2803" w:type="dxa"/>
            <w:tcBorders>
              <w:top w:val="single" w:color="000000" w:sz="4" w:space="0"/>
              <w:left w:val="single" w:color="auto" w:sz="4" w:space="0"/>
              <w:bottom w:val="single" w:color="000000" w:sz="4" w:space="0"/>
              <w:right w:val="single" w:color="auto" w:sz="4" w:space="0"/>
            </w:tcBorders>
            <w:noWrap w:val="0"/>
            <w:vAlign w:val="center"/>
          </w:tcPr>
          <w:p w14:paraId="6CF1C7EC">
            <w:pPr>
              <w:numPr>
                <w:ilvl w:val="0"/>
                <w:numId w:val="70"/>
              </w:numPr>
              <w:adjustRightInd w:val="0"/>
              <w:snapToGrid w:val="0"/>
              <w:rPr>
                <w:rFonts w:hint="eastAsia" w:ascii="宋体" w:hAnsi="宋体" w:cs="宋体"/>
                <w:snapToGrid w:val="0"/>
                <w:kern w:val="21"/>
                <w:sz w:val="18"/>
                <w:szCs w:val="18"/>
                <w:lang w:val="en-US" w:eastAsia="zh-CN"/>
              </w:rPr>
            </w:pPr>
            <w:r>
              <w:rPr>
                <w:rFonts w:hint="eastAsia" w:ascii="宋体" w:hAnsi="宋体" w:cs="宋体"/>
                <w:snapToGrid w:val="0"/>
                <w:kern w:val="21"/>
                <w:sz w:val="18"/>
                <w:szCs w:val="18"/>
              </w:rPr>
              <w:t>未依法通过消防验收或者进行消防竣工验收备案</w:t>
            </w:r>
            <w:r>
              <w:rPr>
                <w:rFonts w:hint="eastAsia" w:ascii="宋体" w:hAnsi="宋体" w:cs="宋体"/>
                <w:snapToGrid w:val="0"/>
                <w:kern w:val="21"/>
                <w:sz w:val="18"/>
                <w:szCs w:val="18"/>
                <w:lang w:val="en-US" w:eastAsia="zh-CN"/>
              </w:rPr>
              <w:t>的，或未进行建筑消防设施检测的，不得分；</w:t>
            </w:r>
          </w:p>
          <w:p w14:paraId="2188554A">
            <w:pPr>
              <w:numPr>
                <w:ilvl w:val="0"/>
                <w:numId w:val="70"/>
              </w:numPr>
              <w:adjustRightInd w:val="0"/>
              <w:snapToGrid w:val="0"/>
              <w:rPr>
                <w:rFonts w:hint="eastAsia" w:ascii="宋体" w:hAnsi="宋体" w:cs="宋体"/>
                <w:snapToGrid w:val="0"/>
                <w:kern w:val="21"/>
                <w:sz w:val="18"/>
                <w:szCs w:val="18"/>
              </w:rPr>
            </w:pPr>
            <w:r>
              <w:rPr>
                <w:rFonts w:hint="eastAsia" w:ascii="宋体" w:hAnsi="宋体" w:cs="宋体"/>
                <w:snapToGrid w:val="0"/>
                <w:kern w:val="21"/>
                <w:sz w:val="18"/>
                <w:szCs w:val="18"/>
                <w:lang w:val="en-US" w:eastAsia="zh-CN"/>
              </w:rPr>
              <w:t>未</w:t>
            </w:r>
            <w:r>
              <w:rPr>
                <w:rFonts w:hint="eastAsia" w:ascii="宋体" w:hAnsi="宋体" w:cs="宋体"/>
                <w:snapToGrid w:val="0"/>
                <w:kern w:val="21"/>
                <w:sz w:val="18"/>
                <w:szCs w:val="18"/>
              </w:rPr>
              <w:t>建立消防安全重点部位台帐或清单的，扣5分；</w:t>
            </w:r>
          </w:p>
          <w:p w14:paraId="116BB95A">
            <w:pPr>
              <w:numPr>
                <w:ilvl w:val="0"/>
                <w:numId w:val="70"/>
              </w:numPr>
              <w:adjustRightInd w:val="0"/>
              <w:snapToGrid w:val="0"/>
              <w:rPr>
                <w:rFonts w:hint="eastAsia" w:ascii="宋体" w:hAnsi="宋体" w:cs="宋体"/>
                <w:snapToGrid w:val="0"/>
                <w:kern w:val="21"/>
                <w:sz w:val="18"/>
                <w:szCs w:val="18"/>
              </w:rPr>
            </w:pPr>
            <w:r>
              <w:rPr>
                <w:rFonts w:hint="eastAsia" w:ascii="宋体" w:hAnsi="宋体" w:cs="宋体"/>
                <w:snapToGrid w:val="0"/>
                <w:kern w:val="21"/>
                <w:sz w:val="18"/>
                <w:szCs w:val="18"/>
              </w:rPr>
              <w:t>消防安全重点</w:t>
            </w:r>
            <w:r>
              <w:rPr>
                <w:rFonts w:hint="eastAsia" w:ascii="宋体" w:hAnsi="宋体" w:cs="宋体"/>
                <w:snapToGrid w:val="0"/>
                <w:kern w:val="21"/>
                <w:sz w:val="18"/>
                <w:szCs w:val="18"/>
                <w:lang w:val="en-US" w:eastAsia="zh-CN"/>
              </w:rPr>
              <w:t>单位未定期对电气防火安全进行检测、未开展每日防火巡查的，扣5分</w:t>
            </w:r>
          </w:p>
          <w:p w14:paraId="4C0F77E7">
            <w:pPr>
              <w:numPr>
                <w:ilvl w:val="0"/>
                <w:numId w:val="70"/>
              </w:numPr>
              <w:adjustRightInd w:val="0"/>
              <w:snapToGrid w:val="0"/>
              <w:rPr>
                <w:rFonts w:hint="eastAsia" w:ascii="宋体" w:hAnsi="宋体" w:cs="宋体"/>
                <w:snapToGrid w:val="0"/>
                <w:kern w:val="21"/>
                <w:sz w:val="18"/>
                <w:szCs w:val="18"/>
              </w:rPr>
            </w:pPr>
            <w:r>
              <w:rPr>
                <w:rFonts w:hint="eastAsia" w:ascii="宋体" w:hAnsi="宋体" w:cs="宋体"/>
                <w:snapToGrid w:val="0"/>
                <w:kern w:val="21"/>
                <w:sz w:val="18"/>
                <w:szCs w:val="18"/>
              </w:rPr>
              <w:t>其他一处不符合扣</w:t>
            </w:r>
            <w:r>
              <w:rPr>
                <w:rFonts w:hint="eastAsia" w:ascii="宋体" w:hAnsi="宋体" w:cs="宋体"/>
                <w:snapToGrid w:val="0"/>
                <w:kern w:val="21"/>
                <w:sz w:val="18"/>
                <w:szCs w:val="18"/>
                <w:lang w:val="en-US" w:eastAsia="zh-CN"/>
              </w:rPr>
              <w:t>2</w:t>
            </w:r>
            <w:r>
              <w:rPr>
                <w:rFonts w:hint="eastAsia" w:ascii="宋体" w:hAnsi="宋体" w:cs="宋体"/>
                <w:snapToGrid w:val="0"/>
                <w:kern w:val="21"/>
                <w:sz w:val="18"/>
                <w:szCs w:val="18"/>
              </w:rPr>
              <w:t>分。</w:t>
            </w:r>
          </w:p>
        </w:tc>
        <w:tc>
          <w:tcPr>
            <w:tcW w:w="679" w:type="dxa"/>
            <w:tcBorders>
              <w:top w:val="single" w:color="000000" w:sz="4" w:space="0"/>
              <w:left w:val="single" w:color="auto" w:sz="4" w:space="0"/>
              <w:bottom w:val="single" w:color="000000" w:sz="4" w:space="0"/>
              <w:right w:val="single" w:color="auto" w:sz="4" w:space="0"/>
            </w:tcBorders>
            <w:noWrap w:val="0"/>
            <w:vAlign w:val="center"/>
          </w:tcPr>
          <w:p w14:paraId="7ADD34D8">
            <w:pPr>
              <w:adjustRightInd w:val="0"/>
              <w:snapToGrid w:val="0"/>
              <w:jc w:val="center"/>
              <w:rPr>
                <w:rFonts w:ascii="宋体" w:hAnsi="宋体" w:cs="宋体"/>
                <w:snapToGrid w:val="0"/>
                <w:kern w:val="21"/>
                <w:sz w:val="18"/>
                <w:szCs w:val="18"/>
              </w:rPr>
            </w:pPr>
          </w:p>
        </w:tc>
        <w:tc>
          <w:tcPr>
            <w:tcW w:w="1084" w:type="dxa"/>
            <w:tcBorders>
              <w:top w:val="single" w:color="000000" w:sz="4" w:space="0"/>
              <w:left w:val="single" w:color="auto" w:sz="4" w:space="0"/>
              <w:bottom w:val="single" w:color="000000" w:sz="4" w:space="0"/>
              <w:right w:val="single" w:color="auto" w:sz="4" w:space="0"/>
            </w:tcBorders>
            <w:noWrap w:val="0"/>
            <w:vAlign w:val="center"/>
          </w:tcPr>
          <w:p w14:paraId="6C459A68">
            <w:pPr>
              <w:adjustRightInd w:val="0"/>
              <w:snapToGrid w:val="0"/>
              <w:jc w:val="center"/>
              <w:rPr>
                <w:rFonts w:ascii="宋体" w:hAnsi="宋体" w:cs="宋体"/>
                <w:snapToGrid w:val="0"/>
                <w:kern w:val="21"/>
                <w:sz w:val="18"/>
                <w:szCs w:val="18"/>
              </w:rPr>
            </w:pPr>
          </w:p>
        </w:tc>
        <w:tc>
          <w:tcPr>
            <w:tcW w:w="1179" w:type="dxa"/>
            <w:tcBorders>
              <w:top w:val="single" w:color="000000" w:sz="4" w:space="0"/>
              <w:left w:val="single" w:color="auto" w:sz="4" w:space="0"/>
              <w:bottom w:val="single" w:color="000000" w:sz="4" w:space="0"/>
              <w:right w:val="single" w:color="000000" w:sz="4" w:space="0"/>
            </w:tcBorders>
            <w:noWrap w:val="0"/>
            <w:vAlign w:val="center"/>
          </w:tcPr>
          <w:p w14:paraId="7611F301">
            <w:pPr>
              <w:adjustRightInd w:val="0"/>
              <w:snapToGrid w:val="0"/>
              <w:jc w:val="center"/>
              <w:rPr>
                <w:rFonts w:hint="eastAsia" w:ascii="宋体" w:hAnsi="宋体" w:cs="宋体"/>
                <w:snapToGrid w:val="0"/>
                <w:kern w:val="21"/>
                <w:sz w:val="18"/>
                <w:szCs w:val="18"/>
              </w:rPr>
            </w:pPr>
            <w:r>
              <w:rPr>
                <w:rFonts w:hint="eastAsia" w:ascii="宋体" w:hAnsi="宋体" w:cs="宋体"/>
                <w:snapToGrid w:val="0"/>
                <w:kern w:val="21"/>
                <w:sz w:val="18"/>
                <w:szCs w:val="18"/>
                <w:lang w:eastAsia="zh-CN"/>
              </w:rPr>
              <w:t>4.7</w:t>
            </w:r>
            <w:r>
              <w:rPr>
                <w:rFonts w:hint="eastAsia" w:ascii="宋体" w:hAnsi="宋体" w:cs="宋体"/>
                <w:snapToGrid w:val="0"/>
                <w:kern w:val="21"/>
                <w:sz w:val="18"/>
                <w:szCs w:val="18"/>
              </w:rPr>
              <w:t>.1</w:t>
            </w:r>
          </w:p>
          <w:p w14:paraId="62BF120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val="en-US" w:eastAsia="zh-CN"/>
              </w:rPr>
              <w:t>4.7.2</w:t>
            </w:r>
          </w:p>
        </w:tc>
      </w:tr>
      <w:tr w14:paraId="67D60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977" w:type="dxa"/>
            <w:tcBorders>
              <w:top w:val="single" w:color="000000" w:sz="4" w:space="0"/>
              <w:left w:val="single" w:color="000000" w:sz="4" w:space="0"/>
              <w:bottom w:val="single" w:color="000000" w:sz="4" w:space="0"/>
              <w:right w:val="single" w:color="000000" w:sz="4" w:space="0"/>
            </w:tcBorders>
            <w:noWrap w:val="0"/>
            <w:vAlign w:val="center"/>
          </w:tcPr>
          <w:p w14:paraId="386A5B74">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ascii="宋体" w:hAnsi="宋体"/>
                <w:sz w:val="18"/>
                <w:szCs w:val="18"/>
              </w:rPr>
              <w:t>7.</w:t>
            </w:r>
            <w:r>
              <w:rPr>
                <w:rFonts w:hint="eastAsia" w:ascii="宋体" w:hAnsi="宋体"/>
                <w:sz w:val="18"/>
                <w:szCs w:val="18"/>
                <w:lang w:val="en-US" w:eastAsia="zh-CN"/>
              </w:rPr>
              <w:t>2</w:t>
            </w:r>
          </w:p>
        </w:tc>
        <w:tc>
          <w:tcPr>
            <w:tcW w:w="6627" w:type="dxa"/>
            <w:tcBorders>
              <w:top w:val="single" w:color="000000" w:sz="4" w:space="0"/>
              <w:left w:val="single" w:color="000000" w:sz="4" w:space="0"/>
              <w:bottom w:val="single" w:color="000000" w:sz="4" w:space="0"/>
              <w:right w:val="single" w:color="auto" w:sz="4" w:space="0"/>
            </w:tcBorders>
            <w:noWrap w:val="0"/>
            <w:vAlign w:val="center"/>
          </w:tcPr>
          <w:p w14:paraId="695EB93D">
            <w:pPr>
              <w:pStyle w:val="36"/>
              <w:adjustRightInd w:val="0"/>
              <w:snapToGrid w:val="0"/>
              <w:spacing w:line="240" w:lineRule="atLeast"/>
              <w:ind w:firstLine="0" w:firstLineChars="0"/>
              <w:rPr>
                <w:rFonts w:hint="eastAsia" w:ascii="宋体" w:hAnsi="宋体" w:eastAsia="宋体" w:cs="Times New Roman"/>
                <w:sz w:val="18"/>
                <w:szCs w:val="18"/>
                <w:lang w:val="en-US" w:eastAsia="zh-CN" w:bidi="ar-SA"/>
              </w:rPr>
            </w:pPr>
            <w:r>
              <w:rPr>
                <w:rFonts w:hint="eastAsia" w:hAnsi="宋体"/>
                <w:sz w:val="18"/>
                <w:szCs w:val="18"/>
                <w:lang w:val="en-US" w:eastAsia="zh-CN"/>
              </w:rPr>
              <w:t>消防设施</w:t>
            </w:r>
          </w:p>
        </w:tc>
        <w:tc>
          <w:tcPr>
            <w:tcW w:w="738" w:type="dxa"/>
            <w:tcBorders>
              <w:top w:val="single" w:color="000000" w:sz="4" w:space="0"/>
              <w:left w:val="single" w:color="auto" w:sz="4" w:space="0"/>
              <w:bottom w:val="single" w:color="000000" w:sz="4" w:space="0"/>
              <w:right w:val="single" w:color="auto" w:sz="4" w:space="0"/>
            </w:tcBorders>
            <w:noWrap w:val="0"/>
            <w:vAlign w:val="center"/>
          </w:tcPr>
          <w:p w14:paraId="591682E6">
            <w:pPr>
              <w:adjustRightInd w:val="0"/>
              <w:snapToGrid w:val="0"/>
              <w:rPr>
                <w:rFonts w:hint="eastAsia" w:ascii="宋体" w:hAnsi="宋体" w:eastAsia="宋体" w:cs="宋体"/>
                <w:kern w:val="2"/>
                <w:sz w:val="18"/>
                <w:szCs w:val="18"/>
                <w:lang w:val="en-US" w:eastAsia="zh-CN" w:bidi="ar-SA"/>
              </w:rPr>
            </w:pPr>
          </w:p>
        </w:tc>
        <w:tc>
          <w:tcPr>
            <w:tcW w:w="633" w:type="dxa"/>
            <w:tcBorders>
              <w:top w:val="single" w:color="000000" w:sz="4" w:space="0"/>
              <w:left w:val="single" w:color="auto" w:sz="4" w:space="0"/>
              <w:bottom w:val="single" w:color="000000" w:sz="4" w:space="0"/>
              <w:right w:val="single" w:color="auto" w:sz="4" w:space="0"/>
            </w:tcBorders>
            <w:noWrap w:val="0"/>
            <w:vAlign w:val="center"/>
          </w:tcPr>
          <w:p w14:paraId="5F06BF61">
            <w:pPr>
              <w:adjustRightInd w:val="0"/>
              <w:snapToGrid w:val="0"/>
              <w:ind w:right="34" w:rightChars="0" w:firstLine="180" w:firstLineChars="10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35</w:t>
            </w:r>
          </w:p>
        </w:tc>
        <w:tc>
          <w:tcPr>
            <w:tcW w:w="633" w:type="dxa"/>
            <w:tcBorders>
              <w:top w:val="single" w:color="000000" w:sz="4" w:space="0"/>
              <w:left w:val="single" w:color="auto" w:sz="4" w:space="0"/>
              <w:bottom w:val="single" w:color="000000" w:sz="4" w:space="0"/>
              <w:right w:val="single" w:color="auto" w:sz="4" w:space="0"/>
            </w:tcBorders>
            <w:noWrap w:val="0"/>
            <w:vAlign w:val="top"/>
          </w:tcPr>
          <w:p w14:paraId="55E8A00F">
            <w:pPr>
              <w:adjustRightInd w:val="0"/>
              <w:snapToGrid w:val="0"/>
              <w:jc w:val="center"/>
              <w:rPr>
                <w:rFonts w:hint="eastAsia" w:ascii="宋体" w:hAnsi="宋体" w:eastAsia="宋体" w:cs="宋体"/>
                <w:snapToGrid w:val="0"/>
                <w:kern w:val="21"/>
                <w:sz w:val="18"/>
                <w:szCs w:val="18"/>
                <w:lang w:val="en-US" w:eastAsia="zh-CN" w:bidi="ar-SA"/>
              </w:rPr>
            </w:pPr>
          </w:p>
        </w:tc>
        <w:tc>
          <w:tcPr>
            <w:tcW w:w="2803" w:type="dxa"/>
            <w:tcBorders>
              <w:top w:val="single" w:color="000000" w:sz="4" w:space="0"/>
              <w:left w:val="single" w:color="auto" w:sz="4" w:space="0"/>
              <w:bottom w:val="single" w:color="000000" w:sz="4" w:space="0"/>
              <w:right w:val="single" w:color="auto" w:sz="4" w:space="0"/>
            </w:tcBorders>
            <w:noWrap w:val="0"/>
            <w:vAlign w:val="center"/>
          </w:tcPr>
          <w:p w14:paraId="5E834B7D">
            <w:pPr>
              <w:adjustRightInd w:val="0"/>
              <w:snapToGrid w:val="0"/>
              <w:rPr>
                <w:rFonts w:hint="eastAsia" w:ascii="宋体" w:hAnsi="宋体" w:eastAsia="宋体" w:cs="宋体"/>
                <w:snapToGrid w:val="0"/>
                <w:kern w:val="21"/>
                <w:sz w:val="18"/>
                <w:szCs w:val="18"/>
                <w:lang w:val="en-US" w:eastAsia="zh-CN" w:bidi="ar-SA"/>
              </w:rPr>
            </w:pPr>
          </w:p>
        </w:tc>
        <w:tc>
          <w:tcPr>
            <w:tcW w:w="679" w:type="dxa"/>
            <w:tcBorders>
              <w:top w:val="single" w:color="000000" w:sz="4" w:space="0"/>
              <w:left w:val="single" w:color="auto" w:sz="4" w:space="0"/>
              <w:bottom w:val="single" w:color="000000" w:sz="4" w:space="0"/>
              <w:right w:val="single" w:color="auto" w:sz="4" w:space="0"/>
            </w:tcBorders>
            <w:noWrap w:val="0"/>
            <w:vAlign w:val="center"/>
          </w:tcPr>
          <w:p w14:paraId="793C6472">
            <w:pPr>
              <w:adjustRightInd w:val="0"/>
              <w:snapToGrid w:val="0"/>
              <w:jc w:val="center"/>
              <w:rPr>
                <w:rFonts w:hint="eastAsia" w:ascii="宋体" w:hAnsi="宋体" w:eastAsia="宋体" w:cs="宋体"/>
                <w:snapToGrid w:val="0"/>
                <w:kern w:val="21"/>
                <w:sz w:val="18"/>
                <w:szCs w:val="18"/>
                <w:lang w:val="en-US" w:eastAsia="zh-CN" w:bidi="ar-SA"/>
              </w:rPr>
            </w:pPr>
          </w:p>
        </w:tc>
        <w:tc>
          <w:tcPr>
            <w:tcW w:w="1084" w:type="dxa"/>
            <w:tcBorders>
              <w:top w:val="single" w:color="000000" w:sz="4" w:space="0"/>
              <w:left w:val="single" w:color="auto" w:sz="4" w:space="0"/>
              <w:bottom w:val="single" w:color="000000" w:sz="4" w:space="0"/>
              <w:right w:val="single" w:color="auto" w:sz="4" w:space="0"/>
            </w:tcBorders>
            <w:noWrap w:val="0"/>
            <w:vAlign w:val="center"/>
          </w:tcPr>
          <w:p w14:paraId="5AD9827A">
            <w:pPr>
              <w:adjustRightInd w:val="0"/>
              <w:snapToGrid w:val="0"/>
              <w:jc w:val="center"/>
              <w:rPr>
                <w:rFonts w:hint="eastAsia" w:ascii="宋体" w:hAnsi="宋体" w:eastAsia="宋体" w:cs="宋体"/>
                <w:snapToGrid w:val="0"/>
                <w:kern w:val="21"/>
                <w:sz w:val="18"/>
                <w:szCs w:val="18"/>
                <w:lang w:val="en-US" w:eastAsia="zh-CN" w:bidi="ar-SA"/>
              </w:rPr>
            </w:pPr>
          </w:p>
        </w:tc>
        <w:tc>
          <w:tcPr>
            <w:tcW w:w="1179" w:type="dxa"/>
            <w:tcBorders>
              <w:top w:val="single" w:color="000000" w:sz="4" w:space="0"/>
              <w:left w:val="single" w:color="auto" w:sz="4" w:space="0"/>
              <w:bottom w:val="single" w:color="000000" w:sz="4" w:space="0"/>
              <w:right w:val="single" w:color="000000" w:sz="4" w:space="0"/>
            </w:tcBorders>
            <w:noWrap w:val="0"/>
            <w:vAlign w:val="center"/>
          </w:tcPr>
          <w:p w14:paraId="2662C8C6">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eastAsia="zh-CN"/>
              </w:rPr>
              <w:t>4.7</w:t>
            </w:r>
            <w:r>
              <w:rPr>
                <w:rFonts w:ascii="宋体" w:hAnsi="宋体" w:cs="宋体"/>
                <w:snapToGrid w:val="0"/>
                <w:kern w:val="21"/>
                <w:sz w:val="18"/>
                <w:szCs w:val="18"/>
              </w:rPr>
              <w:t>.</w:t>
            </w:r>
            <w:r>
              <w:rPr>
                <w:rFonts w:hint="eastAsia" w:ascii="宋体" w:hAnsi="宋体" w:cs="宋体"/>
                <w:snapToGrid w:val="0"/>
                <w:kern w:val="21"/>
                <w:sz w:val="18"/>
                <w:szCs w:val="18"/>
                <w:lang w:val="en-US" w:eastAsia="zh-CN"/>
              </w:rPr>
              <w:t>3</w:t>
            </w:r>
          </w:p>
        </w:tc>
      </w:tr>
      <w:tr w14:paraId="56914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0" w:hRule="atLeast"/>
          <w:tblHeader/>
          <w:jc w:val="center"/>
        </w:trPr>
        <w:tc>
          <w:tcPr>
            <w:tcW w:w="0" w:type="auto"/>
            <w:vAlign w:val="center"/>
          </w:tcPr>
          <w:p w14:paraId="04DA2209">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7.2.1</w:t>
            </w:r>
          </w:p>
        </w:tc>
        <w:tc>
          <w:tcPr>
            <w:tcW w:w="0" w:type="auto"/>
            <w:vAlign w:val="center"/>
          </w:tcPr>
          <w:p w14:paraId="6B8E3FA7">
            <w:pPr>
              <w:numPr>
                <w:ilvl w:val="-1"/>
                <w:numId w:val="0"/>
              </w:numPr>
              <w:adjustRightInd w:val="0"/>
              <w:snapToGrid w:val="0"/>
              <w:jc w:val="left"/>
              <w:rPr>
                <w:rFonts w:hint="eastAsia" w:ascii="宋体" w:hAnsi="宋体"/>
                <w:sz w:val="18"/>
                <w:szCs w:val="18"/>
                <w:highlight w:val="none"/>
                <w:lang w:val="en-US" w:eastAsia="zh-CN"/>
              </w:rPr>
            </w:pPr>
            <w:r>
              <w:rPr>
                <w:rFonts w:hint="eastAsia" w:ascii="宋体" w:hAnsi="宋体"/>
                <w:sz w:val="18"/>
                <w:szCs w:val="18"/>
                <w:lang w:val="en-US" w:eastAsia="zh-CN"/>
              </w:rPr>
              <w:t>建筑消防</w:t>
            </w:r>
            <w:r>
              <w:rPr>
                <w:rFonts w:hint="eastAsia" w:ascii="宋体" w:hAnsi="宋体"/>
                <w:sz w:val="18"/>
                <w:szCs w:val="18"/>
                <w:highlight w:val="none"/>
                <w:lang w:val="en-US" w:eastAsia="zh-CN"/>
              </w:rPr>
              <w:t>设施应符合下列要求：</w:t>
            </w:r>
          </w:p>
          <w:p w14:paraId="5E178562">
            <w:pPr>
              <w:numPr>
                <w:ilvl w:val="0"/>
                <w:numId w:val="71"/>
              </w:numPr>
              <w:adjustRightInd/>
              <w:snapToGrid w:val="0"/>
              <w:jc w:val="left"/>
              <w:rPr>
                <w:rFonts w:ascii="宋体" w:hAnsi="宋体"/>
                <w:sz w:val="18"/>
                <w:szCs w:val="18"/>
                <w:highlight w:val="none"/>
              </w:rPr>
            </w:pPr>
            <w:r>
              <w:rPr>
                <w:rFonts w:hint="eastAsia" w:ascii="宋体" w:hAnsi="宋体" w:eastAsia="宋体" w:cs="Times New Roman"/>
                <w:bCs w:val="0"/>
                <w:sz w:val="18"/>
                <w:szCs w:val="18"/>
                <w:highlight w:val="none"/>
              </w:rPr>
              <w:t>建筑消防设施的电源开关、管道阀门，均应指示正常运行位置，并正确标识开/关的状态；对需要保持常开或常闭状态的阀门，应采取铅封、标识等限位措施</w:t>
            </w:r>
            <w:r>
              <w:rPr>
                <w:rFonts w:hint="eastAsia" w:ascii="宋体" w:hAnsi="宋体" w:eastAsia="宋体" w:cs="Times New Roman"/>
                <w:bCs w:val="0"/>
                <w:sz w:val="18"/>
                <w:szCs w:val="18"/>
                <w:highlight w:val="none"/>
                <w:lang w:eastAsia="zh-CN"/>
              </w:rPr>
              <w:t>；</w:t>
            </w:r>
          </w:p>
          <w:p w14:paraId="1BA45D32">
            <w:pPr>
              <w:numPr>
                <w:ilvl w:val="0"/>
                <w:numId w:val="71"/>
              </w:numPr>
              <w:adjustRightInd/>
              <w:snapToGrid w:val="0"/>
              <w:jc w:val="left"/>
              <w:rPr>
                <w:rFonts w:ascii="宋体" w:hAnsi="宋体"/>
                <w:sz w:val="18"/>
                <w:szCs w:val="18"/>
                <w:highlight w:val="none"/>
              </w:rPr>
            </w:pPr>
            <w:r>
              <w:rPr>
                <w:rFonts w:hint="eastAsia" w:ascii="宋体" w:hAnsi="宋体" w:eastAsia="宋体" w:cs="Times New Roman"/>
                <w:bCs w:val="0"/>
                <w:sz w:val="18"/>
                <w:szCs w:val="18"/>
                <w:highlight w:val="none"/>
              </w:rPr>
              <w:t>设置建筑消防设施的人员密集场所，每年应至少进行一次建筑消防设施联动检查，每月应至少进行一次建筑消防设施单项检查</w:t>
            </w:r>
            <w:r>
              <w:rPr>
                <w:rFonts w:hint="eastAsia" w:ascii="宋体" w:hAnsi="宋体" w:eastAsia="宋体" w:cs="Times New Roman"/>
                <w:bCs w:val="0"/>
                <w:sz w:val="18"/>
                <w:szCs w:val="18"/>
                <w:highlight w:val="none"/>
                <w:lang w:eastAsia="zh-CN"/>
              </w:rPr>
              <w:t>；</w:t>
            </w:r>
          </w:p>
          <w:p w14:paraId="278FFF0D">
            <w:pPr>
              <w:numPr>
                <w:ilvl w:val="0"/>
                <w:numId w:val="71"/>
              </w:numPr>
              <w:adjustRightInd/>
              <w:snapToGrid w:val="0"/>
              <w:jc w:val="left"/>
              <w:rPr>
                <w:rFonts w:hint="eastAsia" w:ascii="Times New Roman" w:hAnsi="宋体" w:eastAsia="宋体" w:cs="Times New Roman"/>
                <w:kern w:val="2"/>
                <w:sz w:val="18"/>
                <w:szCs w:val="18"/>
                <w:lang w:val="en-US" w:eastAsia="zh-CN" w:bidi="ar-SA"/>
              </w:rPr>
            </w:pPr>
            <w:r>
              <w:rPr>
                <w:rFonts w:hint="eastAsia" w:ascii="宋体" w:hAnsi="宋体"/>
                <w:sz w:val="18"/>
                <w:szCs w:val="18"/>
                <w:highlight w:val="none"/>
                <w:lang w:val="en-US" w:eastAsia="zh-CN"/>
              </w:rPr>
              <w:t>展品、商品、货柜、广告箱牌等的设置不应影响防火门、防火卷帘、室内消火栓、灭火剂喷头、机械排烟口和送风口、自然排烟窗、火灾探测器、手动火灾报警按钮、声光报警装置等消防设施的正常使用；</w:t>
            </w:r>
          </w:p>
        </w:tc>
        <w:tc>
          <w:tcPr>
            <w:tcW w:w="0" w:type="auto"/>
            <w:vAlign w:val="center"/>
          </w:tcPr>
          <w:p w14:paraId="7BA7C558">
            <w:pPr>
              <w:adjustRightInd w:val="0"/>
              <w:snapToGrid w:val="0"/>
              <w:rPr>
                <w:rFonts w:hint="eastAsia" w:ascii="宋体" w:hAnsi="宋体" w:eastAsia="宋体" w:cs="宋体"/>
                <w:kern w:val="2"/>
                <w:sz w:val="18"/>
                <w:szCs w:val="18"/>
                <w:lang w:val="en-US" w:eastAsia="zh-CN" w:bidi="ar-SA"/>
              </w:rPr>
            </w:pPr>
          </w:p>
        </w:tc>
        <w:tc>
          <w:tcPr>
            <w:tcW w:w="0" w:type="auto"/>
            <w:vAlign w:val="center"/>
          </w:tcPr>
          <w:p w14:paraId="1E9FF89A">
            <w:pPr>
              <w:adjustRightInd w:val="0"/>
              <w:snapToGrid w:val="0"/>
              <w:ind w:right="34" w:rightChars="0" w:firstLine="180" w:firstLineChars="100"/>
              <w:rPr>
                <w:rFonts w:hint="eastAsia" w:ascii="宋体" w:hAnsi="宋体" w:eastAsia="宋体" w:cs="Times New Roman"/>
                <w:kern w:val="2"/>
                <w:sz w:val="18"/>
                <w:szCs w:val="18"/>
                <w:lang w:val="en-US" w:eastAsia="zh-CN" w:bidi="ar-SA"/>
              </w:rPr>
            </w:pPr>
          </w:p>
        </w:tc>
        <w:tc>
          <w:tcPr>
            <w:tcW w:w="0" w:type="auto"/>
            <w:vAlign w:val="center"/>
          </w:tcPr>
          <w:p w14:paraId="0FDC37AD">
            <w:pPr>
              <w:adjustRightInd w:val="0"/>
              <w:snapToGrid w:val="0"/>
              <w:ind w:right="34" w:rightChars="0" w:firstLine="88" w:firstLineChars="49"/>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0" w:type="auto"/>
            <w:vAlign w:val="center"/>
          </w:tcPr>
          <w:p w14:paraId="128CA591">
            <w:pPr>
              <w:adjustRightInd w:val="0"/>
              <w:snapToGrid w:val="0"/>
              <w:ind w:right="34" w:rightChars="0"/>
              <w:rPr>
                <w:rFonts w:hint="eastAsia" w:ascii="宋体" w:hAnsi="宋体" w:eastAsia="宋体" w:cs="Times New Roman"/>
                <w:kern w:val="2"/>
                <w:sz w:val="18"/>
                <w:szCs w:val="18"/>
                <w:lang w:val="en-US" w:eastAsia="zh-CN" w:bidi="ar-SA"/>
              </w:rPr>
            </w:pPr>
            <w:r>
              <w:rPr>
                <w:rFonts w:ascii="宋体" w:hAnsi="宋体"/>
                <w:sz w:val="18"/>
                <w:szCs w:val="18"/>
              </w:rPr>
              <w:t>一处不符合要求扣</w:t>
            </w:r>
            <w:r>
              <w:rPr>
                <w:rFonts w:hint="eastAsia" w:ascii="宋体" w:hAnsi="宋体"/>
                <w:sz w:val="18"/>
                <w:szCs w:val="18"/>
                <w:lang w:val="en-US" w:eastAsia="zh-CN"/>
              </w:rPr>
              <w:t>2</w:t>
            </w:r>
            <w:r>
              <w:rPr>
                <w:rFonts w:hint="eastAsia" w:ascii="宋体" w:hAnsi="宋体"/>
                <w:sz w:val="18"/>
                <w:szCs w:val="18"/>
              </w:rPr>
              <w:t>分。</w:t>
            </w:r>
          </w:p>
        </w:tc>
        <w:tc>
          <w:tcPr>
            <w:tcW w:w="0" w:type="auto"/>
            <w:vAlign w:val="center"/>
          </w:tcPr>
          <w:p w14:paraId="4E75D04E">
            <w:pPr>
              <w:adjustRightInd w:val="0"/>
              <w:snapToGrid w:val="0"/>
              <w:jc w:val="center"/>
              <w:rPr>
                <w:rFonts w:hint="eastAsia" w:ascii="宋体" w:hAnsi="宋体" w:eastAsia="宋体" w:cs="宋体"/>
                <w:snapToGrid w:val="0"/>
                <w:kern w:val="21"/>
                <w:sz w:val="18"/>
                <w:szCs w:val="18"/>
                <w:lang w:val="en-US" w:eastAsia="zh-CN" w:bidi="ar-SA"/>
              </w:rPr>
            </w:pPr>
          </w:p>
        </w:tc>
        <w:tc>
          <w:tcPr>
            <w:tcW w:w="0" w:type="auto"/>
            <w:vAlign w:val="center"/>
          </w:tcPr>
          <w:p w14:paraId="6913F844">
            <w:pPr>
              <w:adjustRightInd w:val="0"/>
              <w:snapToGrid w:val="0"/>
              <w:jc w:val="center"/>
              <w:rPr>
                <w:rFonts w:hint="eastAsia" w:ascii="宋体" w:hAnsi="宋体" w:eastAsia="宋体" w:cs="宋体"/>
                <w:snapToGrid w:val="0"/>
                <w:kern w:val="21"/>
                <w:sz w:val="18"/>
                <w:szCs w:val="18"/>
                <w:lang w:val="en-US" w:eastAsia="zh-CN" w:bidi="ar-SA"/>
              </w:rPr>
            </w:pPr>
          </w:p>
        </w:tc>
        <w:tc>
          <w:tcPr>
            <w:tcW w:w="0" w:type="auto"/>
            <w:vAlign w:val="center"/>
          </w:tcPr>
          <w:p w14:paraId="73AB12E1">
            <w:pPr>
              <w:adjustRightInd w:val="0"/>
              <w:snapToGrid w:val="0"/>
              <w:ind w:right="0"/>
              <w:jc w:val="center"/>
              <w:rPr>
                <w:rFonts w:hint="eastAsia" w:ascii="宋体" w:hAnsi="宋体"/>
                <w:sz w:val="18"/>
                <w:szCs w:val="18"/>
              </w:rPr>
            </w:pPr>
          </w:p>
          <w:p w14:paraId="0E9EF683">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sz w:val="18"/>
                <w:szCs w:val="18"/>
                <w:lang w:val="en-US" w:eastAsia="zh-CN"/>
              </w:rPr>
              <w:t>4.7.3</w:t>
            </w:r>
          </w:p>
        </w:tc>
      </w:tr>
    </w:tbl>
    <w:p w14:paraId="2C45CDBA">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6685"/>
        <w:gridCol w:w="737"/>
        <w:gridCol w:w="633"/>
        <w:gridCol w:w="633"/>
        <w:gridCol w:w="2803"/>
        <w:gridCol w:w="679"/>
        <w:gridCol w:w="1084"/>
        <w:gridCol w:w="1176"/>
      </w:tblGrid>
      <w:tr w14:paraId="4C734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52F8E64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85" w:type="dxa"/>
            <w:noWrap w:val="0"/>
            <w:vAlign w:val="center"/>
          </w:tcPr>
          <w:p w14:paraId="073F321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7" w:type="dxa"/>
            <w:noWrap w:val="0"/>
            <w:vAlign w:val="center"/>
          </w:tcPr>
          <w:p w14:paraId="0D7BBDE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3" w:type="dxa"/>
            <w:noWrap w:val="0"/>
            <w:vAlign w:val="top"/>
          </w:tcPr>
          <w:p w14:paraId="5D28B60B">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noWrap w:val="0"/>
            <w:vAlign w:val="top"/>
          </w:tcPr>
          <w:p w14:paraId="3864293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803" w:type="dxa"/>
            <w:tcBorders>
              <w:right w:val="single" w:color="auto" w:sz="4" w:space="0"/>
            </w:tcBorders>
            <w:noWrap w:val="0"/>
            <w:vAlign w:val="center"/>
          </w:tcPr>
          <w:p w14:paraId="2000A54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9" w:type="dxa"/>
            <w:tcBorders>
              <w:left w:val="single" w:color="auto" w:sz="4" w:space="0"/>
            </w:tcBorders>
            <w:noWrap w:val="0"/>
            <w:vAlign w:val="center"/>
          </w:tcPr>
          <w:p w14:paraId="3E49D03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084" w:type="dxa"/>
            <w:noWrap w:val="0"/>
            <w:vAlign w:val="center"/>
          </w:tcPr>
          <w:p w14:paraId="415F590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6" w:type="dxa"/>
            <w:noWrap w:val="0"/>
            <w:vAlign w:val="center"/>
          </w:tcPr>
          <w:p w14:paraId="2AA52A18">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56F41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23" w:type="dxa"/>
            <w:noWrap w:val="0"/>
            <w:vAlign w:val="center"/>
          </w:tcPr>
          <w:p w14:paraId="62C36A24">
            <w:pPr>
              <w:adjustRightInd w:val="0"/>
              <w:snapToGrid w:val="0"/>
              <w:spacing w:line="240" w:lineRule="atLeast"/>
              <w:jc w:val="center"/>
              <w:rPr>
                <w:rFonts w:ascii="宋体" w:hAnsi="宋体"/>
                <w:sz w:val="18"/>
                <w:szCs w:val="18"/>
              </w:rPr>
            </w:pPr>
          </w:p>
        </w:tc>
        <w:tc>
          <w:tcPr>
            <w:tcW w:w="6685" w:type="dxa"/>
            <w:noWrap w:val="0"/>
            <w:vAlign w:val="center"/>
          </w:tcPr>
          <w:p w14:paraId="17334A19">
            <w:pPr>
              <w:numPr>
                <w:ilvl w:val="0"/>
                <w:numId w:val="71"/>
              </w:numPr>
              <w:adjustRightInd/>
              <w:snapToGrid w:val="0"/>
              <w:jc w:val="left"/>
              <w:rPr>
                <w:rFonts w:hint="eastAsia" w:ascii="宋体" w:hAnsi="宋体"/>
                <w:sz w:val="18"/>
                <w:szCs w:val="18"/>
                <w:highlight w:val="none"/>
              </w:rPr>
            </w:pPr>
            <w:r>
              <w:rPr>
                <w:rFonts w:hint="eastAsia" w:ascii="宋体" w:hAnsi="宋体"/>
                <w:sz w:val="18"/>
                <w:szCs w:val="18"/>
                <w:highlight w:val="none"/>
              </w:rPr>
              <w:t>确保消防设施和消防电源始终处于正常运行状态；确保消防水池、气压水罐或高位消防水箱等消防储水设施水量符合规定要求；确保消防水泵出水管阀门、自动喷水灭火系统管道上的阀门常开；确保消防水泵、防排烟风机、防火卷帘等消防用电设备的配电柜、控制柜开关处于接通和自动位置。需要维修时，应采取相应的措施，维修完成后，应立即恢复到正常运行状态</w:t>
            </w:r>
            <w:r>
              <w:rPr>
                <w:rFonts w:hint="eastAsia" w:ascii="宋体" w:hAnsi="宋体"/>
                <w:sz w:val="18"/>
                <w:szCs w:val="18"/>
                <w:highlight w:val="none"/>
                <w:lang w:eastAsia="zh-CN"/>
              </w:rPr>
              <w:t>；</w:t>
            </w:r>
          </w:p>
          <w:p w14:paraId="201F256B">
            <w:pPr>
              <w:numPr>
                <w:ilvl w:val="0"/>
                <w:numId w:val="71"/>
              </w:numPr>
              <w:adjustRightInd/>
              <w:snapToGrid w:val="0"/>
              <w:spacing w:line="240" w:lineRule="atLeast"/>
              <w:ind w:firstLineChars="0"/>
              <w:jc w:val="left"/>
              <w:rPr>
                <w:rFonts w:hint="eastAsia" w:ascii="宋体" w:hAnsi="宋体"/>
                <w:sz w:val="18"/>
                <w:szCs w:val="18"/>
                <w:highlight w:val="none"/>
                <w:lang w:val="en-US"/>
              </w:rPr>
            </w:pPr>
            <w:r>
              <w:rPr>
                <w:rFonts w:hint="eastAsia" w:ascii="宋体" w:hAnsi="宋体"/>
                <w:bCs w:val="0"/>
                <w:sz w:val="18"/>
                <w:szCs w:val="18"/>
                <w:highlight w:val="none"/>
              </w:rPr>
              <w:t>建筑内部装修不应影响消防设施的正常使用；</w:t>
            </w:r>
          </w:p>
          <w:p w14:paraId="5DB5A9EA">
            <w:pPr>
              <w:numPr>
                <w:ilvl w:val="0"/>
                <w:numId w:val="71"/>
              </w:numPr>
              <w:adjustRightInd/>
              <w:snapToGrid w:val="0"/>
              <w:spacing w:line="240" w:lineRule="atLeast"/>
              <w:ind w:firstLineChars="0"/>
              <w:jc w:val="left"/>
              <w:rPr>
                <w:rFonts w:hint="eastAsia" w:ascii="宋体" w:hAnsi="宋体"/>
                <w:sz w:val="18"/>
                <w:szCs w:val="18"/>
                <w:highlight w:val="none"/>
                <w:lang w:val="en-US"/>
              </w:rPr>
            </w:pPr>
            <w:r>
              <w:rPr>
                <w:rFonts w:hint="eastAsia" w:ascii="宋体" w:hAnsi="宋体"/>
                <w:sz w:val="18"/>
                <w:szCs w:val="18"/>
                <w:highlight w:val="none"/>
              </w:rPr>
              <w:t>应定期</w:t>
            </w:r>
            <w:r>
              <w:rPr>
                <w:rFonts w:hint="eastAsia" w:ascii="宋体" w:hAnsi="宋体"/>
                <w:sz w:val="18"/>
                <w:szCs w:val="18"/>
                <w:highlight w:val="none"/>
                <w:lang w:val="en-US" w:eastAsia="zh-CN"/>
              </w:rPr>
              <w:t>对</w:t>
            </w:r>
            <w:r>
              <w:rPr>
                <w:rFonts w:hint="eastAsia" w:ascii="宋体" w:hAnsi="宋体"/>
                <w:sz w:val="18"/>
                <w:szCs w:val="18"/>
                <w:highlight w:val="none"/>
              </w:rPr>
              <w:t>消防设施进行巡查、检查和维护，并应保证其处于正常运行或工作状态，不应擅自关停、拆改或移动</w:t>
            </w:r>
            <w:r>
              <w:rPr>
                <w:rFonts w:hint="eastAsia" w:ascii="宋体" w:hAnsi="宋体"/>
                <w:sz w:val="18"/>
                <w:szCs w:val="18"/>
                <w:highlight w:val="none"/>
                <w:lang w:eastAsia="zh-CN"/>
              </w:rPr>
              <w:t>；</w:t>
            </w:r>
          </w:p>
          <w:p w14:paraId="1A785C73">
            <w:pPr>
              <w:numPr>
                <w:ilvl w:val="0"/>
                <w:numId w:val="71"/>
              </w:numPr>
              <w:adjustRightInd/>
              <w:snapToGrid w:val="0"/>
              <w:spacing w:line="240" w:lineRule="atLeast"/>
              <w:ind w:firstLineChars="0"/>
              <w:jc w:val="left"/>
              <w:rPr>
                <w:rFonts w:hint="default" w:hAnsi="宋体" w:eastAsia="宋体"/>
                <w:sz w:val="18"/>
                <w:szCs w:val="18"/>
                <w:lang w:val="en-US" w:eastAsia="zh-CN"/>
              </w:rPr>
            </w:pPr>
            <w:r>
              <w:rPr>
                <w:rFonts w:hint="eastAsia" w:ascii="宋体" w:hAnsi="宋体"/>
                <w:sz w:val="18"/>
                <w:szCs w:val="18"/>
                <w:highlight w:val="none"/>
              </w:rPr>
              <w:t>应每月至少对消火栓、灭火器的完好情况进行1次检查，现场悬挂并保存月度检查记录</w:t>
            </w:r>
            <w:r>
              <w:rPr>
                <w:rFonts w:hint="eastAsia" w:ascii="宋体" w:hAnsi="宋体"/>
                <w:sz w:val="18"/>
                <w:szCs w:val="18"/>
                <w:highlight w:val="none"/>
                <w:lang w:eastAsia="zh-CN"/>
              </w:rPr>
              <w:t>。</w:t>
            </w:r>
          </w:p>
        </w:tc>
        <w:tc>
          <w:tcPr>
            <w:tcW w:w="737" w:type="dxa"/>
            <w:noWrap w:val="0"/>
            <w:vAlign w:val="center"/>
          </w:tcPr>
          <w:p w14:paraId="74C9FDA0">
            <w:pPr>
              <w:adjustRightInd w:val="0"/>
              <w:snapToGrid w:val="0"/>
              <w:rPr>
                <w:rFonts w:ascii="宋体" w:hAnsi="宋体" w:cs="宋体"/>
                <w:sz w:val="18"/>
                <w:szCs w:val="18"/>
              </w:rPr>
            </w:pPr>
          </w:p>
        </w:tc>
        <w:tc>
          <w:tcPr>
            <w:tcW w:w="633" w:type="dxa"/>
            <w:noWrap w:val="0"/>
            <w:vAlign w:val="center"/>
          </w:tcPr>
          <w:p w14:paraId="6BA717A3">
            <w:pPr>
              <w:adjustRightInd w:val="0"/>
              <w:snapToGrid w:val="0"/>
              <w:ind w:right="34" w:firstLine="180" w:firstLineChars="100"/>
              <w:rPr>
                <w:rFonts w:hint="default" w:ascii="宋体" w:hAnsi="宋体" w:eastAsia="宋体"/>
                <w:sz w:val="18"/>
                <w:szCs w:val="18"/>
                <w:lang w:val="en-US" w:eastAsia="zh-CN"/>
              </w:rPr>
            </w:pPr>
          </w:p>
        </w:tc>
        <w:tc>
          <w:tcPr>
            <w:tcW w:w="633" w:type="dxa"/>
            <w:noWrap w:val="0"/>
            <w:vAlign w:val="top"/>
          </w:tcPr>
          <w:p w14:paraId="17432700">
            <w:pPr>
              <w:adjustRightInd w:val="0"/>
              <w:snapToGrid w:val="0"/>
              <w:jc w:val="center"/>
              <w:rPr>
                <w:rFonts w:hint="eastAsia" w:ascii="宋体" w:hAnsi="宋体" w:cs="宋体"/>
                <w:snapToGrid w:val="0"/>
                <w:kern w:val="21"/>
                <w:sz w:val="18"/>
                <w:szCs w:val="18"/>
              </w:rPr>
            </w:pPr>
          </w:p>
        </w:tc>
        <w:tc>
          <w:tcPr>
            <w:tcW w:w="2803" w:type="dxa"/>
            <w:tcBorders>
              <w:right w:val="single" w:color="auto" w:sz="4" w:space="0"/>
            </w:tcBorders>
            <w:noWrap w:val="0"/>
            <w:vAlign w:val="center"/>
          </w:tcPr>
          <w:p w14:paraId="3ECBB670">
            <w:pPr>
              <w:adjustRightInd w:val="0"/>
              <w:snapToGrid w:val="0"/>
              <w:rPr>
                <w:rFonts w:hint="eastAsia" w:ascii="宋体" w:hAnsi="宋体" w:cs="宋体"/>
                <w:snapToGrid w:val="0"/>
                <w:kern w:val="21"/>
                <w:sz w:val="18"/>
                <w:szCs w:val="18"/>
              </w:rPr>
            </w:pPr>
          </w:p>
        </w:tc>
        <w:tc>
          <w:tcPr>
            <w:tcW w:w="679" w:type="dxa"/>
            <w:tcBorders>
              <w:left w:val="single" w:color="auto" w:sz="4" w:space="0"/>
            </w:tcBorders>
            <w:noWrap w:val="0"/>
            <w:vAlign w:val="center"/>
          </w:tcPr>
          <w:p w14:paraId="7995DA63">
            <w:pPr>
              <w:adjustRightInd w:val="0"/>
              <w:snapToGrid w:val="0"/>
              <w:jc w:val="center"/>
              <w:rPr>
                <w:rFonts w:hint="eastAsia" w:ascii="宋体" w:hAnsi="宋体" w:cs="宋体"/>
                <w:snapToGrid w:val="0"/>
                <w:kern w:val="21"/>
                <w:sz w:val="18"/>
                <w:szCs w:val="18"/>
              </w:rPr>
            </w:pPr>
          </w:p>
        </w:tc>
        <w:tc>
          <w:tcPr>
            <w:tcW w:w="1084" w:type="dxa"/>
            <w:noWrap w:val="0"/>
            <w:vAlign w:val="center"/>
          </w:tcPr>
          <w:p w14:paraId="7D82DF7E">
            <w:pPr>
              <w:adjustRightInd w:val="0"/>
              <w:snapToGrid w:val="0"/>
              <w:jc w:val="center"/>
              <w:rPr>
                <w:rFonts w:hint="eastAsia" w:ascii="宋体" w:hAnsi="宋体" w:cs="宋体"/>
                <w:snapToGrid w:val="0"/>
                <w:kern w:val="21"/>
                <w:sz w:val="18"/>
                <w:szCs w:val="18"/>
              </w:rPr>
            </w:pPr>
          </w:p>
        </w:tc>
        <w:tc>
          <w:tcPr>
            <w:tcW w:w="1176" w:type="dxa"/>
            <w:noWrap w:val="0"/>
            <w:vAlign w:val="center"/>
          </w:tcPr>
          <w:p w14:paraId="2E1F3605">
            <w:pPr>
              <w:adjustRightInd w:val="0"/>
              <w:snapToGrid w:val="0"/>
              <w:jc w:val="center"/>
              <w:rPr>
                <w:rFonts w:hint="eastAsia" w:ascii="宋体" w:hAnsi="宋体" w:eastAsia="宋体" w:cs="宋体"/>
                <w:snapToGrid w:val="0"/>
                <w:kern w:val="21"/>
                <w:sz w:val="18"/>
                <w:szCs w:val="18"/>
                <w:lang w:eastAsia="zh-CN"/>
              </w:rPr>
            </w:pPr>
          </w:p>
        </w:tc>
      </w:tr>
      <w:tr w14:paraId="11888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677E7C1E">
            <w:pPr>
              <w:adjustRightInd w:val="0"/>
              <w:snapToGrid w:val="0"/>
              <w:ind w:right="34"/>
              <w:jc w:val="center"/>
              <w:rPr>
                <w:rFonts w:hint="eastAsia" w:ascii="宋体" w:hAnsi="宋体"/>
                <w:sz w:val="18"/>
                <w:szCs w:val="18"/>
              </w:rPr>
            </w:pPr>
            <w:r>
              <w:rPr>
                <w:rFonts w:hint="eastAsia" w:ascii="宋体" w:hAnsi="宋体"/>
                <w:sz w:val="18"/>
                <w:szCs w:val="18"/>
                <w:lang w:val="en-US" w:eastAsia="zh-CN"/>
              </w:rPr>
              <w:t>7.2.2</w:t>
            </w:r>
          </w:p>
        </w:tc>
        <w:tc>
          <w:tcPr>
            <w:tcW w:w="6685" w:type="dxa"/>
            <w:noWrap w:val="0"/>
            <w:vAlign w:val="top"/>
          </w:tcPr>
          <w:p w14:paraId="134B5538">
            <w:pPr>
              <w:numPr>
                <w:ilvl w:val="-1"/>
                <w:numId w:val="0"/>
              </w:numPr>
              <w:adjustRightInd/>
              <w:snapToGrid w:val="0"/>
              <w:jc w:val="left"/>
              <w:rPr>
                <w:rFonts w:hint="eastAsia" w:ascii="宋体" w:hAnsi="宋体"/>
                <w:sz w:val="18"/>
                <w:szCs w:val="18"/>
                <w:lang w:val="en-US" w:eastAsia="zh-CN"/>
              </w:rPr>
            </w:pPr>
            <w:r>
              <w:rPr>
                <w:rFonts w:hint="eastAsia" w:ascii="宋体" w:hAnsi="宋体"/>
                <w:sz w:val="18"/>
                <w:szCs w:val="18"/>
                <w:lang w:val="en-US" w:eastAsia="zh-CN"/>
              </w:rPr>
              <w:t>下列场所应设置火灾自动报警系统：</w:t>
            </w:r>
          </w:p>
          <w:p w14:paraId="08F591F6">
            <w:pPr>
              <w:numPr>
                <w:ilvl w:val="0"/>
                <w:numId w:val="72"/>
              </w:numPr>
              <w:adjustRightInd/>
              <w:snapToGrid w:val="0"/>
              <w:jc w:val="left"/>
              <w:rPr>
                <w:rFonts w:ascii="宋体" w:hAnsi="宋体"/>
                <w:sz w:val="18"/>
                <w:szCs w:val="18"/>
              </w:rPr>
            </w:pPr>
            <w:r>
              <w:rPr>
                <w:rFonts w:hint="eastAsia" w:ascii="宋体" w:hAnsi="宋体"/>
                <w:sz w:val="18"/>
                <w:szCs w:val="18"/>
                <w:highlight w:val="none"/>
              </w:rPr>
              <w:t>商店建筑、展览建筑</w:t>
            </w:r>
            <w:r>
              <w:rPr>
                <w:rFonts w:hint="eastAsia" w:ascii="宋体" w:hAnsi="宋体"/>
                <w:sz w:val="18"/>
                <w:szCs w:val="18"/>
                <w:highlight w:val="none"/>
                <w:lang w:eastAsia="zh-CN"/>
              </w:rPr>
              <w:t>、</w:t>
            </w:r>
            <w:r>
              <w:rPr>
                <w:rFonts w:hint="eastAsia" w:ascii="宋体" w:hAnsi="宋体"/>
                <w:sz w:val="18"/>
                <w:szCs w:val="18"/>
                <w:highlight w:val="none"/>
              </w:rPr>
              <w:t>旅馆建筑等建筑</w:t>
            </w:r>
            <w:r>
              <w:rPr>
                <w:rFonts w:hint="eastAsia" w:ascii="宋体" w:hAnsi="宋体"/>
                <w:sz w:val="18"/>
                <w:szCs w:val="18"/>
                <w:highlight w:val="none"/>
                <w:lang w:eastAsia="zh-CN"/>
              </w:rPr>
              <w:t>；</w:t>
            </w:r>
          </w:p>
          <w:p w14:paraId="561326D3">
            <w:pPr>
              <w:numPr>
                <w:ilvl w:val="0"/>
                <w:numId w:val="72"/>
              </w:numPr>
              <w:adjustRightInd/>
              <w:snapToGrid w:val="0"/>
              <w:jc w:val="left"/>
              <w:rPr>
                <w:rFonts w:ascii="宋体" w:hAnsi="宋体"/>
                <w:sz w:val="18"/>
                <w:szCs w:val="18"/>
              </w:rPr>
            </w:pPr>
            <w:r>
              <w:rPr>
                <w:rFonts w:hint="eastAsia" w:ascii="宋体" w:hAnsi="宋体"/>
                <w:sz w:val="18"/>
                <w:szCs w:val="18"/>
                <w:highlight w:val="none"/>
              </w:rPr>
              <w:t>其他二类高层公共建筑内建筑面积大于50m</w:t>
            </w:r>
            <w:r>
              <w:rPr>
                <w:rFonts w:hint="eastAsia" w:ascii="宋体" w:hAnsi="宋体"/>
                <w:sz w:val="18"/>
                <w:szCs w:val="18"/>
                <w:highlight w:val="none"/>
                <w:vertAlign w:val="superscript"/>
                <w:lang w:val="en-US" w:eastAsia="zh-CN"/>
              </w:rPr>
              <w:t>2</w:t>
            </w:r>
            <w:r>
              <w:rPr>
                <w:rFonts w:hint="eastAsia" w:ascii="宋体" w:hAnsi="宋体"/>
                <w:sz w:val="18"/>
                <w:szCs w:val="18"/>
                <w:highlight w:val="none"/>
              </w:rPr>
              <w:t>的可燃物品库房和建筑面积大于500m</w:t>
            </w:r>
            <w:r>
              <w:rPr>
                <w:rFonts w:hint="eastAsia" w:ascii="宋体" w:hAnsi="宋体"/>
                <w:sz w:val="18"/>
                <w:szCs w:val="18"/>
                <w:highlight w:val="none"/>
                <w:vertAlign w:val="superscript"/>
                <w:lang w:val="en-US" w:eastAsia="zh-CN"/>
              </w:rPr>
              <w:t>2</w:t>
            </w:r>
            <w:r>
              <w:rPr>
                <w:rFonts w:hint="eastAsia" w:ascii="宋体" w:hAnsi="宋体"/>
                <w:sz w:val="18"/>
                <w:szCs w:val="18"/>
                <w:highlight w:val="none"/>
              </w:rPr>
              <w:t>的商店营业厅</w:t>
            </w:r>
            <w:r>
              <w:rPr>
                <w:rFonts w:hint="eastAsia" w:ascii="宋体" w:hAnsi="宋体"/>
                <w:sz w:val="18"/>
                <w:szCs w:val="18"/>
                <w:highlight w:val="none"/>
                <w:lang w:eastAsia="zh-CN"/>
              </w:rPr>
              <w:t>，</w:t>
            </w:r>
            <w:r>
              <w:rPr>
                <w:rFonts w:hint="eastAsia" w:ascii="宋体" w:hAnsi="宋体"/>
                <w:sz w:val="18"/>
                <w:szCs w:val="18"/>
                <w:highlight w:val="none"/>
              </w:rPr>
              <w:t>以及其他一类高层公共建筑。</w:t>
            </w:r>
          </w:p>
        </w:tc>
        <w:tc>
          <w:tcPr>
            <w:tcW w:w="737" w:type="dxa"/>
            <w:noWrap w:val="0"/>
            <w:vAlign w:val="center"/>
          </w:tcPr>
          <w:p w14:paraId="398893AE">
            <w:pPr>
              <w:adjustRightInd w:val="0"/>
              <w:snapToGrid w:val="0"/>
              <w:rPr>
                <w:rFonts w:ascii="宋体" w:hAnsi="宋体" w:cs="宋体"/>
                <w:sz w:val="18"/>
                <w:szCs w:val="18"/>
              </w:rPr>
            </w:pPr>
          </w:p>
        </w:tc>
        <w:tc>
          <w:tcPr>
            <w:tcW w:w="633" w:type="dxa"/>
            <w:noWrap w:val="0"/>
            <w:vAlign w:val="center"/>
          </w:tcPr>
          <w:p w14:paraId="24A2905C">
            <w:pPr>
              <w:adjustRightInd w:val="0"/>
              <w:snapToGrid w:val="0"/>
              <w:ind w:right="34"/>
              <w:rPr>
                <w:rFonts w:ascii="宋体" w:hAnsi="宋体"/>
                <w:sz w:val="18"/>
                <w:szCs w:val="18"/>
              </w:rPr>
            </w:pPr>
          </w:p>
        </w:tc>
        <w:tc>
          <w:tcPr>
            <w:tcW w:w="633" w:type="dxa"/>
            <w:noWrap w:val="0"/>
            <w:vAlign w:val="center"/>
          </w:tcPr>
          <w:p w14:paraId="510B2F3E">
            <w:pPr>
              <w:adjustRightInd w:val="0"/>
              <w:snapToGrid w:val="0"/>
              <w:ind w:right="0" w:firstLine="176" w:firstLineChars="98"/>
              <w:jc w:val="both"/>
              <w:rPr>
                <w:rFonts w:hint="eastAsia" w:ascii="宋体" w:hAnsi="宋体"/>
                <w:sz w:val="18"/>
                <w:szCs w:val="18"/>
              </w:rPr>
            </w:pPr>
            <w:r>
              <w:rPr>
                <w:rFonts w:hint="eastAsia" w:ascii="宋体" w:hAnsi="宋体"/>
                <w:sz w:val="18"/>
                <w:szCs w:val="18"/>
                <w:lang w:val="en-US" w:eastAsia="zh-CN"/>
              </w:rPr>
              <w:t>5</w:t>
            </w:r>
          </w:p>
        </w:tc>
        <w:tc>
          <w:tcPr>
            <w:tcW w:w="2803" w:type="dxa"/>
            <w:tcBorders>
              <w:right w:val="single" w:color="auto" w:sz="4" w:space="0"/>
            </w:tcBorders>
            <w:noWrap w:val="0"/>
            <w:vAlign w:val="center"/>
          </w:tcPr>
          <w:p w14:paraId="543230C2">
            <w:pPr>
              <w:adjustRightInd w:val="0"/>
              <w:snapToGrid w:val="0"/>
              <w:ind w:right="0"/>
              <w:rPr>
                <w:rFonts w:ascii="宋体" w:hAnsi="宋体"/>
                <w:sz w:val="18"/>
                <w:szCs w:val="18"/>
              </w:rPr>
            </w:pPr>
            <w:r>
              <w:rPr>
                <w:rFonts w:ascii="宋体" w:hAnsi="宋体"/>
                <w:sz w:val="18"/>
                <w:szCs w:val="18"/>
              </w:rPr>
              <w:t>不符合要求</w:t>
            </w:r>
            <w:r>
              <w:rPr>
                <w:rFonts w:hint="eastAsia" w:ascii="宋体" w:hAnsi="宋体"/>
                <w:sz w:val="18"/>
                <w:szCs w:val="18"/>
                <w:lang w:val="en-US" w:eastAsia="zh-CN"/>
              </w:rPr>
              <w:t>不得分</w:t>
            </w:r>
            <w:r>
              <w:rPr>
                <w:rFonts w:hint="eastAsia" w:ascii="宋体" w:hAnsi="宋体"/>
                <w:sz w:val="18"/>
                <w:szCs w:val="18"/>
              </w:rPr>
              <w:t>。</w:t>
            </w:r>
          </w:p>
        </w:tc>
        <w:tc>
          <w:tcPr>
            <w:tcW w:w="679" w:type="dxa"/>
            <w:tcBorders>
              <w:left w:val="single" w:color="auto" w:sz="4" w:space="0"/>
            </w:tcBorders>
            <w:noWrap w:val="0"/>
            <w:vAlign w:val="top"/>
          </w:tcPr>
          <w:p w14:paraId="09925A8F">
            <w:pPr>
              <w:adjustRightInd w:val="0"/>
              <w:snapToGrid w:val="0"/>
              <w:rPr>
                <w:rFonts w:ascii="宋体" w:hAnsi="宋体" w:cs="宋体"/>
                <w:sz w:val="18"/>
                <w:szCs w:val="18"/>
              </w:rPr>
            </w:pPr>
          </w:p>
        </w:tc>
        <w:tc>
          <w:tcPr>
            <w:tcW w:w="1084" w:type="dxa"/>
            <w:noWrap w:val="0"/>
            <w:vAlign w:val="top"/>
          </w:tcPr>
          <w:p w14:paraId="6CC1FF28">
            <w:pPr>
              <w:adjustRightInd w:val="0"/>
              <w:snapToGrid w:val="0"/>
              <w:rPr>
                <w:rFonts w:ascii="宋体" w:hAnsi="宋体" w:cs="宋体"/>
                <w:sz w:val="18"/>
                <w:szCs w:val="18"/>
              </w:rPr>
            </w:pPr>
          </w:p>
        </w:tc>
        <w:tc>
          <w:tcPr>
            <w:tcW w:w="1176" w:type="dxa"/>
            <w:noWrap w:val="0"/>
            <w:vAlign w:val="center"/>
          </w:tcPr>
          <w:p w14:paraId="7804D106">
            <w:pPr>
              <w:adjustRightInd w:val="0"/>
              <w:snapToGrid w:val="0"/>
              <w:ind w:right="34"/>
              <w:jc w:val="center"/>
              <w:rPr>
                <w:rFonts w:ascii="宋体" w:hAnsi="宋体"/>
                <w:sz w:val="18"/>
                <w:szCs w:val="18"/>
              </w:rPr>
            </w:pPr>
            <w:r>
              <w:rPr>
                <w:rFonts w:hint="eastAsia" w:ascii="宋体" w:hAnsi="宋体"/>
                <w:sz w:val="18"/>
                <w:szCs w:val="18"/>
                <w:lang w:val="en-US" w:eastAsia="zh-CN"/>
              </w:rPr>
              <w:t>4.7.3</w:t>
            </w:r>
          </w:p>
        </w:tc>
      </w:tr>
      <w:tr w14:paraId="1FA95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24D9FF97">
            <w:pPr>
              <w:adjustRightInd w:val="0"/>
              <w:snapToGrid w:val="0"/>
              <w:ind w:right="34"/>
              <w:jc w:val="center"/>
              <w:rPr>
                <w:rFonts w:hint="default" w:ascii="宋体" w:hAnsi="宋体"/>
                <w:sz w:val="18"/>
                <w:szCs w:val="18"/>
                <w:lang w:val="en-US"/>
              </w:rPr>
            </w:pPr>
            <w:r>
              <w:rPr>
                <w:rFonts w:hint="eastAsia" w:ascii="宋体" w:hAnsi="宋体"/>
                <w:sz w:val="18"/>
                <w:szCs w:val="18"/>
                <w:lang w:val="en-US" w:eastAsia="zh-CN"/>
              </w:rPr>
              <w:t>7.2.3</w:t>
            </w:r>
          </w:p>
        </w:tc>
        <w:tc>
          <w:tcPr>
            <w:tcW w:w="6685" w:type="dxa"/>
            <w:noWrap w:val="0"/>
            <w:vAlign w:val="top"/>
          </w:tcPr>
          <w:p w14:paraId="16ADDCBD">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下列场所应设置自动灭火系统：</w:t>
            </w:r>
          </w:p>
          <w:p w14:paraId="2256B5DF">
            <w:pPr>
              <w:numPr>
                <w:ilvl w:val="0"/>
                <w:numId w:val="73"/>
              </w:numPr>
              <w:adjustRightInd/>
              <w:snapToGrid w:val="0"/>
              <w:jc w:val="left"/>
              <w:rPr>
                <w:rFonts w:hint="eastAsia" w:ascii="宋体" w:hAnsi="宋体"/>
                <w:sz w:val="18"/>
                <w:szCs w:val="18"/>
                <w:highlight w:val="none"/>
                <w:lang w:val="en-US" w:eastAsia="zh-CN"/>
              </w:rPr>
            </w:pPr>
            <w:r>
              <w:rPr>
                <w:rFonts w:hint="eastAsia" w:ascii="宋体" w:hAnsi="宋体"/>
                <w:sz w:val="18"/>
                <w:szCs w:val="18"/>
                <w:highlight w:val="none"/>
                <w:lang w:val="en-US" w:eastAsia="zh-CN"/>
              </w:rPr>
              <w:t>任一层建筑面积大于1500m</w:t>
            </w:r>
            <w:r>
              <w:rPr>
                <w:rFonts w:hint="eastAsia" w:ascii="宋体" w:hAnsi="宋体"/>
                <w:sz w:val="18"/>
                <w:szCs w:val="18"/>
                <w:highlight w:val="none"/>
                <w:vertAlign w:val="superscript"/>
                <w:lang w:val="en-US" w:eastAsia="zh-CN"/>
              </w:rPr>
              <w:t>2</w:t>
            </w:r>
            <w:r>
              <w:rPr>
                <w:rFonts w:hint="eastAsia" w:ascii="宋体" w:hAnsi="宋体"/>
                <w:sz w:val="18"/>
                <w:szCs w:val="18"/>
                <w:highlight w:val="none"/>
                <w:lang w:val="en-US" w:eastAsia="zh-CN"/>
              </w:rPr>
              <w:t>或总建筑面积大于3000m</w:t>
            </w:r>
            <w:r>
              <w:rPr>
                <w:rFonts w:hint="eastAsia" w:ascii="宋体" w:hAnsi="宋体"/>
                <w:sz w:val="18"/>
                <w:szCs w:val="18"/>
                <w:highlight w:val="none"/>
                <w:vertAlign w:val="superscript"/>
                <w:lang w:val="en-US" w:eastAsia="zh-CN"/>
              </w:rPr>
              <w:t>2</w:t>
            </w:r>
            <w:r>
              <w:rPr>
                <w:rFonts w:hint="eastAsia" w:ascii="宋体" w:hAnsi="宋体"/>
                <w:sz w:val="18"/>
                <w:szCs w:val="18"/>
                <w:highlight w:val="none"/>
                <w:lang w:val="en-US" w:eastAsia="zh-CN"/>
              </w:rPr>
              <w:t>的单、多层展览建筑、商店建筑和旅馆建筑；</w:t>
            </w:r>
          </w:p>
          <w:p w14:paraId="7D0CB1BA">
            <w:pPr>
              <w:numPr>
                <w:ilvl w:val="0"/>
                <w:numId w:val="73"/>
              </w:numPr>
              <w:adjustRightInd/>
              <w:snapToGrid w:val="0"/>
              <w:jc w:val="left"/>
              <w:rPr>
                <w:rFonts w:hint="default" w:ascii="宋体" w:hAnsi="宋体"/>
                <w:sz w:val="18"/>
                <w:szCs w:val="18"/>
                <w:lang w:val="en-US" w:eastAsia="zh-CN"/>
              </w:rPr>
            </w:pPr>
            <w:r>
              <w:rPr>
                <w:rFonts w:hint="eastAsia" w:ascii="宋体" w:hAnsi="宋体"/>
                <w:sz w:val="18"/>
                <w:szCs w:val="18"/>
                <w:highlight w:val="none"/>
                <w:lang w:val="en-US" w:eastAsia="zh-CN"/>
              </w:rPr>
              <w:t>设置具有送回风道(管)系统的集中空气调节系统且总建筑面积大于3000m</w:t>
            </w:r>
            <w:r>
              <w:rPr>
                <w:rFonts w:hint="eastAsia" w:ascii="宋体" w:hAnsi="宋体"/>
                <w:sz w:val="18"/>
                <w:szCs w:val="18"/>
                <w:highlight w:val="none"/>
                <w:vertAlign w:val="superscript"/>
                <w:lang w:val="en-US" w:eastAsia="zh-CN"/>
              </w:rPr>
              <w:t>2</w:t>
            </w:r>
            <w:r>
              <w:rPr>
                <w:rFonts w:hint="eastAsia" w:ascii="宋体" w:hAnsi="宋体"/>
                <w:sz w:val="18"/>
                <w:szCs w:val="18"/>
                <w:highlight w:val="none"/>
                <w:lang w:val="en-US" w:eastAsia="zh-CN"/>
              </w:rPr>
              <w:t>的其他单、多层公共建筑。</w:t>
            </w:r>
          </w:p>
        </w:tc>
        <w:tc>
          <w:tcPr>
            <w:tcW w:w="737" w:type="dxa"/>
            <w:noWrap w:val="0"/>
            <w:vAlign w:val="center"/>
          </w:tcPr>
          <w:p w14:paraId="55AF0BDB">
            <w:pPr>
              <w:adjustRightInd w:val="0"/>
              <w:snapToGrid w:val="0"/>
              <w:rPr>
                <w:rFonts w:ascii="宋体" w:hAnsi="宋体" w:cs="宋体"/>
                <w:sz w:val="18"/>
                <w:szCs w:val="18"/>
              </w:rPr>
            </w:pPr>
          </w:p>
        </w:tc>
        <w:tc>
          <w:tcPr>
            <w:tcW w:w="633" w:type="dxa"/>
            <w:noWrap w:val="0"/>
            <w:vAlign w:val="center"/>
          </w:tcPr>
          <w:p w14:paraId="0DEE750F">
            <w:pPr>
              <w:adjustRightInd w:val="0"/>
              <w:snapToGrid w:val="0"/>
              <w:ind w:right="34"/>
              <w:rPr>
                <w:rFonts w:ascii="宋体" w:hAnsi="宋体"/>
                <w:sz w:val="18"/>
                <w:szCs w:val="18"/>
              </w:rPr>
            </w:pPr>
          </w:p>
        </w:tc>
        <w:tc>
          <w:tcPr>
            <w:tcW w:w="633" w:type="dxa"/>
            <w:noWrap w:val="0"/>
            <w:vAlign w:val="center"/>
          </w:tcPr>
          <w:p w14:paraId="0FA7D54A">
            <w:pPr>
              <w:adjustRightInd w:val="0"/>
              <w:snapToGrid w:val="0"/>
              <w:ind w:right="0" w:firstLine="176" w:firstLineChars="98"/>
              <w:jc w:val="both"/>
              <w:rPr>
                <w:rFonts w:hint="eastAsia" w:ascii="宋体" w:hAnsi="宋体" w:eastAsia="宋体"/>
                <w:sz w:val="18"/>
                <w:szCs w:val="18"/>
                <w:lang w:val="en-US" w:eastAsia="zh-CN"/>
              </w:rPr>
            </w:pPr>
            <w:r>
              <w:rPr>
                <w:rFonts w:hint="eastAsia" w:ascii="宋体" w:hAnsi="宋体"/>
                <w:sz w:val="18"/>
                <w:szCs w:val="18"/>
                <w:lang w:val="en-US" w:eastAsia="zh-CN"/>
              </w:rPr>
              <w:t>5</w:t>
            </w:r>
          </w:p>
        </w:tc>
        <w:tc>
          <w:tcPr>
            <w:tcW w:w="2803" w:type="dxa"/>
            <w:tcBorders>
              <w:right w:val="single" w:color="auto" w:sz="4" w:space="0"/>
            </w:tcBorders>
            <w:noWrap w:val="0"/>
            <w:vAlign w:val="center"/>
          </w:tcPr>
          <w:p w14:paraId="2CC63055">
            <w:pPr>
              <w:adjustRightInd w:val="0"/>
              <w:snapToGrid w:val="0"/>
              <w:ind w:right="0"/>
              <w:rPr>
                <w:rFonts w:ascii="宋体" w:hAnsi="宋体"/>
                <w:sz w:val="18"/>
                <w:szCs w:val="18"/>
              </w:rPr>
            </w:pPr>
            <w:r>
              <w:rPr>
                <w:rFonts w:ascii="宋体" w:hAnsi="宋体"/>
                <w:sz w:val="18"/>
                <w:szCs w:val="18"/>
              </w:rPr>
              <w:t>不符合要求</w:t>
            </w:r>
            <w:r>
              <w:rPr>
                <w:rFonts w:hint="eastAsia" w:ascii="宋体" w:hAnsi="宋体"/>
                <w:sz w:val="18"/>
                <w:szCs w:val="18"/>
                <w:lang w:val="en-US" w:eastAsia="zh-CN"/>
              </w:rPr>
              <w:t>不得分</w:t>
            </w:r>
            <w:r>
              <w:rPr>
                <w:rFonts w:hint="eastAsia" w:ascii="宋体" w:hAnsi="宋体"/>
                <w:sz w:val="18"/>
                <w:szCs w:val="18"/>
              </w:rPr>
              <w:t>。</w:t>
            </w:r>
          </w:p>
        </w:tc>
        <w:tc>
          <w:tcPr>
            <w:tcW w:w="679" w:type="dxa"/>
            <w:tcBorders>
              <w:left w:val="single" w:color="auto" w:sz="4" w:space="0"/>
            </w:tcBorders>
            <w:noWrap w:val="0"/>
            <w:vAlign w:val="top"/>
          </w:tcPr>
          <w:p w14:paraId="4393CCED">
            <w:pPr>
              <w:adjustRightInd w:val="0"/>
              <w:snapToGrid w:val="0"/>
              <w:rPr>
                <w:rFonts w:ascii="宋体" w:hAnsi="宋体" w:cs="宋体"/>
                <w:sz w:val="18"/>
                <w:szCs w:val="18"/>
              </w:rPr>
            </w:pPr>
          </w:p>
        </w:tc>
        <w:tc>
          <w:tcPr>
            <w:tcW w:w="1084" w:type="dxa"/>
            <w:noWrap w:val="0"/>
            <w:vAlign w:val="top"/>
          </w:tcPr>
          <w:p w14:paraId="2DD29677">
            <w:pPr>
              <w:adjustRightInd w:val="0"/>
              <w:snapToGrid w:val="0"/>
              <w:rPr>
                <w:rFonts w:ascii="宋体" w:hAnsi="宋体" w:cs="宋体"/>
                <w:sz w:val="18"/>
                <w:szCs w:val="18"/>
              </w:rPr>
            </w:pPr>
          </w:p>
        </w:tc>
        <w:tc>
          <w:tcPr>
            <w:tcW w:w="1176" w:type="dxa"/>
            <w:noWrap w:val="0"/>
            <w:vAlign w:val="center"/>
          </w:tcPr>
          <w:p w14:paraId="1AEAA58B">
            <w:pPr>
              <w:adjustRightInd w:val="0"/>
              <w:snapToGrid w:val="0"/>
              <w:ind w:right="34"/>
              <w:jc w:val="center"/>
              <w:rPr>
                <w:rFonts w:ascii="宋体" w:hAnsi="宋体"/>
                <w:sz w:val="18"/>
                <w:szCs w:val="18"/>
              </w:rPr>
            </w:pPr>
            <w:r>
              <w:rPr>
                <w:rFonts w:hint="eastAsia" w:ascii="宋体" w:hAnsi="宋体"/>
                <w:sz w:val="18"/>
                <w:szCs w:val="18"/>
                <w:lang w:val="en-US" w:eastAsia="zh-CN"/>
              </w:rPr>
              <w:t>4.7.3</w:t>
            </w:r>
          </w:p>
        </w:tc>
      </w:tr>
      <w:tr w14:paraId="49C84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71F0044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bCs/>
                <w:sz w:val="18"/>
                <w:szCs w:val="18"/>
              </w:rPr>
              <w:t>7.</w:t>
            </w:r>
            <w:r>
              <w:rPr>
                <w:rFonts w:hint="eastAsia" w:ascii="宋体" w:hAnsi="宋体"/>
                <w:bCs/>
                <w:sz w:val="18"/>
                <w:szCs w:val="18"/>
                <w:lang w:val="en-US" w:eastAsia="zh-CN"/>
              </w:rPr>
              <w:t>2</w:t>
            </w:r>
            <w:r>
              <w:rPr>
                <w:rFonts w:hint="eastAsia" w:ascii="宋体" w:hAnsi="宋体"/>
                <w:bCs/>
                <w:sz w:val="18"/>
                <w:szCs w:val="18"/>
              </w:rPr>
              <w:t>.</w:t>
            </w:r>
            <w:r>
              <w:rPr>
                <w:rFonts w:hint="eastAsia" w:ascii="宋体" w:hAnsi="宋体"/>
                <w:bCs/>
                <w:sz w:val="18"/>
                <w:szCs w:val="18"/>
                <w:lang w:val="en-US" w:eastAsia="zh-CN"/>
              </w:rPr>
              <w:t>4</w:t>
            </w:r>
          </w:p>
        </w:tc>
        <w:tc>
          <w:tcPr>
            <w:tcW w:w="6685" w:type="dxa"/>
            <w:noWrap w:val="0"/>
            <w:vAlign w:val="center"/>
          </w:tcPr>
          <w:p w14:paraId="677F8FEF">
            <w:pPr>
              <w:numPr>
                <w:ilvl w:val="-1"/>
                <w:numId w:val="0"/>
              </w:numPr>
              <w:adjustRightInd w:val="0"/>
              <w:snapToGrid w:val="0"/>
              <w:jc w:val="left"/>
              <w:rPr>
                <w:rFonts w:ascii="宋体" w:hAnsi="宋体"/>
                <w:sz w:val="18"/>
                <w:szCs w:val="18"/>
              </w:rPr>
            </w:pPr>
            <w:r>
              <w:rPr>
                <w:rFonts w:hint="eastAsia" w:ascii="宋体" w:hAnsi="宋体"/>
                <w:sz w:val="18"/>
                <w:szCs w:val="18"/>
              </w:rPr>
              <w:t>消火栓的管理应符合下列要求：</w:t>
            </w:r>
          </w:p>
          <w:p w14:paraId="01BD6668">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rPr>
              <w:t>建筑高度大于15m或建筑体积大于10000m</w:t>
            </w:r>
            <w:r>
              <w:rPr>
                <w:rFonts w:hint="eastAsia" w:ascii="宋体" w:hAnsi="宋体"/>
                <w:sz w:val="18"/>
                <w:szCs w:val="18"/>
                <w:vertAlign w:val="superscript"/>
              </w:rPr>
              <w:t>3</w:t>
            </w:r>
            <w:r>
              <w:rPr>
                <w:rFonts w:hint="eastAsia" w:ascii="宋体" w:hAnsi="宋体"/>
                <w:sz w:val="18"/>
                <w:szCs w:val="18"/>
              </w:rPr>
              <w:t>的办公建筑、教学建筑及其他单、多层民用建筑</w:t>
            </w:r>
            <w:r>
              <w:rPr>
                <w:rFonts w:hint="eastAsia" w:ascii="宋体" w:hAnsi="宋体"/>
                <w:sz w:val="18"/>
                <w:szCs w:val="18"/>
                <w:lang w:eastAsia="zh-CN"/>
              </w:rPr>
              <w:t>；</w:t>
            </w:r>
          </w:p>
          <w:p w14:paraId="6D4A55B0">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lang w:eastAsia="zh-CN"/>
              </w:rPr>
              <w:t>消火栓应有明显标识；</w:t>
            </w:r>
          </w:p>
          <w:p w14:paraId="0BE36EAA">
            <w:pPr>
              <w:numPr>
                <w:ilvl w:val="0"/>
                <w:numId w:val="74"/>
              </w:numPr>
              <w:adjustRightInd w:val="0"/>
              <w:snapToGrid w:val="0"/>
              <w:ind w:left="0"/>
              <w:rPr>
                <w:rFonts w:hint="eastAsia" w:ascii="宋体" w:hAnsi="宋体"/>
                <w:sz w:val="18"/>
                <w:szCs w:val="18"/>
                <w:highlight w:val="none"/>
                <w:lang w:eastAsia="zh-CN"/>
              </w:rPr>
            </w:pPr>
            <w:r>
              <w:rPr>
                <w:rFonts w:hint="eastAsia" w:ascii="宋体" w:hAnsi="宋体"/>
                <w:sz w:val="18"/>
                <w:szCs w:val="18"/>
                <w:lang w:eastAsia="zh-CN"/>
              </w:rPr>
              <w:t>室内消火栓箱箱内设备应齐全、完好，其正面至疏散通道处，不应设置影响消火栓正常使用的障碍物；</w:t>
            </w:r>
          </w:p>
          <w:p w14:paraId="3FFDCD73">
            <w:pPr>
              <w:numPr>
                <w:ilvl w:val="0"/>
                <w:numId w:val="74"/>
              </w:numPr>
              <w:adjustRightInd w:val="0"/>
              <w:snapToGrid w:val="0"/>
              <w:ind w:left="0"/>
              <w:rPr>
                <w:rFonts w:hint="eastAsia" w:ascii="宋体" w:hAnsi="宋体"/>
                <w:sz w:val="18"/>
                <w:szCs w:val="18"/>
                <w:highlight w:val="none"/>
                <w:lang w:eastAsia="zh-CN"/>
              </w:rPr>
            </w:pPr>
            <w:r>
              <w:rPr>
                <w:rFonts w:hint="eastAsia" w:ascii="宋体" w:hAnsi="宋体"/>
                <w:sz w:val="18"/>
                <w:szCs w:val="18"/>
                <w:highlight w:val="none"/>
                <w:lang w:eastAsia="zh-CN"/>
              </w:rPr>
              <w:t>栓箱应设置门锁或箱门关紧装置；设置门锁的栓箱，除箱门安装玻璃者以及能被击碎的透明材料外，均应设置箱门紧急开启的手动机构，应保证在没有钥匙的情况下开启灵活、可靠；</w:t>
            </w:r>
          </w:p>
          <w:p w14:paraId="783C95D5">
            <w:pPr>
              <w:numPr>
                <w:ilvl w:val="0"/>
                <w:numId w:val="74"/>
              </w:numPr>
              <w:adjustRightInd w:val="0"/>
              <w:snapToGrid w:val="0"/>
              <w:ind w:left="0"/>
              <w:rPr>
                <w:rFonts w:hint="eastAsia" w:ascii="宋体" w:hAnsi="宋体" w:eastAsia="宋体" w:cs="Times New Roman"/>
                <w:kern w:val="0"/>
                <w:sz w:val="18"/>
                <w:szCs w:val="18"/>
                <w:lang w:val="en-US" w:eastAsia="zh-CN" w:bidi="ar-SA"/>
              </w:rPr>
            </w:pPr>
            <w:r>
              <w:rPr>
                <w:rFonts w:hint="eastAsia" w:ascii="宋体" w:hAnsi="宋体"/>
                <w:sz w:val="18"/>
                <w:szCs w:val="18"/>
                <w:highlight w:val="none"/>
                <w:lang w:eastAsia="zh-CN"/>
              </w:rPr>
              <w:t>箱门的开启角度不应小于160°；</w:t>
            </w:r>
          </w:p>
        </w:tc>
        <w:tc>
          <w:tcPr>
            <w:tcW w:w="737" w:type="dxa"/>
            <w:noWrap w:val="0"/>
            <w:vAlign w:val="center"/>
          </w:tcPr>
          <w:p w14:paraId="1A1A6E9B">
            <w:pPr>
              <w:adjustRightInd w:val="0"/>
              <w:snapToGrid w:val="0"/>
              <w:jc w:val="center"/>
              <w:rPr>
                <w:rFonts w:ascii="宋体" w:hAnsi="宋体" w:eastAsia="宋体" w:cs="宋体"/>
                <w:kern w:val="2"/>
                <w:sz w:val="18"/>
                <w:szCs w:val="18"/>
                <w:lang w:val="en-US" w:eastAsia="zh-CN" w:bidi="ar-SA"/>
              </w:rPr>
            </w:pPr>
          </w:p>
        </w:tc>
        <w:tc>
          <w:tcPr>
            <w:tcW w:w="633" w:type="dxa"/>
            <w:noWrap w:val="0"/>
            <w:vAlign w:val="center"/>
          </w:tcPr>
          <w:p w14:paraId="350D9B50">
            <w:pPr>
              <w:adjustRightInd w:val="0"/>
              <w:snapToGrid w:val="0"/>
              <w:ind w:right="34" w:rightChars="0"/>
              <w:jc w:val="center"/>
              <w:rPr>
                <w:rFonts w:ascii="宋体" w:hAnsi="宋体" w:eastAsia="宋体" w:cs="Times New Roman"/>
                <w:kern w:val="2"/>
                <w:sz w:val="18"/>
                <w:szCs w:val="18"/>
                <w:lang w:val="en-US" w:eastAsia="zh-CN" w:bidi="ar-SA"/>
              </w:rPr>
            </w:pPr>
          </w:p>
        </w:tc>
        <w:tc>
          <w:tcPr>
            <w:tcW w:w="633" w:type="dxa"/>
            <w:noWrap w:val="0"/>
            <w:vAlign w:val="center"/>
          </w:tcPr>
          <w:p w14:paraId="722F1B15">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8</w:t>
            </w:r>
          </w:p>
        </w:tc>
        <w:tc>
          <w:tcPr>
            <w:tcW w:w="2803" w:type="dxa"/>
            <w:tcBorders>
              <w:right w:val="single" w:color="auto" w:sz="4" w:space="0"/>
            </w:tcBorders>
            <w:noWrap w:val="0"/>
            <w:vAlign w:val="center"/>
          </w:tcPr>
          <w:p w14:paraId="7C3C3E54">
            <w:pPr>
              <w:adjustRightInd w:val="0"/>
              <w:snapToGrid w:val="0"/>
              <w:ind w:right="34" w:rightChars="0"/>
              <w:rPr>
                <w:rFonts w:ascii="宋体" w:hAnsi="宋体" w:eastAsia="宋体" w:cs="Times New Roman"/>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3分</w:t>
            </w:r>
            <w:r>
              <w:rPr>
                <w:rFonts w:hint="eastAsia" w:ascii="宋体" w:hAnsi="宋体"/>
                <w:sz w:val="18"/>
                <w:szCs w:val="18"/>
              </w:rPr>
              <w:t>。</w:t>
            </w:r>
          </w:p>
        </w:tc>
        <w:tc>
          <w:tcPr>
            <w:tcW w:w="679" w:type="dxa"/>
            <w:tcBorders>
              <w:left w:val="single" w:color="auto" w:sz="4" w:space="0"/>
            </w:tcBorders>
            <w:noWrap w:val="0"/>
            <w:vAlign w:val="top"/>
          </w:tcPr>
          <w:p w14:paraId="567F605D">
            <w:pPr>
              <w:adjustRightInd w:val="0"/>
              <w:snapToGrid w:val="0"/>
              <w:rPr>
                <w:rFonts w:ascii="宋体" w:hAnsi="宋体" w:eastAsia="宋体" w:cs="宋体"/>
                <w:kern w:val="2"/>
                <w:sz w:val="18"/>
                <w:szCs w:val="18"/>
                <w:lang w:val="en-US" w:eastAsia="zh-CN" w:bidi="ar-SA"/>
              </w:rPr>
            </w:pPr>
          </w:p>
        </w:tc>
        <w:tc>
          <w:tcPr>
            <w:tcW w:w="1084" w:type="dxa"/>
            <w:noWrap w:val="0"/>
            <w:vAlign w:val="top"/>
          </w:tcPr>
          <w:p w14:paraId="6720F80B">
            <w:pPr>
              <w:adjustRightInd w:val="0"/>
              <w:snapToGrid w:val="0"/>
              <w:rPr>
                <w:rFonts w:ascii="宋体" w:hAnsi="宋体" w:eastAsia="宋体" w:cs="宋体"/>
                <w:kern w:val="2"/>
                <w:sz w:val="18"/>
                <w:szCs w:val="18"/>
                <w:lang w:val="en-US" w:eastAsia="zh-CN" w:bidi="ar-SA"/>
              </w:rPr>
            </w:pPr>
          </w:p>
        </w:tc>
        <w:tc>
          <w:tcPr>
            <w:tcW w:w="1176" w:type="dxa"/>
            <w:noWrap w:val="0"/>
            <w:vAlign w:val="center"/>
          </w:tcPr>
          <w:p w14:paraId="570B25CC">
            <w:pPr>
              <w:adjustRightInd w:val="0"/>
              <w:snapToGrid w:val="0"/>
              <w:ind w:right="0"/>
              <w:jc w:val="center"/>
              <w:rPr>
                <w:rFonts w:hint="eastAsia" w:ascii="宋体" w:hAnsi="宋体"/>
                <w:sz w:val="18"/>
                <w:szCs w:val="18"/>
              </w:rPr>
            </w:pPr>
            <w:r>
              <w:rPr>
                <w:rFonts w:hint="eastAsia" w:ascii="宋体" w:hAnsi="宋体"/>
                <w:sz w:val="18"/>
                <w:szCs w:val="18"/>
                <w:lang w:eastAsia="zh-CN"/>
              </w:rPr>
              <w:t>4.7</w:t>
            </w:r>
            <w:r>
              <w:rPr>
                <w:rFonts w:hint="eastAsia" w:ascii="宋体" w:hAnsi="宋体"/>
                <w:sz w:val="18"/>
                <w:szCs w:val="18"/>
              </w:rPr>
              <w:t>.1</w:t>
            </w:r>
          </w:p>
          <w:p w14:paraId="06685E59">
            <w:pPr>
              <w:adjustRightInd w:val="0"/>
              <w:snapToGrid w:val="0"/>
              <w:ind w:right="34" w:rightChars="0"/>
              <w:jc w:val="center"/>
              <w:rPr>
                <w:rFonts w:ascii="宋体" w:hAnsi="宋体" w:eastAsia="宋体" w:cs="Times New Roman"/>
                <w:kern w:val="2"/>
                <w:sz w:val="18"/>
                <w:szCs w:val="18"/>
                <w:lang w:val="en-US" w:eastAsia="zh-CN" w:bidi="ar-SA"/>
              </w:rPr>
            </w:pPr>
            <w:r>
              <w:rPr>
                <w:rFonts w:hint="eastAsia" w:ascii="宋体" w:hAnsi="宋体"/>
                <w:sz w:val="18"/>
                <w:szCs w:val="18"/>
                <w:lang w:val="en-US" w:eastAsia="zh-CN"/>
              </w:rPr>
              <w:t>4.7.3</w:t>
            </w:r>
          </w:p>
        </w:tc>
      </w:tr>
    </w:tbl>
    <w:p w14:paraId="3C5E4C67">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6593"/>
        <w:gridCol w:w="734"/>
        <w:gridCol w:w="629"/>
        <w:gridCol w:w="629"/>
        <w:gridCol w:w="2788"/>
        <w:gridCol w:w="676"/>
        <w:gridCol w:w="629"/>
        <w:gridCol w:w="1704"/>
      </w:tblGrid>
      <w:tr w14:paraId="2E138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4767108E">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593" w:type="dxa"/>
            <w:noWrap w:val="0"/>
            <w:vAlign w:val="center"/>
          </w:tcPr>
          <w:p w14:paraId="06FA21C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4" w:type="dxa"/>
            <w:noWrap w:val="0"/>
            <w:vAlign w:val="center"/>
          </w:tcPr>
          <w:p w14:paraId="7FBCF71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29" w:type="dxa"/>
            <w:noWrap w:val="0"/>
            <w:vAlign w:val="top"/>
          </w:tcPr>
          <w:p w14:paraId="5EA405D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29" w:type="dxa"/>
            <w:noWrap w:val="0"/>
            <w:vAlign w:val="top"/>
          </w:tcPr>
          <w:p w14:paraId="5B54787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788" w:type="dxa"/>
            <w:tcBorders>
              <w:right w:val="single" w:color="auto" w:sz="4" w:space="0"/>
            </w:tcBorders>
            <w:noWrap w:val="0"/>
            <w:vAlign w:val="center"/>
          </w:tcPr>
          <w:p w14:paraId="1D2AD67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6" w:type="dxa"/>
            <w:tcBorders>
              <w:left w:val="single" w:color="auto" w:sz="4" w:space="0"/>
            </w:tcBorders>
            <w:noWrap w:val="0"/>
            <w:vAlign w:val="center"/>
          </w:tcPr>
          <w:p w14:paraId="2D0103F8">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629" w:type="dxa"/>
            <w:noWrap w:val="0"/>
            <w:vAlign w:val="center"/>
          </w:tcPr>
          <w:p w14:paraId="752B2CFB">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704" w:type="dxa"/>
            <w:noWrap w:val="0"/>
            <w:vAlign w:val="center"/>
          </w:tcPr>
          <w:p w14:paraId="2527069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5AF41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74A1B907">
            <w:pPr>
              <w:adjustRightInd w:val="0"/>
              <w:snapToGrid w:val="0"/>
              <w:jc w:val="center"/>
              <w:rPr>
                <w:rFonts w:hint="eastAsia" w:ascii="宋体" w:hAnsi="宋体" w:eastAsia="宋体"/>
                <w:sz w:val="18"/>
                <w:szCs w:val="18"/>
                <w:lang w:eastAsia="zh-CN"/>
              </w:rPr>
            </w:pPr>
          </w:p>
        </w:tc>
        <w:tc>
          <w:tcPr>
            <w:tcW w:w="6593" w:type="dxa"/>
            <w:noWrap w:val="0"/>
            <w:vAlign w:val="center"/>
          </w:tcPr>
          <w:p w14:paraId="47FB276B">
            <w:pPr>
              <w:numPr>
                <w:ilvl w:val="0"/>
                <w:numId w:val="74"/>
              </w:numPr>
              <w:adjustRightInd w:val="0"/>
              <w:snapToGrid w:val="0"/>
              <w:ind w:left="0"/>
              <w:rPr>
                <w:rFonts w:hint="eastAsia" w:ascii="宋体" w:hAnsi="宋体"/>
                <w:sz w:val="18"/>
                <w:szCs w:val="18"/>
                <w:highlight w:val="none"/>
                <w:lang w:eastAsia="zh-CN"/>
              </w:rPr>
            </w:pPr>
            <w:r>
              <w:rPr>
                <w:rFonts w:hint="eastAsia" w:ascii="宋体" w:hAnsi="宋体"/>
                <w:sz w:val="18"/>
                <w:szCs w:val="18"/>
                <w:highlight w:val="none"/>
                <w:lang w:eastAsia="zh-CN"/>
              </w:rPr>
              <w:t>室内消火栓水带外观应完整无损、无腐蚀、无污染现象，与接头应绑扎牢固；消防水喉接口绑扎组件应完整、无渗漏现象，与接头绑扎牢固；</w:t>
            </w:r>
          </w:p>
          <w:p w14:paraId="0C8326E5">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highlight w:val="none"/>
                <w:lang w:eastAsia="zh-CN"/>
              </w:rPr>
              <w:t>盘卷式消火栓的消防水带从挂臂上或消防水带中取出应无卡阻，托架</w:t>
            </w:r>
            <w:r>
              <w:rPr>
                <w:rFonts w:hint="eastAsia" w:ascii="宋体" w:hAnsi="宋体"/>
                <w:sz w:val="18"/>
                <w:szCs w:val="18"/>
                <w:lang w:eastAsia="zh-CN"/>
              </w:rPr>
              <w:t>式消火栓箱的消防水带托架应转动灵活，消防水带从托架中拉出应无卡阻；</w:t>
            </w:r>
          </w:p>
          <w:p w14:paraId="63EE494E">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lang w:eastAsia="zh-CN"/>
              </w:rPr>
              <w:t>室内消火栓栓口的安装高度应便于消防水龙带的连接和使用，其出水方向应便于消防水带的敷设；</w:t>
            </w:r>
          </w:p>
          <w:p w14:paraId="1F8A0881">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lang w:eastAsia="zh-CN"/>
              </w:rPr>
              <w:t>室外消火栓不应填埋、圈占，距室外消火栓、水泵接合器2 m范围内不应设置影响其正常使用的障碍物；</w:t>
            </w:r>
          </w:p>
          <w:p w14:paraId="711DC6EC">
            <w:pPr>
              <w:numPr>
                <w:ilvl w:val="0"/>
                <w:numId w:val="74"/>
              </w:numPr>
              <w:adjustRightInd w:val="0"/>
              <w:snapToGrid w:val="0"/>
              <w:ind w:left="0"/>
              <w:rPr>
                <w:rFonts w:hint="eastAsia" w:ascii="宋体" w:hAnsi="宋体"/>
                <w:sz w:val="18"/>
                <w:szCs w:val="18"/>
                <w:lang w:eastAsia="zh-CN"/>
              </w:rPr>
            </w:pPr>
            <w:r>
              <w:rPr>
                <w:rFonts w:hint="eastAsia" w:ascii="宋体" w:hAnsi="宋体"/>
                <w:sz w:val="18"/>
                <w:szCs w:val="18"/>
                <w:lang w:eastAsia="zh-CN"/>
              </w:rPr>
              <w:t>室外消火栓、阀门、消防水泵接合器等设置地点应设置明确的标识；</w:t>
            </w:r>
          </w:p>
          <w:p w14:paraId="3A3F3638">
            <w:pPr>
              <w:numPr>
                <w:ilvl w:val="0"/>
                <w:numId w:val="74"/>
              </w:numPr>
              <w:adjustRightInd w:val="0"/>
              <w:snapToGrid w:val="0"/>
              <w:ind w:left="0"/>
              <w:rPr>
                <w:rFonts w:hint="eastAsia" w:ascii="宋体" w:hAnsi="宋体"/>
                <w:kern w:val="0"/>
                <w:sz w:val="18"/>
                <w:szCs w:val="18"/>
              </w:rPr>
            </w:pPr>
            <w:r>
              <w:rPr>
                <w:rFonts w:hint="eastAsia" w:ascii="宋体" w:hAnsi="宋体"/>
                <w:sz w:val="18"/>
                <w:szCs w:val="18"/>
                <w:lang w:eastAsia="zh-CN"/>
              </w:rPr>
              <w:t>室外消火栓、消防水泵接合器等室外消防设施周围应设置防止机动车辆撞击的设施。消火栓、消防水泵接合器两侧沿道路方向各5m范围内禁止停放机动车，并应在明显位置设置警示标志。</w:t>
            </w:r>
          </w:p>
        </w:tc>
        <w:tc>
          <w:tcPr>
            <w:tcW w:w="734" w:type="dxa"/>
            <w:noWrap w:val="0"/>
            <w:vAlign w:val="center"/>
          </w:tcPr>
          <w:p w14:paraId="16E94C88">
            <w:pPr>
              <w:adjustRightInd w:val="0"/>
              <w:snapToGrid w:val="0"/>
              <w:jc w:val="center"/>
              <w:rPr>
                <w:rFonts w:ascii="宋体" w:hAnsi="宋体" w:cs="宋体"/>
                <w:sz w:val="18"/>
                <w:szCs w:val="18"/>
              </w:rPr>
            </w:pPr>
          </w:p>
        </w:tc>
        <w:tc>
          <w:tcPr>
            <w:tcW w:w="629" w:type="dxa"/>
            <w:noWrap w:val="0"/>
            <w:vAlign w:val="center"/>
          </w:tcPr>
          <w:p w14:paraId="4F46918D">
            <w:pPr>
              <w:adjustRightInd w:val="0"/>
              <w:snapToGrid w:val="0"/>
              <w:ind w:right="34"/>
              <w:jc w:val="center"/>
              <w:rPr>
                <w:rFonts w:ascii="宋体" w:hAnsi="宋体"/>
                <w:sz w:val="18"/>
                <w:szCs w:val="18"/>
              </w:rPr>
            </w:pPr>
          </w:p>
        </w:tc>
        <w:tc>
          <w:tcPr>
            <w:tcW w:w="629" w:type="dxa"/>
            <w:noWrap w:val="0"/>
            <w:vAlign w:val="center"/>
          </w:tcPr>
          <w:p w14:paraId="5A63512C">
            <w:pPr>
              <w:adjustRightInd w:val="0"/>
              <w:snapToGrid w:val="0"/>
              <w:ind w:right="34"/>
              <w:jc w:val="center"/>
              <w:rPr>
                <w:rFonts w:hint="default" w:ascii="宋体" w:hAnsi="宋体" w:eastAsia="宋体"/>
                <w:sz w:val="18"/>
                <w:szCs w:val="18"/>
                <w:lang w:val="en-US" w:eastAsia="zh-CN"/>
              </w:rPr>
            </w:pPr>
          </w:p>
        </w:tc>
        <w:tc>
          <w:tcPr>
            <w:tcW w:w="2788" w:type="dxa"/>
            <w:tcBorders>
              <w:right w:val="single" w:color="auto" w:sz="4" w:space="0"/>
            </w:tcBorders>
            <w:noWrap w:val="0"/>
            <w:vAlign w:val="center"/>
          </w:tcPr>
          <w:p w14:paraId="4BB3EE01">
            <w:pPr>
              <w:adjustRightInd w:val="0"/>
              <w:snapToGrid w:val="0"/>
              <w:ind w:right="34"/>
              <w:rPr>
                <w:rFonts w:ascii="宋体" w:hAnsi="宋体"/>
                <w:sz w:val="18"/>
                <w:szCs w:val="18"/>
              </w:rPr>
            </w:pPr>
          </w:p>
        </w:tc>
        <w:tc>
          <w:tcPr>
            <w:tcW w:w="676" w:type="dxa"/>
            <w:tcBorders>
              <w:left w:val="single" w:color="auto" w:sz="4" w:space="0"/>
            </w:tcBorders>
            <w:noWrap w:val="0"/>
            <w:vAlign w:val="top"/>
          </w:tcPr>
          <w:p w14:paraId="30ADFF52">
            <w:pPr>
              <w:adjustRightInd w:val="0"/>
              <w:snapToGrid w:val="0"/>
              <w:rPr>
                <w:rFonts w:ascii="宋体" w:hAnsi="宋体" w:cs="宋体"/>
                <w:sz w:val="18"/>
                <w:szCs w:val="18"/>
              </w:rPr>
            </w:pPr>
          </w:p>
        </w:tc>
        <w:tc>
          <w:tcPr>
            <w:tcW w:w="629" w:type="dxa"/>
            <w:noWrap w:val="0"/>
            <w:vAlign w:val="top"/>
          </w:tcPr>
          <w:p w14:paraId="67014422">
            <w:pPr>
              <w:adjustRightInd w:val="0"/>
              <w:snapToGrid w:val="0"/>
              <w:rPr>
                <w:rFonts w:ascii="宋体" w:hAnsi="宋体" w:cs="宋体"/>
                <w:sz w:val="18"/>
                <w:szCs w:val="18"/>
              </w:rPr>
            </w:pPr>
          </w:p>
        </w:tc>
        <w:tc>
          <w:tcPr>
            <w:tcW w:w="1704" w:type="dxa"/>
            <w:noWrap w:val="0"/>
            <w:vAlign w:val="center"/>
          </w:tcPr>
          <w:p w14:paraId="7BAA69CE">
            <w:pPr>
              <w:adjustRightInd w:val="0"/>
              <w:snapToGrid w:val="0"/>
              <w:ind w:right="34"/>
              <w:jc w:val="center"/>
              <w:rPr>
                <w:rFonts w:ascii="宋体" w:hAnsi="宋体"/>
                <w:sz w:val="18"/>
                <w:szCs w:val="18"/>
              </w:rPr>
            </w:pPr>
          </w:p>
        </w:tc>
      </w:tr>
      <w:tr w14:paraId="7A560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604CE427">
            <w:pPr>
              <w:adjustRightInd w:val="0"/>
              <w:snapToGrid w:val="0"/>
              <w:jc w:val="center"/>
              <w:rPr>
                <w:rFonts w:hint="default" w:ascii="宋体" w:hAnsi="宋体" w:eastAsia="宋体"/>
                <w:sz w:val="18"/>
                <w:szCs w:val="18"/>
                <w:lang w:val="en-US" w:eastAsia="zh-CN"/>
              </w:rPr>
            </w:pPr>
            <w:r>
              <w:rPr>
                <w:rFonts w:hint="eastAsia" w:ascii="宋体" w:hAnsi="宋体"/>
                <w:sz w:val="18"/>
                <w:szCs w:val="18"/>
              </w:rPr>
              <w:t>7.</w:t>
            </w:r>
            <w:r>
              <w:rPr>
                <w:rFonts w:hint="eastAsia" w:ascii="宋体" w:hAnsi="宋体"/>
                <w:sz w:val="18"/>
                <w:szCs w:val="18"/>
                <w:lang w:val="en-US" w:eastAsia="zh-CN"/>
              </w:rPr>
              <w:t>2.5</w:t>
            </w:r>
          </w:p>
        </w:tc>
        <w:tc>
          <w:tcPr>
            <w:tcW w:w="6593" w:type="dxa"/>
            <w:noWrap w:val="0"/>
            <w:vAlign w:val="center"/>
          </w:tcPr>
          <w:p w14:paraId="3F2E5D5C">
            <w:pPr>
              <w:widowControl/>
              <w:tabs>
                <w:tab w:val="center" w:pos="4201"/>
                <w:tab w:val="right" w:leader="dot" w:pos="9298"/>
              </w:tabs>
              <w:autoSpaceDE w:val="0"/>
              <w:autoSpaceDN w:val="0"/>
              <w:ind w:right="33" w:rightChars="16"/>
              <w:jc w:val="left"/>
              <w:rPr>
                <w:rFonts w:hint="eastAsia" w:ascii="宋体" w:hAnsi="宋体"/>
                <w:kern w:val="0"/>
                <w:sz w:val="18"/>
                <w:szCs w:val="18"/>
              </w:rPr>
            </w:pPr>
            <w:r>
              <w:rPr>
                <w:rFonts w:hint="eastAsia" w:ascii="宋体" w:hAnsi="宋体" w:cs="宋体"/>
                <w:snapToGrid w:val="0"/>
                <w:kern w:val="21"/>
                <w:sz w:val="18"/>
                <w:szCs w:val="18"/>
              </w:rPr>
              <w:t>灭火器</w:t>
            </w:r>
          </w:p>
        </w:tc>
        <w:tc>
          <w:tcPr>
            <w:tcW w:w="734" w:type="dxa"/>
            <w:noWrap w:val="0"/>
            <w:vAlign w:val="center"/>
          </w:tcPr>
          <w:p w14:paraId="4021CA3F">
            <w:pPr>
              <w:adjustRightInd w:val="0"/>
              <w:snapToGrid w:val="0"/>
              <w:jc w:val="center"/>
              <w:rPr>
                <w:rFonts w:ascii="宋体" w:hAnsi="宋体"/>
                <w:bCs/>
                <w:sz w:val="18"/>
                <w:szCs w:val="18"/>
              </w:rPr>
            </w:pPr>
          </w:p>
        </w:tc>
        <w:tc>
          <w:tcPr>
            <w:tcW w:w="629" w:type="dxa"/>
            <w:noWrap w:val="0"/>
            <w:vAlign w:val="center"/>
          </w:tcPr>
          <w:p w14:paraId="0B38225E">
            <w:pPr>
              <w:adjustRightInd w:val="0"/>
              <w:snapToGrid w:val="0"/>
              <w:jc w:val="center"/>
              <w:rPr>
                <w:rFonts w:hint="eastAsia" w:ascii="宋体" w:hAnsi="宋体"/>
                <w:bCs/>
                <w:sz w:val="18"/>
                <w:szCs w:val="18"/>
              </w:rPr>
            </w:pPr>
          </w:p>
        </w:tc>
        <w:tc>
          <w:tcPr>
            <w:tcW w:w="629" w:type="dxa"/>
            <w:noWrap w:val="0"/>
            <w:vAlign w:val="center"/>
          </w:tcPr>
          <w:p w14:paraId="600A05D5">
            <w:pPr>
              <w:adjustRightInd w:val="0"/>
              <w:snapToGrid w:val="0"/>
              <w:ind w:right="34"/>
              <w:jc w:val="center"/>
              <w:rPr>
                <w:rFonts w:ascii="宋体" w:hAnsi="宋体"/>
                <w:sz w:val="18"/>
                <w:szCs w:val="18"/>
              </w:rPr>
            </w:pPr>
          </w:p>
        </w:tc>
        <w:tc>
          <w:tcPr>
            <w:tcW w:w="2788" w:type="dxa"/>
            <w:tcBorders>
              <w:right w:val="single" w:color="auto" w:sz="4" w:space="0"/>
            </w:tcBorders>
            <w:noWrap w:val="0"/>
            <w:vAlign w:val="center"/>
          </w:tcPr>
          <w:p w14:paraId="4BEB381E">
            <w:pPr>
              <w:adjustRightInd w:val="0"/>
              <w:snapToGrid w:val="0"/>
              <w:ind w:right="34"/>
              <w:rPr>
                <w:rFonts w:ascii="宋体" w:hAnsi="宋体"/>
                <w:sz w:val="18"/>
                <w:szCs w:val="18"/>
              </w:rPr>
            </w:pPr>
          </w:p>
        </w:tc>
        <w:tc>
          <w:tcPr>
            <w:tcW w:w="676" w:type="dxa"/>
            <w:tcBorders>
              <w:left w:val="single" w:color="auto" w:sz="4" w:space="0"/>
            </w:tcBorders>
            <w:noWrap w:val="0"/>
            <w:vAlign w:val="top"/>
          </w:tcPr>
          <w:p w14:paraId="1BC1DB5A">
            <w:pPr>
              <w:adjustRightInd w:val="0"/>
              <w:snapToGrid w:val="0"/>
              <w:rPr>
                <w:rFonts w:ascii="宋体" w:hAnsi="宋体" w:cs="宋体"/>
                <w:sz w:val="18"/>
                <w:szCs w:val="18"/>
              </w:rPr>
            </w:pPr>
          </w:p>
        </w:tc>
        <w:tc>
          <w:tcPr>
            <w:tcW w:w="629" w:type="dxa"/>
            <w:noWrap w:val="0"/>
            <w:vAlign w:val="top"/>
          </w:tcPr>
          <w:p w14:paraId="24D1FEB6">
            <w:pPr>
              <w:adjustRightInd w:val="0"/>
              <w:snapToGrid w:val="0"/>
              <w:rPr>
                <w:rFonts w:ascii="宋体" w:hAnsi="宋体" w:cs="宋体"/>
                <w:sz w:val="18"/>
                <w:szCs w:val="18"/>
              </w:rPr>
            </w:pPr>
          </w:p>
        </w:tc>
        <w:tc>
          <w:tcPr>
            <w:tcW w:w="1704" w:type="dxa"/>
            <w:noWrap w:val="0"/>
            <w:vAlign w:val="center"/>
          </w:tcPr>
          <w:p w14:paraId="29109E82">
            <w:pPr>
              <w:adjustRightInd w:val="0"/>
              <w:snapToGrid w:val="0"/>
              <w:ind w:right="34"/>
              <w:jc w:val="center"/>
              <w:rPr>
                <w:rFonts w:hint="eastAsia" w:ascii="宋体" w:hAnsi="宋体"/>
                <w:sz w:val="18"/>
                <w:szCs w:val="18"/>
              </w:rPr>
            </w:pPr>
            <w:r>
              <w:rPr>
                <w:rFonts w:hint="eastAsia" w:ascii="宋体" w:hAnsi="宋体"/>
                <w:sz w:val="18"/>
                <w:szCs w:val="18"/>
                <w:lang w:val="en-US" w:eastAsia="zh-CN"/>
              </w:rPr>
              <w:t>4.7.3</w:t>
            </w:r>
          </w:p>
        </w:tc>
      </w:tr>
      <w:tr w14:paraId="70606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38CE3F0E">
            <w:pPr>
              <w:adjustRightInd w:val="0"/>
              <w:snapToGrid w:val="0"/>
              <w:spacing w:line="240" w:lineRule="atLeast"/>
              <w:jc w:val="center"/>
              <w:rPr>
                <w:rFonts w:ascii="宋体" w:hAnsi="宋体" w:cs="宋体"/>
                <w:snapToGrid w:val="0"/>
                <w:kern w:val="21"/>
                <w:sz w:val="18"/>
                <w:szCs w:val="18"/>
              </w:rPr>
            </w:pPr>
            <w:r>
              <w:rPr>
                <w:rFonts w:hint="eastAsia" w:ascii="宋体" w:hAnsi="宋体"/>
                <w:sz w:val="18"/>
                <w:szCs w:val="18"/>
              </w:rPr>
              <w:t>7.</w:t>
            </w:r>
            <w:r>
              <w:rPr>
                <w:rFonts w:hint="eastAsia" w:ascii="宋体" w:hAnsi="宋体"/>
                <w:sz w:val="18"/>
                <w:szCs w:val="18"/>
                <w:lang w:val="en-US" w:eastAsia="zh-CN"/>
              </w:rPr>
              <w:t>2.5</w:t>
            </w:r>
            <w:r>
              <w:rPr>
                <w:rFonts w:hint="eastAsia" w:ascii="宋体" w:hAnsi="宋体"/>
                <w:sz w:val="18"/>
                <w:szCs w:val="18"/>
              </w:rPr>
              <w:t>.1</w:t>
            </w:r>
          </w:p>
        </w:tc>
        <w:tc>
          <w:tcPr>
            <w:tcW w:w="6593" w:type="dxa"/>
            <w:noWrap w:val="0"/>
            <w:vAlign w:val="top"/>
          </w:tcPr>
          <w:p w14:paraId="16A90B24">
            <w:pPr>
              <w:adjustRightInd w:val="0"/>
              <w:snapToGrid w:val="0"/>
              <w:rPr>
                <w:rFonts w:ascii="宋体" w:hAnsi="宋体"/>
                <w:sz w:val="18"/>
                <w:szCs w:val="18"/>
              </w:rPr>
            </w:pPr>
            <w:r>
              <w:rPr>
                <w:rFonts w:hint="eastAsia" w:ascii="宋体" w:hAnsi="宋体"/>
                <w:sz w:val="18"/>
                <w:szCs w:val="18"/>
              </w:rPr>
              <w:t>灭火器的配置应符合下列要求：</w:t>
            </w:r>
          </w:p>
          <w:p w14:paraId="362D8C59">
            <w:pPr>
              <w:adjustRightInd w:val="0"/>
              <w:snapToGrid w:val="0"/>
              <w:rPr>
                <w:rFonts w:hint="eastAsia" w:ascii="宋体" w:hAnsi="宋体"/>
                <w:sz w:val="18"/>
                <w:szCs w:val="18"/>
              </w:rPr>
            </w:pPr>
            <w:r>
              <w:rPr>
                <w:rFonts w:hint="eastAsia" w:ascii="宋体" w:hAnsi="宋体"/>
                <w:sz w:val="18"/>
                <w:szCs w:val="18"/>
              </w:rPr>
              <w:t>a）当配置场所存在多种火灾时，应选用能同时适用扑救该场所所有种类火灾的灭火器；</w:t>
            </w:r>
          </w:p>
          <w:p w14:paraId="67FF7A91">
            <w:pPr>
              <w:adjustRightInd w:val="0"/>
              <w:snapToGrid w:val="0"/>
              <w:rPr>
                <w:rFonts w:hint="eastAsia" w:ascii="宋体" w:hAnsi="宋体"/>
                <w:sz w:val="18"/>
                <w:szCs w:val="18"/>
              </w:rPr>
            </w:pPr>
            <w:r>
              <w:rPr>
                <w:rFonts w:hint="eastAsia" w:ascii="宋体" w:hAnsi="宋体"/>
                <w:sz w:val="18"/>
                <w:szCs w:val="18"/>
              </w:rPr>
              <w:t>b）灭火器设置点的位置和数量应根据被保护对象的情况和灭火器的最大保护距离确定，并应保证最不利点至少在 1 具灭火器的保护范围内；</w:t>
            </w:r>
          </w:p>
          <w:p w14:paraId="41BFFDD9">
            <w:pPr>
              <w:adjustRightInd w:val="0"/>
              <w:snapToGrid w:val="0"/>
              <w:ind w:firstLine="0" w:firstLineChars="0"/>
              <w:rPr>
                <w:rFonts w:ascii="宋体" w:hAnsi="宋体" w:cs="宋体"/>
                <w:snapToGrid w:val="0"/>
                <w:kern w:val="21"/>
                <w:sz w:val="18"/>
                <w:szCs w:val="18"/>
              </w:rPr>
            </w:pPr>
            <w:r>
              <w:rPr>
                <w:rFonts w:hint="eastAsia" w:ascii="宋体" w:hAnsi="宋体"/>
                <w:sz w:val="18"/>
                <w:szCs w:val="18"/>
              </w:rPr>
              <w:t>c）灭火器的配置的一般规定：一个计算单元内配置的灭火器数量应经计算确定且不应少于2具，每个设置点的灭火器数量不宜多于5具。</w:t>
            </w:r>
          </w:p>
        </w:tc>
        <w:tc>
          <w:tcPr>
            <w:tcW w:w="734" w:type="dxa"/>
            <w:noWrap w:val="0"/>
            <w:vAlign w:val="center"/>
          </w:tcPr>
          <w:p w14:paraId="748C2E4C">
            <w:pPr>
              <w:adjustRightInd w:val="0"/>
              <w:snapToGrid w:val="0"/>
              <w:jc w:val="center"/>
              <w:rPr>
                <w:rFonts w:ascii="宋体" w:hAnsi="宋体" w:cs="宋体"/>
                <w:sz w:val="18"/>
                <w:szCs w:val="18"/>
              </w:rPr>
            </w:pPr>
          </w:p>
        </w:tc>
        <w:tc>
          <w:tcPr>
            <w:tcW w:w="629" w:type="dxa"/>
            <w:noWrap w:val="0"/>
            <w:vAlign w:val="center"/>
          </w:tcPr>
          <w:p w14:paraId="7E8C4CE1">
            <w:pPr>
              <w:adjustRightInd w:val="0"/>
              <w:snapToGrid w:val="0"/>
              <w:ind w:right="34"/>
              <w:jc w:val="center"/>
              <w:rPr>
                <w:rFonts w:ascii="宋体" w:hAnsi="宋体"/>
                <w:sz w:val="18"/>
                <w:szCs w:val="18"/>
              </w:rPr>
            </w:pPr>
          </w:p>
        </w:tc>
        <w:tc>
          <w:tcPr>
            <w:tcW w:w="629" w:type="dxa"/>
            <w:noWrap w:val="0"/>
            <w:vAlign w:val="center"/>
          </w:tcPr>
          <w:p w14:paraId="3120C13D">
            <w:pPr>
              <w:adjustRightInd w:val="0"/>
              <w:snapToGrid w:val="0"/>
              <w:ind w:right="34"/>
              <w:jc w:val="center"/>
              <w:rPr>
                <w:rFonts w:hint="eastAsia" w:ascii="宋体" w:hAnsi="宋体"/>
                <w:sz w:val="18"/>
                <w:szCs w:val="18"/>
              </w:rPr>
            </w:pPr>
            <w:r>
              <w:rPr>
                <w:rFonts w:hint="eastAsia" w:ascii="宋体" w:hAnsi="宋体"/>
                <w:sz w:val="18"/>
                <w:szCs w:val="18"/>
              </w:rPr>
              <w:t>3</w:t>
            </w:r>
          </w:p>
        </w:tc>
        <w:tc>
          <w:tcPr>
            <w:tcW w:w="2788" w:type="dxa"/>
            <w:tcBorders>
              <w:right w:val="single" w:color="auto" w:sz="4" w:space="0"/>
            </w:tcBorders>
            <w:noWrap w:val="0"/>
            <w:vAlign w:val="center"/>
          </w:tcPr>
          <w:p w14:paraId="6C091890">
            <w:pPr>
              <w:adjustRightInd w:val="0"/>
              <w:snapToGrid w:val="0"/>
              <w:ind w:right="34"/>
              <w:rPr>
                <w:rFonts w:ascii="宋体" w:hAnsi="宋体"/>
                <w:sz w:val="18"/>
                <w:szCs w:val="18"/>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676" w:type="dxa"/>
            <w:tcBorders>
              <w:left w:val="single" w:color="auto" w:sz="4" w:space="0"/>
            </w:tcBorders>
            <w:noWrap w:val="0"/>
            <w:vAlign w:val="top"/>
          </w:tcPr>
          <w:p w14:paraId="20C58EA6">
            <w:pPr>
              <w:adjustRightInd w:val="0"/>
              <w:snapToGrid w:val="0"/>
              <w:rPr>
                <w:rFonts w:ascii="宋体" w:hAnsi="宋体" w:cs="宋体"/>
                <w:sz w:val="18"/>
                <w:szCs w:val="18"/>
              </w:rPr>
            </w:pPr>
          </w:p>
        </w:tc>
        <w:tc>
          <w:tcPr>
            <w:tcW w:w="629" w:type="dxa"/>
            <w:noWrap w:val="0"/>
            <w:vAlign w:val="top"/>
          </w:tcPr>
          <w:p w14:paraId="2FEF6CEC">
            <w:pPr>
              <w:adjustRightInd w:val="0"/>
              <w:snapToGrid w:val="0"/>
              <w:rPr>
                <w:rFonts w:ascii="宋体" w:hAnsi="宋体" w:cs="宋体"/>
                <w:sz w:val="18"/>
                <w:szCs w:val="18"/>
              </w:rPr>
            </w:pPr>
          </w:p>
        </w:tc>
        <w:tc>
          <w:tcPr>
            <w:tcW w:w="1704" w:type="dxa"/>
            <w:noWrap w:val="0"/>
            <w:vAlign w:val="center"/>
          </w:tcPr>
          <w:p w14:paraId="499C329F">
            <w:pPr>
              <w:adjustRightInd w:val="0"/>
              <w:snapToGrid w:val="0"/>
              <w:ind w:right="0"/>
              <w:jc w:val="center"/>
              <w:rPr>
                <w:rFonts w:hint="eastAsia" w:ascii="宋体" w:hAnsi="宋体"/>
                <w:sz w:val="18"/>
                <w:szCs w:val="18"/>
              </w:rPr>
            </w:pPr>
            <w:r>
              <w:rPr>
                <w:rFonts w:hint="eastAsia" w:ascii="宋体" w:hAnsi="宋体"/>
                <w:sz w:val="18"/>
                <w:szCs w:val="18"/>
                <w:lang w:eastAsia="zh-CN"/>
              </w:rPr>
              <w:t>4.7</w:t>
            </w:r>
            <w:r>
              <w:rPr>
                <w:rFonts w:hint="eastAsia" w:ascii="宋体" w:hAnsi="宋体"/>
                <w:sz w:val="18"/>
                <w:szCs w:val="18"/>
              </w:rPr>
              <w:t>.1</w:t>
            </w:r>
          </w:p>
          <w:p w14:paraId="12D48B72">
            <w:pPr>
              <w:adjustRightInd w:val="0"/>
              <w:snapToGrid w:val="0"/>
              <w:ind w:right="34"/>
              <w:jc w:val="center"/>
              <w:rPr>
                <w:rFonts w:ascii="宋体" w:hAnsi="宋体"/>
                <w:sz w:val="18"/>
                <w:szCs w:val="18"/>
              </w:rPr>
            </w:pPr>
            <w:r>
              <w:rPr>
                <w:rFonts w:hint="eastAsia" w:ascii="宋体" w:hAnsi="宋体"/>
                <w:sz w:val="18"/>
                <w:szCs w:val="18"/>
                <w:lang w:val="en-US" w:eastAsia="zh-CN"/>
              </w:rPr>
              <w:t>4.7.3</w:t>
            </w:r>
          </w:p>
        </w:tc>
      </w:tr>
      <w:tr w14:paraId="1940C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0189B0AB">
            <w:pPr>
              <w:adjustRightInd w:val="0"/>
              <w:snapToGrid w:val="0"/>
              <w:spacing w:line="240" w:lineRule="atLeast"/>
              <w:jc w:val="center"/>
              <w:rPr>
                <w:rFonts w:hint="eastAsia" w:ascii="宋体" w:hAnsi="宋体" w:eastAsia="宋体" w:cs="宋体"/>
                <w:snapToGrid w:val="0"/>
                <w:kern w:val="21"/>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2.5</w:t>
            </w:r>
            <w:r>
              <w:rPr>
                <w:rFonts w:hint="eastAsia" w:ascii="宋体" w:hAnsi="宋体"/>
                <w:sz w:val="18"/>
                <w:szCs w:val="18"/>
              </w:rPr>
              <w:t>.2</w:t>
            </w:r>
          </w:p>
        </w:tc>
        <w:tc>
          <w:tcPr>
            <w:tcW w:w="6593" w:type="dxa"/>
            <w:noWrap w:val="0"/>
            <w:vAlign w:val="top"/>
          </w:tcPr>
          <w:p w14:paraId="63247C3F">
            <w:pPr>
              <w:pStyle w:val="36"/>
              <w:adjustRightInd w:val="0"/>
              <w:snapToGrid w:val="0"/>
              <w:ind w:firstLine="0" w:firstLineChars="0"/>
              <w:rPr>
                <w:rFonts w:hAnsi="宋体"/>
                <w:sz w:val="18"/>
                <w:szCs w:val="18"/>
              </w:rPr>
            </w:pPr>
            <w:r>
              <w:rPr>
                <w:rFonts w:hint="eastAsia" w:hAnsi="宋体"/>
                <w:sz w:val="18"/>
                <w:szCs w:val="18"/>
              </w:rPr>
              <w:t>灭火器的现场管理应符合下列要求：</w:t>
            </w:r>
          </w:p>
          <w:p w14:paraId="4C83FEC6">
            <w:pPr>
              <w:pStyle w:val="36"/>
              <w:adjustRightInd w:val="0"/>
              <w:snapToGrid w:val="0"/>
              <w:ind w:firstLine="0" w:firstLineChars="0"/>
              <w:rPr>
                <w:rFonts w:hAnsi="宋体"/>
                <w:sz w:val="18"/>
                <w:szCs w:val="18"/>
              </w:rPr>
            </w:pPr>
            <w:r>
              <w:rPr>
                <w:rFonts w:hint="eastAsia" w:hAnsi="宋体"/>
                <w:sz w:val="18"/>
                <w:szCs w:val="18"/>
              </w:rPr>
              <w:t>a）灭火器材应定位存放，设在明显、便于取用的地点，且不应影响人员安全疏散</w:t>
            </w:r>
            <w:r>
              <w:rPr>
                <w:rFonts w:hint="eastAsia" w:hAnsi="宋体"/>
                <w:sz w:val="18"/>
                <w:szCs w:val="18"/>
                <w:lang w:eastAsia="zh-CN"/>
              </w:rPr>
              <w:t>，</w:t>
            </w:r>
            <w:r>
              <w:rPr>
                <w:rFonts w:hint="eastAsia" w:hAnsi="宋体"/>
                <w:sz w:val="18"/>
                <w:szCs w:val="18"/>
              </w:rPr>
              <w:t>存放点张贴标识，标明灭火器编号、类型、使用方法、责任人等，周围应无障碍物、遮栏、栓系等影响取用的现象。</w:t>
            </w:r>
            <w:r>
              <w:rPr>
                <w:rFonts w:hint="eastAsia" w:hAnsi="宋体"/>
                <w:kern w:val="2"/>
                <w:sz w:val="18"/>
                <w:szCs w:val="18"/>
              </w:rPr>
              <w:t>对有视线障碍的灭火器设置点，应设置指示其位置的发光标志；</w:t>
            </w:r>
          </w:p>
          <w:p w14:paraId="2FF523A5">
            <w:pPr>
              <w:pStyle w:val="36"/>
              <w:adjustRightInd w:val="0"/>
              <w:snapToGrid w:val="0"/>
              <w:ind w:firstLine="0" w:firstLineChars="0"/>
              <w:rPr>
                <w:rFonts w:hAnsi="宋体"/>
                <w:kern w:val="2"/>
                <w:sz w:val="18"/>
                <w:szCs w:val="18"/>
              </w:rPr>
            </w:pPr>
            <w:r>
              <w:rPr>
                <w:rFonts w:hint="eastAsia" w:hAnsi="宋体"/>
                <w:sz w:val="18"/>
                <w:szCs w:val="18"/>
              </w:rPr>
              <w:t>b）灭火器设置点的环境温度不应超出灭火器的使用温度范围</w:t>
            </w:r>
            <w:r>
              <w:rPr>
                <w:rFonts w:hint="eastAsia" w:hAnsi="宋体"/>
                <w:sz w:val="18"/>
                <w:szCs w:val="18"/>
                <w:lang w:eastAsia="zh-CN"/>
              </w:rPr>
              <w:t>，应采取与设置场所环境条件相适应的防护措施</w:t>
            </w:r>
            <w:r>
              <w:rPr>
                <w:rFonts w:hint="eastAsia" w:hAnsi="宋体"/>
                <w:sz w:val="18"/>
                <w:szCs w:val="18"/>
              </w:rPr>
              <w:t>；</w:t>
            </w:r>
          </w:p>
          <w:p w14:paraId="190FDCF1">
            <w:pPr>
              <w:pStyle w:val="36"/>
              <w:adjustRightInd w:val="0"/>
              <w:snapToGrid w:val="0"/>
              <w:ind w:firstLine="0" w:firstLineChars="0"/>
              <w:rPr>
                <w:rFonts w:hint="eastAsia" w:ascii="宋体" w:hAnsi="宋体" w:eastAsia="宋体" w:cs="Times New Roman"/>
                <w:kern w:val="2"/>
                <w:sz w:val="18"/>
                <w:szCs w:val="18"/>
                <w:lang w:val="en-US" w:eastAsia="zh-CN" w:bidi="ar-SA"/>
              </w:rPr>
            </w:pPr>
            <w:r>
              <w:rPr>
                <w:rFonts w:hint="eastAsia" w:hAnsi="宋体"/>
                <w:sz w:val="18"/>
                <w:szCs w:val="18"/>
              </w:rPr>
              <w:t>c）灭火器箱不应上锁；</w:t>
            </w:r>
          </w:p>
        </w:tc>
        <w:tc>
          <w:tcPr>
            <w:tcW w:w="734" w:type="dxa"/>
            <w:noWrap w:val="0"/>
            <w:vAlign w:val="center"/>
          </w:tcPr>
          <w:p w14:paraId="5E77ABB9">
            <w:pPr>
              <w:adjustRightInd w:val="0"/>
              <w:snapToGrid w:val="0"/>
              <w:jc w:val="center"/>
              <w:rPr>
                <w:rFonts w:hint="eastAsia" w:ascii="宋体" w:hAnsi="宋体" w:eastAsia="宋体" w:cs="宋体"/>
                <w:kern w:val="2"/>
                <w:sz w:val="18"/>
                <w:szCs w:val="18"/>
                <w:lang w:val="en-US" w:eastAsia="zh-CN" w:bidi="ar-SA"/>
              </w:rPr>
            </w:pPr>
          </w:p>
        </w:tc>
        <w:tc>
          <w:tcPr>
            <w:tcW w:w="629" w:type="dxa"/>
            <w:noWrap w:val="0"/>
            <w:vAlign w:val="center"/>
          </w:tcPr>
          <w:p w14:paraId="3A8D4398">
            <w:pPr>
              <w:adjustRightInd w:val="0"/>
              <w:snapToGrid w:val="0"/>
              <w:ind w:right="34" w:rightChars="0"/>
              <w:jc w:val="center"/>
              <w:rPr>
                <w:rFonts w:ascii="宋体" w:hAnsi="宋体" w:eastAsia="宋体" w:cs="Times New Roman"/>
                <w:kern w:val="2"/>
                <w:sz w:val="18"/>
                <w:szCs w:val="18"/>
                <w:lang w:val="en-US" w:eastAsia="zh-CN" w:bidi="ar-SA"/>
              </w:rPr>
            </w:pPr>
          </w:p>
        </w:tc>
        <w:tc>
          <w:tcPr>
            <w:tcW w:w="629" w:type="dxa"/>
            <w:noWrap w:val="0"/>
            <w:vAlign w:val="center"/>
          </w:tcPr>
          <w:p w14:paraId="0B89252A">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3</w:t>
            </w:r>
          </w:p>
        </w:tc>
        <w:tc>
          <w:tcPr>
            <w:tcW w:w="2788" w:type="dxa"/>
            <w:tcBorders>
              <w:right w:val="single" w:color="auto" w:sz="4" w:space="0"/>
            </w:tcBorders>
            <w:noWrap w:val="0"/>
            <w:vAlign w:val="center"/>
          </w:tcPr>
          <w:p w14:paraId="73F3371A">
            <w:pPr>
              <w:adjustRightInd w:val="0"/>
              <w:snapToGrid w:val="0"/>
              <w:ind w:right="34" w:rightChars="0"/>
              <w:rPr>
                <w:rFonts w:hint="eastAsia" w:ascii="宋体" w:hAnsi="宋体" w:eastAsia="宋体" w:cs="Times New Roman"/>
                <w:kern w:val="2"/>
                <w:sz w:val="18"/>
                <w:szCs w:val="18"/>
                <w:lang w:val="en-US" w:eastAsia="zh-CN" w:bidi="ar-SA"/>
              </w:rPr>
            </w:pPr>
            <w:r>
              <w:rPr>
                <w:rFonts w:hint="eastAsia" w:ascii="宋体" w:hAnsi="宋体"/>
                <w:sz w:val="18"/>
                <w:szCs w:val="18"/>
              </w:rPr>
              <w:t>一处不符合扣1分。</w:t>
            </w:r>
          </w:p>
        </w:tc>
        <w:tc>
          <w:tcPr>
            <w:tcW w:w="676" w:type="dxa"/>
            <w:tcBorders>
              <w:left w:val="single" w:color="auto" w:sz="4" w:space="0"/>
            </w:tcBorders>
            <w:noWrap w:val="0"/>
            <w:vAlign w:val="top"/>
          </w:tcPr>
          <w:p w14:paraId="78DBDC2E">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48773BB9">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004BE173">
            <w:pPr>
              <w:adjustRightInd w:val="0"/>
              <w:snapToGrid w:val="0"/>
              <w:ind w:right="0"/>
              <w:jc w:val="center"/>
              <w:rPr>
                <w:rFonts w:hint="eastAsia" w:ascii="宋体" w:hAnsi="宋体"/>
                <w:sz w:val="18"/>
                <w:szCs w:val="18"/>
              </w:rPr>
            </w:pPr>
            <w:r>
              <w:rPr>
                <w:rFonts w:hint="eastAsia" w:ascii="宋体" w:hAnsi="宋体"/>
                <w:sz w:val="18"/>
                <w:szCs w:val="18"/>
                <w:lang w:eastAsia="zh-CN"/>
              </w:rPr>
              <w:t>4.7</w:t>
            </w:r>
            <w:r>
              <w:rPr>
                <w:rFonts w:hint="eastAsia" w:ascii="宋体" w:hAnsi="宋体"/>
                <w:sz w:val="18"/>
                <w:szCs w:val="18"/>
              </w:rPr>
              <w:t>.1</w:t>
            </w:r>
          </w:p>
          <w:p w14:paraId="7E2A3CB4">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4.7.3</w:t>
            </w:r>
          </w:p>
        </w:tc>
      </w:tr>
    </w:tbl>
    <w:p w14:paraId="3FDC7BAB">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6593"/>
        <w:gridCol w:w="734"/>
        <w:gridCol w:w="629"/>
        <w:gridCol w:w="629"/>
        <w:gridCol w:w="2788"/>
        <w:gridCol w:w="676"/>
        <w:gridCol w:w="629"/>
        <w:gridCol w:w="1704"/>
      </w:tblGrid>
      <w:tr w14:paraId="4107C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7CA3361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593" w:type="dxa"/>
            <w:noWrap w:val="0"/>
            <w:vAlign w:val="center"/>
          </w:tcPr>
          <w:p w14:paraId="049F0A5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4" w:type="dxa"/>
            <w:noWrap w:val="0"/>
            <w:vAlign w:val="center"/>
          </w:tcPr>
          <w:p w14:paraId="1693ECA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29" w:type="dxa"/>
            <w:noWrap w:val="0"/>
            <w:vAlign w:val="top"/>
          </w:tcPr>
          <w:p w14:paraId="3F5D79A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29" w:type="dxa"/>
            <w:noWrap w:val="0"/>
            <w:vAlign w:val="top"/>
          </w:tcPr>
          <w:p w14:paraId="7409333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788" w:type="dxa"/>
            <w:tcBorders>
              <w:right w:val="single" w:color="auto" w:sz="4" w:space="0"/>
            </w:tcBorders>
            <w:noWrap w:val="0"/>
            <w:vAlign w:val="center"/>
          </w:tcPr>
          <w:p w14:paraId="5076432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6" w:type="dxa"/>
            <w:tcBorders>
              <w:left w:val="single" w:color="auto" w:sz="4" w:space="0"/>
            </w:tcBorders>
            <w:noWrap w:val="0"/>
            <w:vAlign w:val="center"/>
          </w:tcPr>
          <w:p w14:paraId="220D758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629" w:type="dxa"/>
            <w:noWrap w:val="0"/>
            <w:vAlign w:val="center"/>
          </w:tcPr>
          <w:p w14:paraId="0B8E8F0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704" w:type="dxa"/>
            <w:noWrap w:val="0"/>
            <w:vAlign w:val="center"/>
          </w:tcPr>
          <w:p w14:paraId="54038C9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31C97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1E52F700">
            <w:pPr>
              <w:adjustRightInd w:val="0"/>
              <w:snapToGrid w:val="0"/>
              <w:jc w:val="center"/>
              <w:rPr>
                <w:rFonts w:hint="eastAsia" w:ascii="宋体" w:hAnsi="宋体"/>
                <w:sz w:val="18"/>
                <w:szCs w:val="18"/>
              </w:rPr>
            </w:pPr>
          </w:p>
        </w:tc>
        <w:tc>
          <w:tcPr>
            <w:tcW w:w="6593" w:type="dxa"/>
            <w:noWrap w:val="0"/>
            <w:vAlign w:val="top"/>
          </w:tcPr>
          <w:p w14:paraId="59CEFAED">
            <w:pPr>
              <w:pStyle w:val="36"/>
              <w:adjustRightInd w:val="0"/>
              <w:snapToGrid w:val="0"/>
              <w:ind w:firstLine="0" w:firstLineChars="0"/>
              <w:rPr>
                <w:rFonts w:hAnsi="宋体"/>
                <w:sz w:val="18"/>
                <w:szCs w:val="18"/>
              </w:rPr>
            </w:pPr>
            <w:r>
              <w:rPr>
                <w:rFonts w:hint="eastAsia" w:hAnsi="宋体"/>
                <w:sz w:val="18"/>
                <w:szCs w:val="18"/>
              </w:rPr>
              <w:t>d）</w:t>
            </w:r>
            <w:r>
              <w:rPr>
                <w:rFonts w:hint="eastAsia" w:hAnsi="宋体"/>
                <w:sz w:val="18"/>
                <w:szCs w:val="18"/>
                <w:lang w:val="en-US" w:eastAsia="zh-CN"/>
              </w:rPr>
              <w:t>灭火器摆放时铭牌朝外，</w:t>
            </w:r>
            <w:r>
              <w:rPr>
                <w:rFonts w:hint="eastAsia" w:hAnsi="宋体"/>
                <w:sz w:val="18"/>
                <w:szCs w:val="18"/>
              </w:rPr>
              <w:t>手提式灭火器</w:t>
            </w:r>
            <w:r>
              <w:rPr>
                <w:rFonts w:hint="eastAsia" w:ascii="宋体" w:hAnsi="宋体" w:eastAsia="宋体" w:cs="宋体"/>
                <w:sz w:val="18"/>
                <w:szCs w:val="18"/>
              </w:rPr>
              <w:t>宜设置在灭火器箱内或挂钩、托架上</w:t>
            </w:r>
            <w:r>
              <w:rPr>
                <w:rFonts w:hint="eastAsia" w:hAnsi="宋体" w:eastAsia="宋体" w:cs="宋体"/>
                <w:sz w:val="18"/>
                <w:szCs w:val="18"/>
                <w:lang w:eastAsia="zh-CN"/>
              </w:rPr>
              <w:t>，</w:t>
            </w:r>
            <w:r>
              <w:rPr>
                <w:rFonts w:hint="eastAsia" w:hAnsi="宋体" w:eastAsia="宋体" w:cs="宋体"/>
                <w:sz w:val="18"/>
                <w:szCs w:val="18"/>
                <w:lang w:val="en-US" w:eastAsia="zh-CN"/>
              </w:rPr>
              <w:t>其</w:t>
            </w:r>
            <w:r>
              <w:rPr>
                <w:rFonts w:hint="eastAsia" w:hAnsi="宋体"/>
                <w:sz w:val="18"/>
                <w:szCs w:val="18"/>
              </w:rPr>
              <w:t>顶部离地面</w:t>
            </w:r>
            <w:r>
              <w:rPr>
                <w:rFonts w:hint="eastAsia" w:hAnsi="宋体"/>
                <w:sz w:val="18"/>
                <w:szCs w:val="18"/>
                <w:lang w:val="en-US" w:eastAsia="zh-CN"/>
              </w:rPr>
              <w:t>高度</w:t>
            </w:r>
            <w:r>
              <w:rPr>
                <w:rFonts w:hint="eastAsia" w:hAnsi="宋体"/>
                <w:sz w:val="18"/>
                <w:szCs w:val="18"/>
              </w:rPr>
              <w:t>不大于1.50 m，底部离地面距离不</w:t>
            </w:r>
            <w:r>
              <w:rPr>
                <w:rFonts w:hint="eastAsia" w:hAnsi="宋体"/>
                <w:sz w:val="18"/>
                <w:szCs w:val="18"/>
                <w:lang w:val="en-US" w:eastAsia="zh-CN"/>
              </w:rPr>
              <w:t>宜</w:t>
            </w:r>
            <w:r>
              <w:rPr>
                <w:rFonts w:hint="eastAsia" w:hAnsi="宋体"/>
                <w:sz w:val="18"/>
                <w:szCs w:val="18"/>
              </w:rPr>
              <w:t>小于0.08 m；</w:t>
            </w:r>
          </w:p>
          <w:p w14:paraId="4F43AF6F">
            <w:pPr>
              <w:pStyle w:val="36"/>
              <w:adjustRightInd w:val="0"/>
              <w:snapToGrid w:val="0"/>
              <w:ind w:firstLine="0" w:firstLineChars="0"/>
              <w:rPr>
                <w:rFonts w:hAnsi="宋体"/>
                <w:kern w:val="2"/>
                <w:sz w:val="18"/>
                <w:szCs w:val="18"/>
              </w:rPr>
            </w:pPr>
            <w:r>
              <w:rPr>
                <w:rFonts w:hint="eastAsia" w:hAnsi="宋体"/>
                <w:sz w:val="18"/>
                <w:szCs w:val="18"/>
              </w:rPr>
              <w:t>e）推车式灭火器不应设置在台阶上；</w:t>
            </w:r>
          </w:p>
          <w:p w14:paraId="1433852A">
            <w:pPr>
              <w:adjustRightInd w:val="0"/>
              <w:snapToGrid w:val="0"/>
              <w:jc w:val="left"/>
              <w:rPr>
                <w:rFonts w:hint="eastAsia" w:ascii="宋体" w:hAnsi="宋体"/>
                <w:sz w:val="18"/>
                <w:szCs w:val="18"/>
              </w:rPr>
            </w:pPr>
            <w:r>
              <w:rPr>
                <w:rFonts w:hint="eastAsia" w:hAnsi="宋体"/>
                <w:sz w:val="18"/>
                <w:szCs w:val="18"/>
              </w:rPr>
              <w:t>f）设置在室外</w:t>
            </w:r>
            <w:r>
              <w:rPr>
                <w:rFonts w:hint="eastAsia" w:ascii="宋体" w:hAnsi="宋体"/>
                <w:sz w:val="18"/>
                <w:szCs w:val="18"/>
                <w:lang w:val="en-US" w:eastAsia="zh-CN"/>
              </w:rPr>
              <w:t>或潮湿场所</w:t>
            </w:r>
            <w:r>
              <w:rPr>
                <w:rFonts w:hint="eastAsia" w:hAnsi="宋体"/>
                <w:sz w:val="18"/>
                <w:szCs w:val="18"/>
              </w:rPr>
              <w:t>的灭火器应采取防湿、防寒、防晒等相应保护措施；当灭火器设置在潮湿性或腐蚀性的场所时，应采取防湿或防腐蚀措施。</w:t>
            </w:r>
          </w:p>
        </w:tc>
        <w:tc>
          <w:tcPr>
            <w:tcW w:w="734" w:type="dxa"/>
            <w:noWrap w:val="0"/>
            <w:vAlign w:val="center"/>
          </w:tcPr>
          <w:p w14:paraId="3FD8DB80">
            <w:pPr>
              <w:adjustRightInd w:val="0"/>
              <w:snapToGrid w:val="0"/>
              <w:jc w:val="center"/>
              <w:rPr>
                <w:rFonts w:hint="eastAsia" w:ascii="宋体" w:hAnsi="宋体" w:cs="宋体"/>
                <w:sz w:val="18"/>
                <w:szCs w:val="18"/>
              </w:rPr>
            </w:pPr>
          </w:p>
        </w:tc>
        <w:tc>
          <w:tcPr>
            <w:tcW w:w="629" w:type="dxa"/>
            <w:noWrap w:val="0"/>
            <w:vAlign w:val="center"/>
          </w:tcPr>
          <w:p w14:paraId="4EE45C6E">
            <w:pPr>
              <w:adjustRightInd w:val="0"/>
              <w:snapToGrid w:val="0"/>
              <w:ind w:right="34"/>
              <w:jc w:val="center"/>
              <w:rPr>
                <w:rFonts w:ascii="宋体" w:hAnsi="宋体"/>
                <w:sz w:val="18"/>
                <w:szCs w:val="18"/>
              </w:rPr>
            </w:pPr>
          </w:p>
        </w:tc>
        <w:tc>
          <w:tcPr>
            <w:tcW w:w="629" w:type="dxa"/>
            <w:noWrap w:val="0"/>
            <w:vAlign w:val="center"/>
          </w:tcPr>
          <w:p w14:paraId="683CBB82">
            <w:pPr>
              <w:adjustRightInd w:val="0"/>
              <w:snapToGrid w:val="0"/>
              <w:ind w:right="34"/>
              <w:jc w:val="center"/>
              <w:rPr>
                <w:rFonts w:hint="eastAsia" w:ascii="宋体" w:hAnsi="宋体"/>
                <w:sz w:val="18"/>
                <w:szCs w:val="18"/>
              </w:rPr>
            </w:pPr>
          </w:p>
        </w:tc>
        <w:tc>
          <w:tcPr>
            <w:tcW w:w="2788" w:type="dxa"/>
            <w:tcBorders>
              <w:right w:val="single" w:color="auto" w:sz="4" w:space="0"/>
            </w:tcBorders>
            <w:noWrap w:val="0"/>
            <w:vAlign w:val="center"/>
          </w:tcPr>
          <w:p w14:paraId="1310C44C">
            <w:pPr>
              <w:adjustRightInd w:val="0"/>
              <w:snapToGrid w:val="0"/>
              <w:ind w:right="34"/>
              <w:rPr>
                <w:rFonts w:ascii="宋体" w:hAnsi="宋体"/>
                <w:sz w:val="18"/>
                <w:szCs w:val="18"/>
              </w:rPr>
            </w:pPr>
          </w:p>
        </w:tc>
        <w:tc>
          <w:tcPr>
            <w:tcW w:w="676" w:type="dxa"/>
            <w:tcBorders>
              <w:left w:val="single" w:color="auto" w:sz="4" w:space="0"/>
            </w:tcBorders>
            <w:noWrap w:val="0"/>
            <w:vAlign w:val="top"/>
          </w:tcPr>
          <w:p w14:paraId="07352535">
            <w:pPr>
              <w:adjustRightInd w:val="0"/>
              <w:snapToGrid w:val="0"/>
              <w:rPr>
                <w:rFonts w:ascii="宋体" w:hAnsi="宋体" w:cs="宋体"/>
                <w:sz w:val="18"/>
                <w:szCs w:val="18"/>
              </w:rPr>
            </w:pPr>
          </w:p>
        </w:tc>
        <w:tc>
          <w:tcPr>
            <w:tcW w:w="629" w:type="dxa"/>
            <w:noWrap w:val="0"/>
            <w:vAlign w:val="top"/>
          </w:tcPr>
          <w:p w14:paraId="4F906ACD">
            <w:pPr>
              <w:adjustRightInd w:val="0"/>
              <w:snapToGrid w:val="0"/>
              <w:rPr>
                <w:rFonts w:ascii="宋体" w:hAnsi="宋体" w:cs="宋体"/>
                <w:sz w:val="18"/>
                <w:szCs w:val="18"/>
              </w:rPr>
            </w:pPr>
          </w:p>
        </w:tc>
        <w:tc>
          <w:tcPr>
            <w:tcW w:w="1704" w:type="dxa"/>
            <w:noWrap w:val="0"/>
            <w:vAlign w:val="center"/>
          </w:tcPr>
          <w:p w14:paraId="4EB09DC4">
            <w:pPr>
              <w:adjustRightInd w:val="0"/>
              <w:snapToGrid w:val="0"/>
              <w:ind w:right="34"/>
              <w:jc w:val="center"/>
              <w:rPr>
                <w:rFonts w:ascii="宋体" w:hAnsi="宋体"/>
                <w:sz w:val="18"/>
                <w:szCs w:val="18"/>
              </w:rPr>
            </w:pPr>
          </w:p>
        </w:tc>
      </w:tr>
      <w:tr w14:paraId="31A1B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4DA2E56D">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2.5</w:t>
            </w:r>
            <w:r>
              <w:rPr>
                <w:rFonts w:hint="eastAsia" w:ascii="宋体" w:hAnsi="宋体"/>
                <w:sz w:val="18"/>
                <w:szCs w:val="18"/>
              </w:rPr>
              <w:t>.3</w:t>
            </w:r>
          </w:p>
        </w:tc>
        <w:tc>
          <w:tcPr>
            <w:tcW w:w="6593" w:type="dxa"/>
            <w:noWrap w:val="0"/>
            <w:vAlign w:val="top"/>
          </w:tcPr>
          <w:p w14:paraId="04C9B779">
            <w:pPr>
              <w:pStyle w:val="36"/>
              <w:adjustRightInd w:val="0"/>
              <w:snapToGrid w:val="0"/>
              <w:ind w:firstLine="0" w:firstLineChars="0"/>
              <w:rPr>
                <w:rFonts w:hAnsi="宋体"/>
                <w:kern w:val="2"/>
                <w:sz w:val="18"/>
                <w:szCs w:val="18"/>
              </w:rPr>
            </w:pPr>
            <w:r>
              <w:rPr>
                <w:rFonts w:hint="eastAsia" w:hAnsi="宋体"/>
                <w:sz w:val="18"/>
                <w:szCs w:val="18"/>
              </w:rPr>
              <w:t>应对灭火器进行定期检查，并记录归档，灭火器的检查应包括下列内容：</w:t>
            </w:r>
          </w:p>
          <w:p w14:paraId="7B491621">
            <w:pPr>
              <w:pStyle w:val="36"/>
              <w:adjustRightInd w:val="0"/>
              <w:snapToGrid w:val="0"/>
              <w:ind w:firstLine="0" w:firstLineChars="0"/>
              <w:rPr>
                <w:rFonts w:hAnsi="宋体"/>
                <w:sz w:val="18"/>
                <w:szCs w:val="18"/>
              </w:rPr>
            </w:pPr>
            <w:r>
              <w:rPr>
                <w:rFonts w:hint="eastAsia" w:hAnsi="宋体"/>
                <w:sz w:val="18"/>
                <w:szCs w:val="18"/>
              </w:rPr>
              <w:t>a）灭火器筒体无明显的损伤、缺陷、锈蚀、泄漏；</w:t>
            </w:r>
          </w:p>
          <w:p w14:paraId="1C265446">
            <w:pPr>
              <w:pStyle w:val="36"/>
              <w:adjustRightInd w:val="0"/>
              <w:snapToGrid w:val="0"/>
              <w:ind w:firstLine="0" w:firstLineChars="0"/>
              <w:rPr>
                <w:rFonts w:hAnsi="宋体"/>
                <w:sz w:val="18"/>
                <w:szCs w:val="18"/>
              </w:rPr>
            </w:pPr>
            <w:r>
              <w:rPr>
                <w:rFonts w:hint="eastAsia" w:hAnsi="宋体"/>
                <w:sz w:val="18"/>
                <w:szCs w:val="18"/>
              </w:rPr>
              <w:t>b）铅封、销闩等保险装置无损坏或遗失；</w:t>
            </w:r>
          </w:p>
          <w:p w14:paraId="3387431B">
            <w:pPr>
              <w:pStyle w:val="36"/>
              <w:adjustRightInd w:val="0"/>
              <w:snapToGrid w:val="0"/>
              <w:ind w:firstLine="0" w:firstLineChars="0"/>
              <w:rPr>
                <w:rFonts w:hAnsi="宋体"/>
                <w:sz w:val="18"/>
                <w:szCs w:val="18"/>
              </w:rPr>
            </w:pPr>
            <w:r>
              <w:rPr>
                <w:rFonts w:hint="eastAsia" w:hAnsi="宋体"/>
                <w:sz w:val="18"/>
                <w:szCs w:val="18"/>
              </w:rPr>
              <w:t>c）喷射软管完好，无明显龟裂，喷嘴不堵塞；</w:t>
            </w:r>
          </w:p>
          <w:p w14:paraId="7358C70E">
            <w:pPr>
              <w:adjustRightInd w:val="0"/>
              <w:snapToGrid w:val="0"/>
              <w:jc w:val="left"/>
              <w:rPr>
                <w:rFonts w:hint="eastAsia" w:ascii="宋体" w:hAnsi="宋体"/>
                <w:sz w:val="18"/>
                <w:szCs w:val="18"/>
                <w:lang w:eastAsia="zh-CN"/>
              </w:rPr>
            </w:pPr>
            <w:r>
              <w:rPr>
                <w:rFonts w:hint="eastAsia" w:ascii="宋体" w:hAnsi="宋体"/>
                <w:sz w:val="18"/>
                <w:szCs w:val="18"/>
              </w:rPr>
              <w:t>d）灭火器的驱动气体压力在工作压力范围内，其中贮压式灭火器压力显示应在绿区内</w:t>
            </w:r>
            <w:r>
              <w:rPr>
                <w:rFonts w:hint="eastAsia" w:ascii="宋体" w:hAnsi="宋体"/>
                <w:sz w:val="18"/>
                <w:szCs w:val="18"/>
                <w:lang w:eastAsia="zh-CN"/>
              </w:rPr>
              <w:t>；</w:t>
            </w:r>
          </w:p>
          <w:p w14:paraId="16261ED8">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e</w:t>
            </w:r>
            <w:r>
              <w:rPr>
                <w:rFonts w:hint="eastAsia" w:ascii="宋体" w:hAnsi="宋体"/>
                <w:sz w:val="18"/>
                <w:szCs w:val="18"/>
              </w:rPr>
              <w:t>）</w:t>
            </w:r>
            <w:r>
              <w:rPr>
                <w:rFonts w:hint="eastAsia" w:ascii="宋体" w:hAnsi="宋体" w:eastAsia="宋体" w:cs="宋体"/>
                <w:sz w:val="18"/>
                <w:szCs w:val="18"/>
              </w:rPr>
              <w:t>二氧化碳灭火器</w:t>
            </w:r>
            <w:r>
              <w:rPr>
                <w:rFonts w:hint="eastAsia" w:ascii="宋体" w:hAnsi="宋体" w:cs="宋体"/>
                <w:sz w:val="18"/>
                <w:szCs w:val="18"/>
                <w:lang w:val="en-US" w:eastAsia="zh-CN"/>
              </w:rPr>
              <w:t>应</w:t>
            </w:r>
            <w:r>
              <w:rPr>
                <w:rFonts w:hint="eastAsia" w:hAnsi="宋体"/>
                <w:sz w:val="18"/>
                <w:szCs w:val="18"/>
              </w:rPr>
              <w:t>用称重法检查，</w:t>
            </w:r>
            <w:r>
              <w:rPr>
                <w:rFonts w:hint="eastAsia" w:ascii="宋体" w:hAnsi="宋体" w:eastAsia="宋体" w:cs="宋体"/>
                <w:sz w:val="18"/>
                <w:szCs w:val="18"/>
              </w:rPr>
              <w:t>年泄漏量不应大于灭火器额定充装量的5%或50 g（取两者的小值）</w:t>
            </w:r>
            <w:r>
              <w:rPr>
                <w:rFonts w:hint="eastAsia" w:ascii="宋体" w:hAnsi="宋体"/>
                <w:sz w:val="18"/>
                <w:szCs w:val="18"/>
              </w:rPr>
              <w:t>。</w:t>
            </w:r>
          </w:p>
        </w:tc>
        <w:tc>
          <w:tcPr>
            <w:tcW w:w="734" w:type="dxa"/>
            <w:noWrap w:val="0"/>
            <w:vAlign w:val="center"/>
          </w:tcPr>
          <w:p w14:paraId="4765F19F">
            <w:pPr>
              <w:adjustRightInd w:val="0"/>
              <w:snapToGrid w:val="0"/>
              <w:jc w:val="center"/>
              <w:rPr>
                <w:rFonts w:hint="eastAsia" w:ascii="宋体" w:hAnsi="宋体" w:eastAsia="宋体" w:cs="宋体"/>
                <w:kern w:val="2"/>
                <w:sz w:val="18"/>
                <w:szCs w:val="18"/>
                <w:lang w:val="en-US" w:eastAsia="zh-CN" w:bidi="ar-SA"/>
              </w:rPr>
            </w:pPr>
          </w:p>
        </w:tc>
        <w:tc>
          <w:tcPr>
            <w:tcW w:w="629" w:type="dxa"/>
            <w:noWrap w:val="0"/>
            <w:vAlign w:val="center"/>
          </w:tcPr>
          <w:p w14:paraId="5EA8751C">
            <w:pPr>
              <w:adjustRightInd w:val="0"/>
              <w:snapToGrid w:val="0"/>
              <w:ind w:right="34" w:rightChars="0"/>
              <w:jc w:val="center"/>
              <w:rPr>
                <w:rFonts w:ascii="宋体" w:hAnsi="宋体" w:eastAsia="宋体" w:cs="Times New Roman"/>
                <w:kern w:val="2"/>
                <w:sz w:val="18"/>
                <w:szCs w:val="18"/>
                <w:lang w:val="en-US" w:eastAsia="zh-CN" w:bidi="ar-SA"/>
              </w:rPr>
            </w:pPr>
          </w:p>
        </w:tc>
        <w:tc>
          <w:tcPr>
            <w:tcW w:w="629" w:type="dxa"/>
            <w:noWrap w:val="0"/>
            <w:vAlign w:val="center"/>
          </w:tcPr>
          <w:p w14:paraId="4DE83EAB">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2</w:t>
            </w:r>
          </w:p>
        </w:tc>
        <w:tc>
          <w:tcPr>
            <w:tcW w:w="2788" w:type="dxa"/>
            <w:tcBorders>
              <w:right w:val="single" w:color="auto" w:sz="4" w:space="0"/>
            </w:tcBorders>
            <w:noWrap w:val="0"/>
            <w:vAlign w:val="center"/>
          </w:tcPr>
          <w:p w14:paraId="370E906F">
            <w:pPr>
              <w:adjustRightInd w:val="0"/>
              <w:snapToGrid w:val="0"/>
              <w:ind w:right="34" w:rightChars="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一处不符合</w:t>
            </w:r>
            <w:r>
              <w:rPr>
                <w:rFonts w:hint="eastAsia" w:ascii="宋体" w:hAnsi="宋体"/>
                <w:sz w:val="18"/>
                <w:szCs w:val="18"/>
              </w:rPr>
              <w:t>扣1分。</w:t>
            </w:r>
          </w:p>
        </w:tc>
        <w:tc>
          <w:tcPr>
            <w:tcW w:w="676" w:type="dxa"/>
            <w:tcBorders>
              <w:left w:val="single" w:color="auto" w:sz="4" w:space="0"/>
            </w:tcBorders>
            <w:noWrap w:val="0"/>
            <w:vAlign w:val="top"/>
          </w:tcPr>
          <w:p w14:paraId="07E107D0">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1BAAB023">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763892D5">
            <w:pPr>
              <w:adjustRightInd w:val="0"/>
              <w:snapToGrid w:val="0"/>
              <w:ind w:right="0"/>
              <w:jc w:val="center"/>
              <w:rPr>
                <w:rFonts w:hint="eastAsia" w:ascii="宋体" w:hAnsi="宋体"/>
                <w:sz w:val="18"/>
                <w:szCs w:val="18"/>
              </w:rPr>
            </w:pPr>
            <w:r>
              <w:rPr>
                <w:rFonts w:hint="eastAsia" w:ascii="宋体" w:hAnsi="宋体"/>
                <w:sz w:val="18"/>
                <w:szCs w:val="18"/>
                <w:lang w:eastAsia="zh-CN"/>
              </w:rPr>
              <w:t>4.7</w:t>
            </w:r>
            <w:r>
              <w:rPr>
                <w:rFonts w:hint="eastAsia" w:ascii="宋体" w:hAnsi="宋体"/>
                <w:sz w:val="18"/>
                <w:szCs w:val="18"/>
              </w:rPr>
              <w:t>.1</w:t>
            </w:r>
          </w:p>
          <w:p w14:paraId="1A7A6163">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4.7.3</w:t>
            </w:r>
          </w:p>
        </w:tc>
      </w:tr>
      <w:tr w14:paraId="317D3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47AD202A">
            <w:pPr>
              <w:adjustRightInd w:val="0"/>
              <w:snapToGrid w:val="0"/>
              <w:jc w:val="center"/>
              <w:rPr>
                <w:rFonts w:ascii="宋体" w:hAnsi="宋体"/>
                <w:bCs/>
                <w:sz w:val="18"/>
                <w:szCs w:val="18"/>
              </w:rPr>
            </w:pPr>
            <w:r>
              <w:rPr>
                <w:rFonts w:hint="eastAsia" w:ascii="宋体" w:hAnsi="宋体"/>
                <w:sz w:val="18"/>
                <w:szCs w:val="18"/>
              </w:rPr>
              <w:t>7.</w:t>
            </w:r>
            <w:r>
              <w:rPr>
                <w:rFonts w:hint="eastAsia" w:ascii="宋体" w:hAnsi="宋体"/>
                <w:sz w:val="18"/>
                <w:szCs w:val="18"/>
                <w:lang w:val="en-US" w:eastAsia="zh-CN"/>
              </w:rPr>
              <w:t>2.5</w:t>
            </w:r>
            <w:r>
              <w:rPr>
                <w:rFonts w:hint="eastAsia" w:ascii="宋体" w:hAnsi="宋体"/>
                <w:sz w:val="18"/>
                <w:szCs w:val="18"/>
              </w:rPr>
              <w:t>.4</w:t>
            </w:r>
          </w:p>
        </w:tc>
        <w:tc>
          <w:tcPr>
            <w:tcW w:w="6593" w:type="dxa"/>
            <w:noWrap w:val="0"/>
            <w:vAlign w:val="top"/>
          </w:tcPr>
          <w:p w14:paraId="2F2DA39B">
            <w:pPr>
              <w:adjustRightInd w:val="0"/>
              <w:snapToGrid w:val="0"/>
              <w:jc w:val="left"/>
              <w:rPr>
                <w:rFonts w:hint="eastAsia" w:ascii="宋体" w:hAnsi="宋体"/>
                <w:sz w:val="18"/>
                <w:szCs w:val="18"/>
              </w:rPr>
            </w:pPr>
            <w:r>
              <w:rPr>
                <w:rFonts w:hint="eastAsia" w:ascii="宋体" w:hAnsi="宋体"/>
                <w:sz w:val="18"/>
                <w:szCs w:val="18"/>
              </w:rPr>
              <w:t>灭火器的维修、报废应符合下列要求：</w:t>
            </w:r>
          </w:p>
          <w:p w14:paraId="20C6CB8B">
            <w:pPr>
              <w:adjustRightInd w:val="0"/>
              <w:snapToGrid w:val="0"/>
              <w:jc w:val="left"/>
              <w:rPr>
                <w:rFonts w:hint="eastAsia" w:ascii="宋体" w:hAnsi="宋体"/>
                <w:sz w:val="18"/>
                <w:szCs w:val="18"/>
              </w:rPr>
            </w:pPr>
            <w:r>
              <w:rPr>
                <w:rFonts w:hint="eastAsia" w:ascii="宋体" w:hAnsi="宋体"/>
                <w:sz w:val="18"/>
                <w:szCs w:val="18"/>
              </w:rPr>
              <w:t>a）存在机械损伤、明显锈蚀、灭火剂泄漏、被开启使用过、超过维修周期或符合其他维修条件的应及时进行维修，并记录归档；</w:t>
            </w:r>
          </w:p>
          <w:p w14:paraId="48F1B661">
            <w:pPr>
              <w:adjustRightInd w:val="0"/>
              <w:snapToGrid w:val="0"/>
              <w:jc w:val="left"/>
              <w:rPr>
                <w:rFonts w:hint="eastAsia" w:ascii="宋体" w:hAnsi="宋体"/>
                <w:sz w:val="18"/>
                <w:szCs w:val="18"/>
              </w:rPr>
            </w:pPr>
            <w:r>
              <w:rPr>
                <w:rFonts w:hint="eastAsia" w:ascii="宋体" w:hAnsi="宋体"/>
                <w:sz w:val="18"/>
                <w:szCs w:val="18"/>
              </w:rPr>
              <w:t>b）灭火器应定期维护、维修、报废。灭火器报废后，按照等效替代的原则更换。符合下列情形之一的灭火器应报废：</w:t>
            </w:r>
          </w:p>
          <w:p w14:paraId="4B5799E4">
            <w:pPr>
              <w:adjustRightInd w:val="0"/>
              <w:snapToGrid w:val="0"/>
              <w:ind w:firstLine="360" w:firstLineChars="200"/>
              <w:jc w:val="left"/>
              <w:rPr>
                <w:rFonts w:hint="eastAsia" w:ascii="宋体" w:hAnsi="宋体"/>
                <w:sz w:val="18"/>
                <w:szCs w:val="18"/>
              </w:rPr>
            </w:pPr>
            <w:r>
              <w:rPr>
                <w:rFonts w:hint="eastAsia" w:ascii="宋体" w:hAnsi="宋体"/>
                <w:sz w:val="18"/>
                <w:szCs w:val="18"/>
              </w:rPr>
              <w:t>1）筒体锈蚀面积大于或等于筒体总表面积的1/3，表面有凹坑；</w:t>
            </w:r>
          </w:p>
          <w:p w14:paraId="5019F599">
            <w:pPr>
              <w:adjustRightInd w:val="0"/>
              <w:snapToGrid w:val="0"/>
              <w:ind w:firstLine="360" w:firstLineChars="200"/>
              <w:jc w:val="left"/>
              <w:rPr>
                <w:rFonts w:hint="eastAsia" w:ascii="宋体" w:hAnsi="宋体"/>
                <w:sz w:val="18"/>
                <w:szCs w:val="18"/>
              </w:rPr>
            </w:pPr>
            <w:r>
              <w:rPr>
                <w:rFonts w:hint="eastAsia" w:ascii="宋体" w:hAnsi="宋体"/>
                <w:sz w:val="18"/>
                <w:szCs w:val="18"/>
              </w:rPr>
              <w:t>2）筒体明显变形，机械损伤严重；</w:t>
            </w:r>
          </w:p>
          <w:p w14:paraId="16E953DA">
            <w:pPr>
              <w:adjustRightInd w:val="0"/>
              <w:snapToGrid w:val="0"/>
              <w:ind w:firstLine="360" w:firstLineChars="200"/>
              <w:jc w:val="left"/>
              <w:rPr>
                <w:rFonts w:hint="eastAsia" w:ascii="宋体" w:hAnsi="宋体"/>
                <w:sz w:val="18"/>
                <w:szCs w:val="18"/>
              </w:rPr>
            </w:pPr>
            <w:r>
              <w:rPr>
                <w:rFonts w:hint="eastAsia" w:ascii="宋体" w:hAnsi="宋体"/>
                <w:sz w:val="18"/>
                <w:szCs w:val="18"/>
              </w:rPr>
              <w:t>3）器头存在裂纹、无泄压机构；</w:t>
            </w:r>
          </w:p>
          <w:p w14:paraId="3FEC6886">
            <w:pPr>
              <w:adjustRightInd w:val="0"/>
              <w:snapToGrid w:val="0"/>
              <w:ind w:firstLine="360" w:firstLineChars="200"/>
              <w:jc w:val="left"/>
              <w:rPr>
                <w:rFonts w:hint="eastAsia" w:ascii="宋体" w:hAnsi="宋体"/>
                <w:sz w:val="18"/>
                <w:szCs w:val="18"/>
              </w:rPr>
            </w:pPr>
            <w:r>
              <w:rPr>
                <w:rFonts w:hint="eastAsia" w:ascii="宋体" w:hAnsi="宋体"/>
                <w:sz w:val="18"/>
                <w:szCs w:val="18"/>
              </w:rPr>
              <w:t>4）不能确认生产单位名称和出厂时间,包括铭牌脱落、铭牌模糊、不能分辨生产单位名称、出厂时间钢印无法识别等；</w:t>
            </w:r>
          </w:p>
          <w:p w14:paraId="2353694B">
            <w:pPr>
              <w:adjustRightInd w:val="0"/>
              <w:snapToGrid w:val="0"/>
              <w:ind w:firstLine="360" w:firstLineChars="200"/>
              <w:jc w:val="left"/>
              <w:rPr>
                <w:rFonts w:hint="eastAsia" w:ascii="宋体" w:hAnsi="宋体"/>
                <w:sz w:val="18"/>
                <w:szCs w:val="18"/>
              </w:rPr>
            </w:pPr>
            <w:r>
              <w:rPr>
                <w:rFonts w:hint="eastAsia" w:ascii="宋体" w:hAnsi="宋体"/>
                <w:sz w:val="18"/>
                <w:szCs w:val="18"/>
              </w:rPr>
              <w:t>5）筒体有锡焊、铜焊或补缀等修补痕迹；</w:t>
            </w:r>
          </w:p>
          <w:p w14:paraId="372FF3C6">
            <w:pPr>
              <w:adjustRightInd w:val="0"/>
              <w:snapToGrid w:val="0"/>
              <w:ind w:firstLine="360" w:firstLineChars="200"/>
              <w:jc w:val="left"/>
              <w:rPr>
                <w:rFonts w:hint="eastAsia" w:ascii="宋体" w:hAnsi="宋体"/>
                <w:sz w:val="18"/>
                <w:szCs w:val="18"/>
              </w:rPr>
            </w:pPr>
            <w:r>
              <w:rPr>
                <w:rFonts w:hint="eastAsia" w:ascii="宋体" w:hAnsi="宋体"/>
                <w:sz w:val="18"/>
                <w:szCs w:val="18"/>
              </w:rPr>
              <w:t>6）被火烧过；</w:t>
            </w:r>
          </w:p>
          <w:p w14:paraId="5A1E3E5C">
            <w:pPr>
              <w:adjustRightInd w:val="0"/>
              <w:snapToGrid w:val="0"/>
              <w:ind w:firstLine="360" w:firstLineChars="200"/>
              <w:jc w:val="left"/>
              <w:rPr>
                <w:rFonts w:ascii="宋体" w:hAnsi="宋体"/>
                <w:bCs/>
                <w:sz w:val="18"/>
                <w:szCs w:val="18"/>
              </w:rPr>
            </w:pPr>
            <w:r>
              <w:rPr>
                <w:rFonts w:hint="eastAsia" w:ascii="宋体" w:hAnsi="宋体"/>
                <w:sz w:val="18"/>
                <w:szCs w:val="18"/>
              </w:rPr>
              <w:t>7）出厂时间达到或超过表H.5规定的最大报废期限。</w:t>
            </w:r>
          </w:p>
        </w:tc>
        <w:tc>
          <w:tcPr>
            <w:tcW w:w="734" w:type="dxa"/>
            <w:noWrap w:val="0"/>
            <w:vAlign w:val="center"/>
          </w:tcPr>
          <w:p w14:paraId="6012BAE0">
            <w:pPr>
              <w:adjustRightInd w:val="0"/>
              <w:snapToGrid w:val="0"/>
              <w:jc w:val="center"/>
              <w:rPr>
                <w:rFonts w:hint="eastAsia" w:ascii="宋体" w:hAnsi="宋体" w:cs="宋体"/>
                <w:sz w:val="18"/>
                <w:szCs w:val="18"/>
              </w:rPr>
            </w:pPr>
          </w:p>
        </w:tc>
        <w:tc>
          <w:tcPr>
            <w:tcW w:w="629" w:type="dxa"/>
            <w:noWrap w:val="0"/>
            <w:vAlign w:val="center"/>
          </w:tcPr>
          <w:p w14:paraId="3F6DE025">
            <w:pPr>
              <w:adjustRightInd w:val="0"/>
              <w:snapToGrid w:val="0"/>
              <w:ind w:right="34"/>
              <w:jc w:val="center"/>
              <w:rPr>
                <w:rFonts w:ascii="宋体" w:hAnsi="宋体"/>
                <w:sz w:val="18"/>
                <w:szCs w:val="18"/>
              </w:rPr>
            </w:pPr>
          </w:p>
        </w:tc>
        <w:tc>
          <w:tcPr>
            <w:tcW w:w="629" w:type="dxa"/>
            <w:noWrap w:val="0"/>
            <w:vAlign w:val="center"/>
          </w:tcPr>
          <w:p w14:paraId="712C6D36">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val="en-US" w:eastAsia="zh-CN"/>
              </w:rPr>
              <w:t>2</w:t>
            </w:r>
          </w:p>
        </w:tc>
        <w:tc>
          <w:tcPr>
            <w:tcW w:w="2788" w:type="dxa"/>
            <w:tcBorders>
              <w:right w:val="single" w:color="auto" w:sz="4" w:space="0"/>
            </w:tcBorders>
            <w:noWrap w:val="0"/>
            <w:vAlign w:val="center"/>
          </w:tcPr>
          <w:p w14:paraId="678629E7">
            <w:pPr>
              <w:adjustRightInd w:val="0"/>
              <w:snapToGrid w:val="0"/>
              <w:ind w:right="34"/>
              <w:rPr>
                <w:rFonts w:ascii="宋体" w:hAnsi="宋体"/>
                <w:sz w:val="18"/>
                <w:szCs w:val="18"/>
              </w:rPr>
            </w:pPr>
            <w:r>
              <w:rPr>
                <w:rFonts w:hint="eastAsia" w:ascii="宋体" w:hAnsi="宋体"/>
                <w:kern w:val="0"/>
                <w:sz w:val="18"/>
                <w:szCs w:val="18"/>
              </w:rPr>
              <w:t>一处不符合</w:t>
            </w:r>
            <w:r>
              <w:rPr>
                <w:rFonts w:hint="eastAsia" w:ascii="宋体" w:hAnsi="宋体"/>
                <w:kern w:val="0"/>
                <w:sz w:val="18"/>
                <w:szCs w:val="18"/>
                <w:lang w:val="en-US" w:eastAsia="zh-CN"/>
              </w:rPr>
              <w:t>扣1</w:t>
            </w:r>
            <w:r>
              <w:rPr>
                <w:rFonts w:hint="eastAsia" w:ascii="宋体" w:hAnsi="宋体"/>
                <w:kern w:val="0"/>
                <w:sz w:val="18"/>
                <w:szCs w:val="18"/>
              </w:rPr>
              <w:t>分。</w:t>
            </w:r>
          </w:p>
        </w:tc>
        <w:tc>
          <w:tcPr>
            <w:tcW w:w="676" w:type="dxa"/>
            <w:tcBorders>
              <w:left w:val="single" w:color="auto" w:sz="4" w:space="0"/>
            </w:tcBorders>
            <w:noWrap w:val="0"/>
            <w:vAlign w:val="top"/>
          </w:tcPr>
          <w:p w14:paraId="0CB27ADE">
            <w:pPr>
              <w:adjustRightInd w:val="0"/>
              <w:snapToGrid w:val="0"/>
              <w:rPr>
                <w:rFonts w:ascii="宋体" w:hAnsi="宋体" w:cs="宋体"/>
                <w:sz w:val="18"/>
                <w:szCs w:val="18"/>
              </w:rPr>
            </w:pPr>
          </w:p>
        </w:tc>
        <w:tc>
          <w:tcPr>
            <w:tcW w:w="629" w:type="dxa"/>
            <w:noWrap w:val="0"/>
            <w:vAlign w:val="top"/>
          </w:tcPr>
          <w:p w14:paraId="23495D15">
            <w:pPr>
              <w:adjustRightInd w:val="0"/>
              <w:snapToGrid w:val="0"/>
              <w:rPr>
                <w:rFonts w:ascii="宋体" w:hAnsi="宋体" w:cs="宋体"/>
                <w:sz w:val="18"/>
                <w:szCs w:val="18"/>
              </w:rPr>
            </w:pPr>
          </w:p>
        </w:tc>
        <w:tc>
          <w:tcPr>
            <w:tcW w:w="1704" w:type="dxa"/>
            <w:noWrap w:val="0"/>
            <w:vAlign w:val="center"/>
          </w:tcPr>
          <w:p w14:paraId="75DDF5C4">
            <w:pPr>
              <w:adjustRightInd w:val="0"/>
              <w:snapToGrid w:val="0"/>
              <w:ind w:right="0"/>
              <w:jc w:val="center"/>
              <w:rPr>
                <w:rFonts w:hint="eastAsia" w:ascii="宋体" w:hAnsi="宋体"/>
                <w:sz w:val="18"/>
                <w:szCs w:val="18"/>
              </w:rPr>
            </w:pPr>
            <w:r>
              <w:rPr>
                <w:rFonts w:hint="eastAsia" w:ascii="宋体" w:hAnsi="宋体"/>
                <w:sz w:val="18"/>
                <w:szCs w:val="18"/>
                <w:lang w:eastAsia="zh-CN"/>
              </w:rPr>
              <w:t>4.7</w:t>
            </w:r>
            <w:r>
              <w:rPr>
                <w:rFonts w:hint="eastAsia" w:ascii="宋体" w:hAnsi="宋体"/>
                <w:sz w:val="18"/>
                <w:szCs w:val="18"/>
              </w:rPr>
              <w:t>.1</w:t>
            </w:r>
          </w:p>
          <w:p w14:paraId="0B86B634">
            <w:pPr>
              <w:adjustRightInd w:val="0"/>
              <w:snapToGrid w:val="0"/>
              <w:ind w:right="0"/>
              <w:jc w:val="center"/>
              <w:rPr>
                <w:rFonts w:hint="default" w:ascii="宋体" w:hAnsi="宋体" w:eastAsia="宋体"/>
                <w:sz w:val="18"/>
                <w:szCs w:val="18"/>
                <w:lang w:val="en-US" w:eastAsia="zh-CN"/>
              </w:rPr>
            </w:pPr>
            <w:r>
              <w:rPr>
                <w:rFonts w:hint="eastAsia" w:ascii="宋体" w:hAnsi="宋体"/>
                <w:sz w:val="18"/>
                <w:szCs w:val="18"/>
                <w:lang w:val="en-US" w:eastAsia="zh-CN"/>
              </w:rPr>
              <w:t>4.7.3</w:t>
            </w:r>
          </w:p>
        </w:tc>
      </w:tr>
      <w:tr w14:paraId="7A99D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7CE5351E">
            <w:pPr>
              <w:adjustRightInd w:val="0"/>
              <w:snapToGrid w:val="0"/>
              <w:spacing w:line="240" w:lineRule="atLeast"/>
              <w:jc w:val="center"/>
              <w:rPr>
                <w:rFonts w:hint="default"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2.6</w:t>
            </w:r>
          </w:p>
        </w:tc>
        <w:tc>
          <w:tcPr>
            <w:tcW w:w="6593" w:type="dxa"/>
            <w:noWrap w:val="0"/>
            <w:vAlign w:val="top"/>
          </w:tcPr>
          <w:p w14:paraId="1EF93CF3">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应设置能够覆盖全部营业区域的应急广播，并能够使用中英文两种语言播放。</w:t>
            </w:r>
          </w:p>
        </w:tc>
        <w:tc>
          <w:tcPr>
            <w:tcW w:w="734" w:type="dxa"/>
            <w:noWrap w:val="0"/>
            <w:vAlign w:val="center"/>
          </w:tcPr>
          <w:p w14:paraId="7625619A">
            <w:pPr>
              <w:adjustRightInd w:val="0"/>
              <w:snapToGrid w:val="0"/>
              <w:jc w:val="center"/>
              <w:rPr>
                <w:rFonts w:hint="eastAsia" w:ascii="宋体" w:hAnsi="宋体" w:eastAsia="宋体" w:cs="宋体"/>
                <w:kern w:val="2"/>
                <w:sz w:val="18"/>
                <w:szCs w:val="18"/>
                <w:lang w:val="en-US" w:eastAsia="zh-CN" w:bidi="ar-SA"/>
              </w:rPr>
            </w:pPr>
          </w:p>
        </w:tc>
        <w:tc>
          <w:tcPr>
            <w:tcW w:w="629" w:type="dxa"/>
            <w:noWrap w:val="0"/>
            <w:vAlign w:val="center"/>
          </w:tcPr>
          <w:p w14:paraId="7BA958F0">
            <w:pPr>
              <w:adjustRightInd w:val="0"/>
              <w:snapToGrid w:val="0"/>
              <w:ind w:right="34" w:rightChars="0"/>
              <w:jc w:val="center"/>
              <w:rPr>
                <w:rFonts w:ascii="宋体" w:hAnsi="宋体" w:eastAsia="宋体" w:cs="Times New Roman"/>
                <w:kern w:val="2"/>
                <w:sz w:val="18"/>
                <w:szCs w:val="18"/>
                <w:lang w:val="en-US" w:eastAsia="zh-CN" w:bidi="ar-SA"/>
              </w:rPr>
            </w:pPr>
          </w:p>
        </w:tc>
        <w:tc>
          <w:tcPr>
            <w:tcW w:w="629" w:type="dxa"/>
            <w:noWrap w:val="0"/>
            <w:vAlign w:val="center"/>
          </w:tcPr>
          <w:p w14:paraId="0A154B72">
            <w:pPr>
              <w:adjustRightInd w:val="0"/>
              <w:snapToGrid w:val="0"/>
              <w:ind w:right="34" w:rightChars="0"/>
              <w:jc w:val="center"/>
              <w:rPr>
                <w:rFonts w:hint="default" w:ascii="宋体" w:hAnsi="宋体" w:eastAsia="宋体" w:cs="Times New Roman"/>
                <w:kern w:val="2"/>
                <w:sz w:val="18"/>
                <w:szCs w:val="18"/>
                <w:lang w:val="en-US" w:eastAsia="zh-CN" w:bidi="ar-SA"/>
              </w:rPr>
            </w:pPr>
            <w:r>
              <w:rPr>
                <w:rFonts w:hint="eastAsia" w:ascii="宋体" w:hAnsi="宋体"/>
                <w:sz w:val="18"/>
                <w:szCs w:val="18"/>
                <w:lang w:val="en-US" w:eastAsia="zh-CN"/>
              </w:rPr>
              <w:t>2</w:t>
            </w:r>
          </w:p>
        </w:tc>
        <w:tc>
          <w:tcPr>
            <w:tcW w:w="2788" w:type="dxa"/>
            <w:tcBorders>
              <w:right w:val="single" w:color="auto" w:sz="4" w:space="0"/>
            </w:tcBorders>
            <w:noWrap w:val="0"/>
            <w:vAlign w:val="center"/>
          </w:tcPr>
          <w:p w14:paraId="56F300FD">
            <w:pPr>
              <w:adjustRightInd w:val="0"/>
              <w:snapToGrid w:val="0"/>
              <w:ind w:right="34" w:rightChars="0"/>
              <w:rPr>
                <w:rFonts w:hint="eastAsia" w:ascii="宋体" w:hAnsi="宋体" w:eastAsia="宋体" w:cs="宋体"/>
                <w:kern w:val="2"/>
                <w:sz w:val="18"/>
                <w:szCs w:val="18"/>
                <w:lang w:val="en-US" w:eastAsia="zh-CN" w:bidi="ar-SA"/>
              </w:rPr>
            </w:pPr>
            <w:r>
              <w:rPr>
                <w:rFonts w:hint="eastAsia" w:ascii="宋体" w:hAnsi="宋体"/>
                <w:sz w:val="18"/>
                <w:szCs w:val="18"/>
              </w:rPr>
              <w:t>一处不符合</w:t>
            </w:r>
            <w:r>
              <w:rPr>
                <w:rFonts w:hint="eastAsia" w:ascii="宋体" w:hAnsi="宋体"/>
                <w:sz w:val="18"/>
                <w:szCs w:val="18"/>
                <w:lang w:val="en-US" w:eastAsia="zh-CN"/>
              </w:rPr>
              <w:t>不得分</w:t>
            </w:r>
            <w:r>
              <w:rPr>
                <w:rFonts w:hint="eastAsia" w:ascii="宋体" w:hAnsi="宋体"/>
                <w:sz w:val="18"/>
                <w:szCs w:val="18"/>
              </w:rPr>
              <w:t>。</w:t>
            </w:r>
          </w:p>
        </w:tc>
        <w:tc>
          <w:tcPr>
            <w:tcW w:w="676" w:type="dxa"/>
            <w:tcBorders>
              <w:left w:val="single" w:color="auto" w:sz="4" w:space="0"/>
            </w:tcBorders>
            <w:noWrap w:val="0"/>
            <w:vAlign w:val="top"/>
          </w:tcPr>
          <w:p w14:paraId="2CB7D4F8">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6EB33376">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1A45D8DE">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.1</w:t>
            </w:r>
          </w:p>
        </w:tc>
      </w:tr>
      <w:tr w14:paraId="383B8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1C75B537">
            <w:pPr>
              <w:adjustRightInd w:val="0"/>
              <w:snapToGrid w:val="0"/>
              <w:ind w:right="34"/>
              <w:jc w:val="center"/>
              <w:rPr>
                <w:rFonts w:hint="eastAsia" w:ascii="宋体" w:hAnsi="宋体" w:eastAsia="宋体"/>
                <w:sz w:val="18"/>
                <w:szCs w:val="18"/>
                <w:lang w:eastAsia="zh-CN"/>
              </w:rPr>
            </w:pPr>
            <w:r>
              <w:rPr>
                <w:rFonts w:hint="eastAsia" w:ascii="宋体" w:hAnsi="宋体"/>
                <w:sz w:val="18"/>
                <w:szCs w:val="18"/>
              </w:rPr>
              <w:t>7.</w:t>
            </w:r>
            <w:r>
              <w:rPr>
                <w:rFonts w:hint="eastAsia" w:ascii="宋体" w:hAnsi="宋体"/>
                <w:sz w:val="18"/>
                <w:szCs w:val="18"/>
                <w:lang w:val="en-US" w:eastAsia="zh-CN"/>
              </w:rPr>
              <w:t>3</w:t>
            </w:r>
          </w:p>
        </w:tc>
        <w:tc>
          <w:tcPr>
            <w:tcW w:w="6593" w:type="dxa"/>
            <w:noWrap w:val="0"/>
            <w:vAlign w:val="top"/>
          </w:tcPr>
          <w:p w14:paraId="3FAA07AB">
            <w:pPr>
              <w:adjustRightInd w:val="0"/>
              <w:snapToGrid w:val="0"/>
              <w:rPr>
                <w:rFonts w:ascii="宋体" w:hAnsi="宋体"/>
                <w:sz w:val="18"/>
                <w:szCs w:val="18"/>
              </w:rPr>
            </w:pPr>
            <w:r>
              <w:rPr>
                <w:rFonts w:hint="eastAsia" w:ascii="宋体" w:hAnsi="宋体"/>
                <w:sz w:val="18"/>
                <w:szCs w:val="18"/>
              </w:rPr>
              <w:t>消防安全疏散标志</w:t>
            </w:r>
          </w:p>
        </w:tc>
        <w:tc>
          <w:tcPr>
            <w:tcW w:w="734" w:type="dxa"/>
            <w:noWrap w:val="0"/>
            <w:vAlign w:val="center"/>
          </w:tcPr>
          <w:p w14:paraId="486EC0BF">
            <w:pPr>
              <w:adjustRightInd w:val="0"/>
              <w:snapToGrid w:val="0"/>
              <w:jc w:val="center"/>
              <w:rPr>
                <w:rFonts w:ascii="宋体" w:hAnsi="宋体" w:cs="宋体"/>
                <w:sz w:val="18"/>
                <w:szCs w:val="18"/>
              </w:rPr>
            </w:pPr>
          </w:p>
        </w:tc>
        <w:tc>
          <w:tcPr>
            <w:tcW w:w="629" w:type="dxa"/>
            <w:noWrap w:val="0"/>
            <w:vAlign w:val="center"/>
          </w:tcPr>
          <w:p w14:paraId="085E460E">
            <w:pPr>
              <w:adjustRightInd w:val="0"/>
              <w:snapToGrid w:val="0"/>
              <w:ind w:right="34"/>
              <w:jc w:val="center"/>
              <w:rPr>
                <w:rFonts w:ascii="宋体" w:hAnsi="宋体"/>
                <w:sz w:val="18"/>
                <w:szCs w:val="18"/>
              </w:rPr>
            </w:pPr>
            <w:r>
              <w:rPr>
                <w:rFonts w:hint="eastAsia" w:ascii="宋体" w:hAnsi="宋体"/>
                <w:sz w:val="18"/>
                <w:szCs w:val="18"/>
              </w:rPr>
              <w:t>10</w:t>
            </w:r>
          </w:p>
        </w:tc>
        <w:tc>
          <w:tcPr>
            <w:tcW w:w="629" w:type="dxa"/>
            <w:noWrap w:val="0"/>
            <w:vAlign w:val="center"/>
          </w:tcPr>
          <w:p w14:paraId="0C934435">
            <w:pPr>
              <w:adjustRightInd w:val="0"/>
              <w:snapToGrid w:val="0"/>
              <w:ind w:right="34"/>
              <w:jc w:val="center"/>
              <w:rPr>
                <w:rFonts w:hint="eastAsia" w:ascii="宋体" w:hAnsi="宋体"/>
                <w:sz w:val="18"/>
                <w:szCs w:val="18"/>
              </w:rPr>
            </w:pPr>
          </w:p>
        </w:tc>
        <w:tc>
          <w:tcPr>
            <w:tcW w:w="2788" w:type="dxa"/>
            <w:tcBorders>
              <w:right w:val="single" w:color="auto" w:sz="4" w:space="0"/>
            </w:tcBorders>
            <w:noWrap w:val="0"/>
            <w:vAlign w:val="center"/>
          </w:tcPr>
          <w:p w14:paraId="0B5C3090">
            <w:pPr>
              <w:adjustRightInd w:val="0"/>
              <w:snapToGrid w:val="0"/>
              <w:ind w:right="34"/>
              <w:rPr>
                <w:rFonts w:ascii="宋体" w:hAnsi="宋体" w:cs="宋体"/>
                <w:sz w:val="18"/>
                <w:szCs w:val="18"/>
              </w:rPr>
            </w:pPr>
          </w:p>
        </w:tc>
        <w:tc>
          <w:tcPr>
            <w:tcW w:w="676" w:type="dxa"/>
            <w:tcBorders>
              <w:left w:val="single" w:color="auto" w:sz="4" w:space="0"/>
            </w:tcBorders>
            <w:noWrap w:val="0"/>
            <w:vAlign w:val="top"/>
          </w:tcPr>
          <w:p w14:paraId="09B76D98">
            <w:pPr>
              <w:adjustRightInd w:val="0"/>
              <w:snapToGrid w:val="0"/>
              <w:rPr>
                <w:rFonts w:ascii="宋体" w:hAnsi="宋体" w:cs="宋体"/>
                <w:sz w:val="18"/>
                <w:szCs w:val="18"/>
              </w:rPr>
            </w:pPr>
          </w:p>
        </w:tc>
        <w:tc>
          <w:tcPr>
            <w:tcW w:w="629" w:type="dxa"/>
            <w:noWrap w:val="0"/>
            <w:vAlign w:val="top"/>
          </w:tcPr>
          <w:p w14:paraId="0487ADE9">
            <w:pPr>
              <w:adjustRightInd w:val="0"/>
              <w:snapToGrid w:val="0"/>
              <w:rPr>
                <w:rFonts w:ascii="宋体" w:hAnsi="宋体" w:cs="宋体"/>
                <w:sz w:val="18"/>
                <w:szCs w:val="18"/>
              </w:rPr>
            </w:pPr>
          </w:p>
        </w:tc>
        <w:tc>
          <w:tcPr>
            <w:tcW w:w="1704" w:type="dxa"/>
            <w:noWrap w:val="0"/>
            <w:vAlign w:val="center"/>
          </w:tcPr>
          <w:p w14:paraId="67709F77">
            <w:pPr>
              <w:adjustRightInd w:val="0"/>
              <w:snapToGrid w:val="0"/>
              <w:ind w:right="34"/>
              <w:jc w:val="center"/>
              <w:rPr>
                <w:rFonts w:hint="eastAsia" w:ascii="宋体" w:hAnsi="宋体"/>
                <w:sz w:val="18"/>
                <w:szCs w:val="18"/>
              </w:rPr>
            </w:pPr>
            <w:r>
              <w:rPr>
                <w:rFonts w:hint="eastAsia" w:ascii="宋体" w:hAnsi="宋体"/>
                <w:sz w:val="18"/>
                <w:szCs w:val="18"/>
                <w:lang w:eastAsia="zh-CN"/>
              </w:rPr>
              <w:t>4.7</w:t>
            </w:r>
            <w:r>
              <w:rPr>
                <w:rFonts w:ascii="宋体" w:hAnsi="宋体"/>
                <w:sz w:val="18"/>
                <w:szCs w:val="18"/>
              </w:rPr>
              <w:t>.</w:t>
            </w:r>
            <w:r>
              <w:rPr>
                <w:rFonts w:hint="eastAsia" w:ascii="宋体" w:hAnsi="宋体"/>
                <w:sz w:val="18"/>
                <w:szCs w:val="18"/>
              </w:rPr>
              <w:t>1</w:t>
            </w:r>
          </w:p>
        </w:tc>
      </w:tr>
      <w:tr w14:paraId="1B2CC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1E1521E3">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3</w:t>
            </w:r>
            <w:r>
              <w:rPr>
                <w:rFonts w:hint="eastAsia" w:ascii="宋体" w:hAnsi="宋体"/>
                <w:sz w:val="18"/>
                <w:szCs w:val="18"/>
              </w:rPr>
              <w:t>.1</w:t>
            </w:r>
          </w:p>
        </w:tc>
        <w:tc>
          <w:tcPr>
            <w:tcW w:w="6593" w:type="dxa"/>
            <w:noWrap w:val="0"/>
            <w:vAlign w:val="top"/>
          </w:tcPr>
          <w:p w14:paraId="33CF5410">
            <w:pPr>
              <w:adjustRightInd w:val="0"/>
              <w:snapToGrid w:val="0"/>
              <w:rPr>
                <w:rFonts w:ascii="宋体" w:hAnsi="宋体"/>
                <w:sz w:val="18"/>
                <w:szCs w:val="18"/>
              </w:rPr>
            </w:pPr>
            <w:r>
              <w:rPr>
                <w:rFonts w:hint="eastAsia" w:ascii="宋体" w:hAnsi="宋体"/>
                <w:sz w:val="18"/>
                <w:szCs w:val="18"/>
              </w:rPr>
              <w:t>消防安全疏散标志设置</w:t>
            </w:r>
            <w:r>
              <w:rPr>
                <w:rFonts w:hint="eastAsia" w:ascii="宋体" w:hAnsi="宋体"/>
                <w:sz w:val="18"/>
                <w:szCs w:val="18"/>
                <w:lang w:val="en-US" w:eastAsia="zh-CN"/>
              </w:rPr>
              <w:t>应符合</w:t>
            </w:r>
            <w:r>
              <w:rPr>
                <w:rFonts w:hint="eastAsia" w:ascii="宋体" w:hAnsi="宋体"/>
                <w:sz w:val="18"/>
                <w:szCs w:val="18"/>
              </w:rPr>
              <w:t>下列位置：</w:t>
            </w:r>
          </w:p>
          <w:p w14:paraId="3413F388">
            <w:pPr>
              <w:adjustRightInd w:val="0"/>
              <w:snapToGrid w:val="0"/>
              <w:rPr>
                <w:rFonts w:hint="eastAsia" w:ascii="宋体" w:hAnsi="宋体" w:eastAsia="宋体" w:cs="Times New Roman"/>
                <w:sz w:val="18"/>
                <w:szCs w:val="18"/>
                <w:lang w:val="en-US" w:eastAsia="zh-CN" w:bidi="ar-SA"/>
              </w:rPr>
            </w:pPr>
            <w:r>
              <w:rPr>
                <w:rFonts w:hint="eastAsia" w:ascii="宋体" w:hAnsi="宋体"/>
                <w:sz w:val="18"/>
                <w:szCs w:val="18"/>
              </w:rPr>
              <w:t>a）疏散走道消防安全疏散标识应设置在两侧距地面、梯面距地面高度 1m 以下的</w:t>
            </w:r>
          </w:p>
        </w:tc>
        <w:tc>
          <w:tcPr>
            <w:tcW w:w="734" w:type="dxa"/>
            <w:noWrap w:val="0"/>
            <w:vAlign w:val="center"/>
          </w:tcPr>
          <w:p w14:paraId="040F746B">
            <w:pPr>
              <w:adjustRightInd w:val="0"/>
              <w:snapToGrid w:val="0"/>
              <w:jc w:val="center"/>
              <w:rPr>
                <w:rFonts w:hint="eastAsia" w:ascii="宋体" w:hAnsi="宋体" w:eastAsia="宋体" w:cs="宋体"/>
                <w:kern w:val="2"/>
                <w:sz w:val="18"/>
                <w:szCs w:val="18"/>
                <w:lang w:val="en-US" w:eastAsia="zh-CN" w:bidi="ar-SA"/>
              </w:rPr>
            </w:pPr>
          </w:p>
        </w:tc>
        <w:tc>
          <w:tcPr>
            <w:tcW w:w="629" w:type="dxa"/>
            <w:noWrap w:val="0"/>
            <w:vAlign w:val="center"/>
          </w:tcPr>
          <w:p w14:paraId="33EA8F0D">
            <w:pPr>
              <w:adjustRightInd w:val="0"/>
              <w:snapToGrid w:val="0"/>
              <w:ind w:right="34" w:rightChars="0"/>
              <w:jc w:val="center"/>
              <w:rPr>
                <w:rFonts w:ascii="宋体" w:hAnsi="宋体" w:eastAsia="宋体" w:cs="Times New Roman"/>
                <w:kern w:val="2"/>
                <w:sz w:val="18"/>
                <w:szCs w:val="18"/>
                <w:lang w:val="en-US" w:eastAsia="zh-CN" w:bidi="ar-SA"/>
              </w:rPr>
            </w:pPr>
          </w:p>
        </w:tc>
        <w:tc>
          <w:tcPr>
            <w:tcW w:w="629" w:type="dxa"/>
            <w:noWrap w:val="0"/>
            <w:vAlign w:val="center"/>
          </w:tcPr>
          <w:p w14:paraId="1E464E74">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6</w:t>
            </w:r>
          </w:p>
        </w:tc>
        <w:tc>
          <w:tcPr>
            <w:tcW w:w="2788" w:type="dxa"/>
            <w:tcBorders>
              <w:right w:val="single" w:color="auto" w:sz="4" w:space="0"/>
            </w:tcBorders>
            <w:noWrap w:val="0"/>
            <w:vAlign w:val="center"/>
          </w:tcPr>
          <w:p w14:paraId="23422F41">
            <w:pPr>
              <w:adjustRightInd w:val="0"/>
              <w:snapToGrid w:val="0"/>
              <w:ind w:right="34" w:rightChars="0"/>
              <w:rPr>
                <w:rFonts w:hint="eastAsia" w:ascii="宋体" w:hAnsi="宋体" w:eastAsia="宋体" w:cs="Times New Roman"/>
                <w:kern w:val="2"/>
                <w:sz w:val="18"/>
                <w:szCs w:val="18"/>
                <w:lang w:val="en-US" w:eastAsia="zh-CN" w:bidi="ar-SA"/>
              </w:rPr>
            </w:pPr>
            <w:r>
              <w:rPr>
                <w:rFonts w:hint="eastAsia" w:ascii="宋体" w:hAnsi="宋体" w:cs="宋体"/>
                <w:sz w:val="18"/>
                <w:szCs w:val="18"/>
              </w:rPr>
              <w:t>一处</w:t>
            </w:r>
            <w:r>
              <w:rPr>
                <w:rFonts w:hint="eastAsia" w:ascii="宋体" w:hAnsi="宋体" w:cs="宋体"/>
                <w:sz w:val="18"/>
                <w:szCs w:val="18"/>
                <w:lang w:val="en-US" w:eastAsia="zh-CN"/>
              </w:rPr>
              <w:t>不符合</w:t>
            </w:r>
            <w:r>
              <w:rPr>
                <w:rFonts w:hint="eastAsia" w:ascii="宋体" w:hAnsi="宋体" w:cs="宋体"/>
                <w:sz w:val="18"/>
                <w:szCs w:val="18"/>
              </w:rPr>
              <w:t>扣</w:t>
            </w:r>
            <w:r>
              <w:rPr>
                <w:rFonts w:hint="eastAsia" w:ascii="宋体" w:hAnsi="宋体" w:cs="宋体"/>
                <w:sz w:val="18"/>
                <w:szCs w:val="18"/>
                <w:lang w:val="en-US" w:eastAsia="zh-CN"/>
              </w:rPr>
              <w:t>2</w:t>
            </w:r>
            <w:r>
              <w:rPr>
                <w:rFonts w:hint="eastAsia" w:ascii="宋体" w:hAnsi="宋体" w:cs="宋体"/>
                <w:sz w:val="18"/>
                <w:szCs w:val="18"/>
              </w:rPr>
              <w:t>分。</w:t>
            </w:r>
          </w:p>
        </w:tc>
        <w:tc>
          <w:tcPr>
            <w:tcW w:w="676" w:type="dxa"/>
            <w:tcBorders>
              <w:left w:val="single" w:color="auto" w:sz="4" w:space="0"/>
            </w:tcBorders>
            <w:noWrap w:val="0"/>
            <w:vAlign w:val="top"/>
          </w:tcPr>
          <w:p w14:paraId="4E886FE4">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2A704439">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28211B5F">
            <w:pPr>
              <w:adjustRightInd w:val="0"/>
              <w:snapToGrid w:val="0"/>
              <w:ind w:right="34" w:rightChars="0"/>
              <w:jc w:val="center"/>
              <w:rPr>
                <w:rFonts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.1</w:t>
            </w:r>
          </w:p>
        </w:tc>
      </w:tr>
    </w:tbl>
    <w:p w14:paraId="3CE41748">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6627"/>
        <w:gridCol w:w="738"/>
        <w:gridCol w:w="633"/>
        <w:gridCol w:w="633"/>
        <w:gridCol w:w="2803"/>
        <w:gridCol w:w="679"/>
        <w:gridCol w:w="1084"/>
        <w:gridCol w:w="1179"/>
      </w:tblGrid>
      <w:tr w14:paraId="4F7D6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977" w:type="dxa"/>
            <w:noWrap w:val="0"/>
            <w:vAlign w:val="center"/>
          </w:tcPr>
          <w:p w14:paraId="63E7593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27" w:type="dxa"/>
            <w:tcBorders>
              <w:bottom w:val="single" w:color="auto" w:sz="4" w:space="0"/>
              <w:right w:val="single" w:color="auto" w:sz="4" w:space="0"/>
            </w:tcBorders>
            <w:noWrap w:val="0"/>
            <w:vAlign w:val="center"/>
          </w:tcPr>
          <w:p w14:paraId="4075009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8" w:type="dxa"/>
            <w:tcBorders>
              <w:left w:val="single" w:color="auto" w:sz="4" w:space="0"/>
              <w:bottom w:val="single" w:color="auto" w:sz="4" w:space="0"/>
              <w:right w:val="single" w:color="auto" w:sz="4" w:space="0"/>
            </w:tcBorders>
            <w:noWrap w:val="0"/>
            <w:vAlign w:val="center"/>
          </w:tcPr>
          <w:p w14:paraId="4D54A408">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3" w:type="dxa"/>
            <w:tcBorders>
              <w:left w:val="single" w:color="auto" w:sz="4" w:space="0"/>
              <w:bottom w:val="single" w:color="auto" w:sz="4" w:space="0"/>
              <w:right w:val="single" w:color="auto" w:sz="4" w:space="0"/>
            </w:tcBorders>
            <w:noWrap w:val="0"/>
            <w:vAlign w:val="top"/>
          </w:tcPr>
          <w:p w14:paraId="752323F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tcBorders>
              <w:left w:val="single" w:color="auto" w:sz="4" w:space="0"/>
              <w:bottom w:val="single" w:color="auto" w:sz="4" w:space="0"/>
              <w:right w:val="single" w:color="auto" w:sz="4" w:space="0"/>
            </w:tcBorders>
            <w:noWrap w:val="0"/>
            <w:vAlign w:val="top"/>
          </w:tcPr>
          <w:p w14:paraId="0A63210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803" w:type="dxa"/>
            <w:tcBorders>
              <w:left w:val="single" w:color="auto" w:sz="4" w:space="0"/>
              <w:bottom w:val="single" w:color="auto" w:sz="4" w:space="0"/>
              <w:right w:val="single" w:color="auto" w:sz="4" w:space="0"/>
            </w:tcBorders>
            <w:noWrap w:val="0"/>
            <w:vAlign w:val="center"/>
          </w:tcPr>
          <w:p w14:paraId="24BBE1F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9" w:type="dxa"/>
            <w:tcBorders>
              <w:left w:val="single" w:color="auto" w:sz="4" w:space="0"/>
              <w:bottom w:val="single" w:color="auto" w:sz="4" w:space="0"/>
              <w:right w:val="single" w:color="auto" w:sz="4" w:space="0"/>
            </w:tcBorders>
            <w:noWrap w:val="0"/>
            <w:vAlign w:val="center"/>
          </w:tcPr>
          <w:p w14:paraId="2B18C4AF">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084" w:type="dxa"/>
            <w:tcBorders>
              <w:left w:val="single" w:color="auto" w:sz="4" w:space="0"/>
              <w:bottom w:val="single" w:color="auto" w:sz="4" w:space="0"/>
              <w:right w:val="single" w:color="auto" w:sz="4" w:space="0"/>
            </w:tcBorders>
            <w:noWrap w:val="0"/>
            <w:vAlign w:val="center"/>
          </w:tcPr>
          <w:p w14:paraId="440DFB2F">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9" w:type="dxa"/>
            <w:tcBorders>
              <w:left w:val="single" w:color="auto" w:sz="4" w:space="0"/>
              <w:bottom w:val="single" w:color="auto" w:sz="4" w:space="0"/>
            </w:tcBorders>
            <w:noWrap w:val="0"/>
            <w:vAlign w:val="center"/>
          </w:tcPr>
          <w:p w14:paraId="6676B78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3DE3F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7AC4930E">
            <w:pPr>
              <w:adjustRightInd w:val="0"/>
              <w:snapToGrid w:val="0"/>
              <w:spacing w:line="240" w:lineRule="atLeast"/>
              <w:jc w:val="center"/>
              <w:rPr>
                <w:rFonts w:ascii="宋体" w:hAnsi="宋体"/>
                <w:sz w:val="18"/>
                <w:szCs w:val="18"/>
              </w:rPr>
            </w:pPr>
          </w:p>
        </w:tc>
        <w:tc>
          <w:tcPr>
            <w:tcW w:w="6627" w:type="dxa"/>
            <w:noWrap w:val="0"/>
            <w:vAlign w:val="top"/>
          </w:tcPr>
          <w:p w14:paraId="055C390C">
            <w:pPr>
              <w:adjustRightInd w:val="0"/>
              <w:snapToGrid w:val="0"/>
              <w:rPr>
                <w:rFonts w:hint="eastAsia" w:ascii="宋体" w:hAnsi="宋体"/>
                <w:sz w:val="18"/>
                <w:szCs w:val="18"/>
              </w:rPr>
            </w:pPr>
            <w:r>
              <w:rPr>
                <w:rFonts w:hint="eastAsia" w:ascii="宋体" w:hAnsi="宋体"/>
                <w:sz w:val="18"/>
                <w:szCs w:val="18"/>
              </w:rPr>
              <w:t>墙面、柱面上；</w:t>
            </w:r>
          </w:p>
          <w:p w14:paraId="75F62495">
            <w:pPr>
              <w:adjustRightInd w:val="0"/>
              <w:snapToGrid w:val="0"/>
              <w:rPr>
                <w:rFonts w:hint="eastAsia" w:ascii="宋体" w:hAnsi="宋体"/>
                <w:sz w:val="18"/>
                <w:szCs w:val="18"/>
              </w:rPr>
            </w:pPr>
            <w:r>
              <w:rPr>
                <w:rFonts w:hint="eastAsia" w:ascii="宋体" w:hAnsi="宋体"/>
                <w:sz w:val="18"/>
                <w:szCs w:val="18"/>
              </w:rPr>
              <w:t>b）当安全出口或疏散门在疏散走道侧边时，应在疏散走道上方增设指向安全出口或疏散门的标志，并设置在疏散走道的顶部，且标志面应与疏散方向垂直、箭头应指向安全出口或疏散门；</w:t>
            </w:r>
          </w:p>
          <w:p w14:paraId="45CBCF82">
            <w:pPr>
              <w:adjustRightInd w:val="0"/>
              <w:snapToGrid w:val="0"/>
              <w:rPr>
                <w:rFonts w:hint="eastAsia" w:ascii="宋体" w:hAnsi="宋体"/>
                <w:sz w:val="18"/>
                <w:szCs w:val="18"/>
              </w:rPr>
            </w:pPr>
            <w:r>
              <w:rPr>
                <w:rFonts w:hint="eastAsia" w:ascii="宋体" w:hAnsi="宋体"/>
                <w:sz w:val="18"/>
                <w:szCs w:val="18"/>
              </w:rPr>
              <w:t>c）当安装在疏散走道、通道转角处的上方或两侧时，标志与转角处边墙的距离不应大于 1m；</w:t>
            </w:r>
          </w:p>
          <w:p w14:paraId="40CA8CB0">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）采用消防应急疏散标志灯具的，灯具的标志面与疏散方向垂直时，灯具的设置间距不应大于 20m；灯具的标志面与疏散方向平行时，灯具的设置间距不应大于 10m；袋形走道的尽头距灯具的距离不应大于 10 m；</w:t>
            </w:r>
          </w:p>
          <w:p w14:paraId="141DEA74">
            <w:pPr>
              <w:adjustRightInd w:val="0"/>
              <w:snapToGrid w:val="0"/>
              <w:rPr>
                <w:rFonts w:hint="eastAsia" w:ascii="宋体" w:hAnsi="宋体"/>
                <w:sz w:val="18"/>
                <w:szCs w:val="18"/>
              </w:rPr>
            </w:pPr>
            <w:r>
              <w:rPr>
                <w:rFonts w:hint="eastAsia" w:ascii="宋体" w:hAnsi="宋体"/>
                <w:sz w:val="18"/>
                <w:szCs w:val="18"/>
              </w:rPr>
              <w:t>e）消防疏散导流标志应设置在疏散走道、疏散通道地面的中心位置，灯具的设置间距不应大于 3m；指示牌的设置间距不应小于 2m、不应大于 3m；</w:t>
            </w:r>
          </w:p>
          <w:p w14:paraId="71A40A92">
            <w:pPr>
              <w:adjustRightInd w:val="0"/>
              <w:snapToGrid w:val="0"/>
              <w:rPr>
                <w:rFonts w:hint="eastAsia" w:ascii="宋体" w:hAnsi="宋体"/>
                <w:sz w:val="18"/>
                <w:szCs w:val="18"/>
              </w:rPr>
            </w:pPr>
            <w:r>
              <w:rPr>
                <w:rFonts w:hint="eastAsia" w:ascii="宋体" w:hAnsi="宋体"/>
                <w:sz w:val="18"/>
                <w:szCs w:val="18"/>
              </w:rPr>
              <w:t>f）楼梯间每层应设置指示所在楼层的消防安全疏散标志；</w:t>
            </w:r>
          </w:p>
          <w:p w14:paraId="050658B4">
            <w:pPr>
              <w:adjustRightInd w:val="0"/>
              <w:snapToGrid w:val="0"/>
              <w:rPr>
                <w:rFonts w:hint="eastAsia" w:ascii="宋体" w:hAnsi="宋体"/>
                <w:sz w:val="18"/>
                <w:szCs w:val="18"/>
              </w:rPr>
            </w:pPr>
            <w:r>
              <w:rPr>
                <w:rFonts w:hint="eastAsia" w:ascii="宋体" w:hAnsi="宋体"/>
                <w:sz w:val="18"/>
                <w:szCs w:val="18"/>
              </w:rPr>
              <w:t>g）室外消防安全疏散标志设置应符合下列规定：</w:t>
            </w:r>
          </w:p>
          <w:p w14:paraId="6ADFA044">
            <w:pPr>
              <w:adjustRightInd w:val="0"/>
              <w:snapToGrid w:val="0"/>
              <w:ind w:firstLine="360" w:firstLineChars="200"/>
              <w:rPr>
                <w:rFonts w:hint="eastAsia" w:ascii="宋体" w:hAnsi="宋体"/>
                <w:sz w:val="18"/>
                <w:szCs w:val="18"/>
              </w:rPr>
            </w:pPr>
            <w:r>
              <w:rPr>
                <w:rFonts w:hint="eastAsia" w:ascii="宋体" w:hAnsi="宋体"/>
                <w:sz w:val="18"/>
                <w:szCs w:val="18"/>
              </w:rPr>
              <w:t>1）室外附着在建筑物上的标志牌，其中心点距地面的高度不应小于 1.3 m；</w:t>
            </w:r>
          </w:p>
          <w:p w14:paraId="7635B28A">
            <w:pPr>
              <w:adjustRightInd w:val="0"/>
              <w:snapToGrid w:val="0"/>
              <w:ind w:firstLine="360" w:firstLineChars="200"/>
              <w:rPr>
                <w:rFonts w:hint="eastAsia" w:ascii="宋体" w:hAnsi="宋体"/>
                <w:sz w:val="18"/>
                <w:szCs w:val="18"/>
              </w:rPr>
            </w:pPr>
            <w:r>
              <w:rPr>
                <w:rFonts w:hint="eastAsia" w:ascii="宋体" w:hAnsi="宋体"/>
                <w:sz w:val="18"/>
                <w:szCs w:val="18"/>
              </w:rPr>
              <w:t>2）室外用标志杆固定的标志牌的下边缘距地面高度应大于 1.2 m。设置在道路边缘的标志牌，其内边缘距路面(或路肩)边缘不应小于 0.25 m，标志牌下边缘距路面的高度应在 1.8m～2.5 m 之间。</w:t>
            </w:r>
          </w:p>
          <w:p w14:paraId="42C46F67">
            <w:pPr>
              <w:adjustRightInd w:val="0"/>
              <w:snapToGrid w:val="0"/>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）消防安全疏散标志应独立设置在醒目位置，固定设置在不燃性墙体或不燃性装修材料上。除必须外，不应设置在门、窗、架等可活动的物体上；</w:t>
            </w:r>
          </w:p>
          <w:p w14:paraId="15AAE94D">
            <w:pPr>
              <w:pStyle w:val="36"/>
              <w:adjustRightInd w:val="0"/>
              <w:snapToGrid w:val="0"/>
              <w:ind w:firstLine="0" w:firstLineChars="0"/>
              <w:jc w:val="left"/>
              <w:rPr>
                <w:rFonts w:hint="eastAsia" w:hAnsi="宋体"/>
                <w:sz w:val="18"/>
                <w:szCs w:val="18"/>
              </w:rPr>
            </w:pPr>
            <w:r>
              <w:rPr>
                <w:rFonts w:hint="eastAsia" w:ascii="宋体" w:hAnsi="宋体"/>
                <w:sz w:val="18"/>
                <w:szCs w:val="18"/>
                <w:lang w:val="en-US" w:eastAsia="zh-CN"/>
              </w:rPr>
              <w:t>i</w:t>
            </w:r>
            <w:r>
              <w:rPr>
                <w:rFonts w:hint="eastAsia" w:ascii="宋体" w:hAnsi="宋体"/>
                <w:sz w:val="18"/>
                <w:szCs w:val="18"/>
              </w:rPr>
              <w:t>）疏散标志牌应用不燃材料制作，确有困难难以采用不燃材料制作的，应在其外面加设钢化玻璃或其它不易破碎的不燃透明材料制成的保护罩。</w:t>
            </w:r>
          </w:p>
        </w:tc>
        <w:tc>
          <w:tcPr>
            <w:tcW w:w="738" w:type="dxa"/>
            <w:noWrap w:val="0"/>
            <w:vAlign w:val="center"/>
          </w:tcPr>
          <w:p w14:paraId="7D16A669">
            <w:pPr>
              <w:adjustRightInd w:val="0"/>
              <w:snapToGrid w:val="0"/>
              <w:jc w:val="center"/>
              <w:rPr>
                <w:rFonts w:ascii="宋体" w:hAnsi="宋体" w:cs="宋体"/>
                <w:sz w:val="18"/>
                <w:szCs w:val="18"/>
              </w:rPr>
            </w:pPr>
          </w:p>
        </w:tc>
        <w:tc>
          <w:tcPr>
            <w:tcW w:w="633" w:type="dxa"/>
            <w:noWrap w:val="0"/>
            <w:vAlign w:val="center"/>
          </w:tcPr>
          <w:p w14:paraId="7C0B9ADC">
            <w:pPr>
              <w:adjustRightInd w:val="0"/>
              <w:snapToGrid w:val="0"/>
              <w:ind w:right="34"/>
              <w:jc w:val="center"/>
              <w:rPr>
                <w:rFonts w:ascii="宋体" w:hAnsi="宋体"/>
                <w:sz w:val="18"/>
                <w:szCs w:val="18"/>
              </w:rPr>
            </w:pPr>
          </w:p>
        </w:tc>
        <w:tc>
          <w:tcPr>
            <w:tcW w:w="633" w:type="dxa"/>
            <w:noWrap w:val="0"/>
            <w:vAlign w:val="center"/>
          </w:tcPr>
          <w:p w14:paraId="53BDDE27">
            <w:pPr>
              <w:adjustRightInd w:val="0"/>
              <w:snapToGrid w:val="0"/>
              <w:ind w:right="34"/>
              <w:jc w:val="center"/>
              <w:rPr>
                <w:rFonts w:hint="eastAsia" w:ascii="宋体" w:hAnsi="宋体" w:eastAsia="宋体"/>
                <w:sz w:val="18"/>
                <w:szCs w:val="18"/>
                <w:lang w:eastAsia="zh-CN"/>
              </w:rPr>
            </w:pPr>
          </w:p>
        </w:tc>
        <w:tc>
          <w:tcPr>
            <w:tcW w:w="2803" w:type="dxa"/>
            <w:tcBorders>
              <w:right w:val="single" w:color="auto" w:sz="4" w:space="0"/>
            </w:tcBorders>
            <w:noWrap w:val="0"/>
            <w:vAlign w:val="center"/>
          </w:tcPr>
          <w:p w14:paraId="20007117">
            <w:pPr>
              <w:adjustRightInd w:val="0"/>
              <w:snapToGrid w:val="0"/>
              <w:ind w:right="34"/>
              <w:rPr>
                <w:rFonts w:ascii="宋体" w:hAnsi="宋体"/>
                <w:sz w:val="18"/>
                <w:szCs w:val="18"/>
              </w:rPr>
            </w:pPr>
          </w:p>
        </w:tc>
        <w:tc>
          <w:tcPr>
            <w:tcW w:w="679" w:type="dxa"/>
            <w:tcBorders>
              <w:left w:val="single" w:color="auto" w:sz="4" w:space="0"/>
            </w:tcBorders>
            <w:noWrap w:val="0"/>
            <w:vAlign w:val="top"/>
          </w:tcPr>
          <w:p w14:paraId="38CF6718">
            <w:pPr>
              <w:adjustRightInd w:val="0"/>
              <w:snapToGrid w:val="0"/>
              <w:rPr>
                <w:rFonts w:ascii="宋体" w:hAnsi="宋体" w:cs="宋体"/>
                <w:sz w:val="18"/>
                <w:szCs w:val="18"/>
              </w:rPr>
            </w:pPr>
          </w:p>
        </w:tc>
        <w:tc>
          <w:tcPr>
            <w:tcW w:w="1084" w:type="dxa"/>
            <w:noWrap w:val="0"/>
            <w:vAlign w:val="top"/>
          </w:tcPr>
          <w:p w14:paraId="628AFE8E">
            <w:pPr>
              <w:adjustRightInd w:val="0"/>
              <w:snapToGrid w:val="0"/>
              <w:rPr>
                <w:rFonts w:ascii="宋体" w:hAnsi="宋体" w:cs="宋体"/>
                <w:sz w:val="18"/>
                <w:szCs w:val="18"/>
              </w:rPr>
            </w:pPr>
          </w:p>
        </w:tc>
        <w:tc>
          <w:tcPr>
            <w:tcW w:w="1179" w:type="dxa"/>
            <w:noWrap w:val="0"/>
            <w:vAlign w:val="center"/>
          </w:tcPr>
          <w:p w14:paraId="7BE8D424">
            <w:pPr>
              <w:adjustRightInd w:val="0"/>
              <w:snapToGrid w:val="0"/>
              <w:ind w:right="34"/>
              <w:jc w:val="center"/>
              <w:rPr>
                <w:rFonts w:ascii="宋体" w:hAnsi="宋体"/>
                <w:sz w:val="18"/>
                <w:szCs w:val="18"/>
              </w:rPr>
            </w:pPr>
          </w:p>
        </w:tc>
      </w:tr>
      <w:tr w14:paraId="6315A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7D4B38A6">
            <w:pPr>
              <w:adjustRightInd w:val="0"/>
              <w:snapToGrid w:val="0"/>
              <w:spacing w:line="240" w:lineRule="atLeast"/>
              <w:jc w:val="center"/>
              <w:rPr>
                <w:rFonts w:hint="eastAsia" w:ascii="宋体" w:hAnsi="宋体"/>
                <w:sz w:val="18"/>
                <w:szCs w:val="18"/>
              </w:rPr>
            </w:pPr>
            <w:r>
              <w:rPr>
                <w:rFonts w:hint="eastAsia" w:ascii="宋体" w:hAnsi="宋体"/>
                <w:sz w:val="18"/>
                <w:szCs w:val="18"/>
              </w:rPr>
              <w:t>7.</w:t>
            </w:r>
            <w:r>
              <w:rPr>
                <w:rFonts w:hint="eastAsia" w:ascii="宋体" w:hAnsi="宋体"/>
                <w:sz w:val="18"/>
                <w:szCs w:val="18"/>
                <w:lang w:val="en-US" w:eastAsia="zh-CN"/>
              </w:rPr>
              <w:t>3</w:t>
            </w:r>
            <w:r>
              <w:rPr>
                <w:rFonts w:hint="eastAsia" w:ascii="宋体" w:hAnsi="宋体"/>
                <w:sz w:val="18"/>
                <w:szCs w:val="18"/>
              </w:rPr>
              <w:t>.2</w:t>
            </w:r>
          </w:p>
        </w:tc>
        <w:tc>
          <w:tcPr>
            <w:tcW w:w="6627" w:type="dxa"/>
            <w:noWrap w:val="0"/>
            <w:vAlign w:val="top"/>
          </w:tcPr>
          <w:p w14:paraId="099F3B53">
            <w:pPr>
              <w:pStyle w:val="36"/>
              <w:adjustRightInd w:val="0"/>
              <w:snapToGrid w:val="0"/>
              <w:ind w:firstLine="0" w:firstLineChars="0"/>
              <w:jc w:val="left"/>
              <w:rPr>
                <w:rFonts w:hint="eastAsia" w:hAnsi="宋体"/>
                <w:sz w:val="18"/>
                <w:szCs w:val="18"/>
              </w:rPr>
            </w:pPr>
            <w:r>
              <w:rPr>
                <w:rFonts w:hint="eastAsia" w:hAnsi="宋体"/>
                <w:sz w:val="18"/>
                <w:szCs w:val="18"/>
              </w:rPr>
              <w:t>其他疏散标识应符合下列要求：</w:t>
            </w:r>
          </w:p>
          <w:p w14:paraId="32F0D2E6">
            <w:pPr>
              <w:pStyle w:val="36"/>
              <w:adjustRightInd w:val="0"/>
              <w:snapToGrid w:val="0"/>
              <w:ind w:firstLine="0" w:firstLineChars="0"/>
              <w:jc w:val="left"/>
              <w:rPr>
                <w:rFonts w:hint="eastAsia" w:hAnsi="宋体"/>
                <w:sz w:val="18"/>
                <w:szCs w:val="18"/>
              </w:rPr>
            </w:pPr>
            <w:r>
              <w:rPr>
                <w:rFonts w:hint="eastAsia" w:hAnsi="宋体"/>
                <w:sz w:val="18"/>
                <w:szCs w:val="18"/>
              </w:rPr>
              <w:t>a）非联动控制的安全出口、疏散出口或疏散通道中的门扇应设置“禁止锁闭”标志；室内、外疏散走道或疏散通道的醒目处应设置“禁止阻塞”的标志；</w:t>
            </w:r>
          </w:p>
          <w:p w14:paraId="1D5FF170">
            <w:pPr>
              <w:pStyle w:val="36"/>
              <w:adjustRightInd w:val="0"/>
              <w:snapToGrid w:val="0"/>
              <w:ind w:firstLine="0" w:firstLineChars="0"/>
              <w:jc w:val="left"/>
              <w:rPr>
                <w:rFonts w:hint="eastAsia" w:hAnsi="宋体"/>
                <w:sz w:val="18"/>
                <w:szCs w:val="18"/>
              </w:rPr>
            </w:pPr>
            <w:r>
              <w:rPr>
                <w:rFonts w:hint="eastAsia" w:hAnsi="宋体"/>
                <w:sz w:val="18"/>
                <w:szCs w:val="18"/>
              </w:rPr>
              <w:t>b）每层应在醒目位置设置消防疏散指示图；</w:t>
            </w:r>
          </w:p>
          <w:p w14:paraId="3C7E25FD">
            <w:pPr>
              <w:pStyle w:val="36"/>
              <w:adjustRightInd w:val="0"/>
              <w:snapToGrid w:val="0"/>
              <w:ind w:firstLine="0" w:firstLineChars="0"/>
              <w:jc w:val="left"/>
              <w:rPr>
                <w:rFonts w:hint="eastAsia" w:hAnsi="宋体"/>
                <w:sz w:val="18"/>
                <w:szCs w:val="18"/>
              </w:rPr>
            </w:pPr>
            <w:r>
              <w:rPr>
                <w:rFonts w:hint="eastAsia" w:hAnsi="宋体"/>
                <w:sz w:val="18"/>
                <w:szCs w:val="18"/>
              </w:rPr>
              <w:t>c）除用于火灾时人员疏散的辅助疏散电梯外，其他电梯处应设置明显的标识，标示火灾时不得使用；</w:t>
            </w:r>
          </w:p>
          <w:p w14:paraId="143FBDD3">
            <w:pPr>
              <w:pStyle w:val="36"/>
              <w:adjustRightInd w:val="0"/>
              <w:snapToGrid w:val="0"/>
              <w:ind w:firstLine="0" w:firstLineChars="0"/>
              <w:jc w:val="left"/>
              <w:rPr>
                <w:rFonts w:hint="eastAsia" w:hAnsi="宋体"/>
                <w:sz w:val="18"/>
                <w:szCs w:val="18"/>
              </w:rPr>
            </w:pPr>
            <w:r>
              <w:rPr>
                <w:rFonts w:hint="eastAsia" w:hAnsi="宋体"/>
                <w:sz w:val="18"/>
                <w:szCs w:val="18"/>
                <w:lang w:val="en-US" w:eastAsia="zh-CN"/>
              </w:rPr>
              <w:t>d</w:t>
            </w:r>
            <w:r>
              <w:rPr>
                <w:rFonts w:hint="eastAsia" w:hAnsi="宋体"/>
                <w:sz w:val="18"/>
                <w:szCs w:val="18"/>
              </w:rPr>
              <w:t>）安全出口、疏散出口或通向安全区域、避难区域的门为单向时，应在门扇上设置“推”“拉”标志。</w:t>
            </w:r>
          </w:p>
        </w:tc>
        <w:tc>
          <w:tcPr>
            <w:tcW w:w="738" w:type="dxa"/>
            <w:noWrap w:val="0"/>
            <w:vAlign w:val="center"/>
          </w:tcPr>
          <w:p w14:paraId="3DD0FA8B">
            <w:pPr>
              <w:adjustRightInd w:val="0"/>
              <w:snapToGrid w:val="0"/>
              <w:jc w:val="center"/>
              <w:rPr>
                <w:rFonts w:ascii="宋体" w:hAnsi="宋体" w:cs="宋体"/>
                <w:sz w:val="18"/>
                <w:szCs w:val="18"/>
              </w:rPr>
            </w:pPr>
          </w:p>
        </w:tc>
        <w:tc>
          <w:tcPr>
            <w:tcW w:w="633" w:type="dxa"/>
            <w:noWrap w:val="0"/>
            <w:vAlign w:val="center"/>
          </w:tcPr>
          <w:p w14:paraId="2B8D800B">
            <w:pPr>
              <w:adjustRightInd w:val="0"/>
              <w:snapToGrid w:val="0"/>
              <w:ind w:right="34"/>
              <w:jc w:val="center"/>
              <w:rPr>
                <w:rFonts w:ascii="宋体" w:hAnsi="宋体"/>
                <w:sz w:val="18"/>
                <w:szCs w:val="18"/>
              </w:rPr>
            </w:pPr>
          </w:p>
        </w:tc>
        <w:tc>
          <w:tcPr>
            <w:tcW w:w="633" w:type="dxa"/>
            <w:noWrap w:val="0"/>
            <w:vAlign w:val="center"/>
          </w:tcPr>
          <w:p w14:paraId="113F6B42">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val="en-US" w:eastAsia="zh-CN"/>
              </w:rPr>
              <w:t>2</w:t>
            </w:r>
          </w:p>
        </w:tc>
        <w:tc>
          <w:tcPr>
            <w:tcW w:w="2803" w:type="dxa"/>
            <w:tcBorders>
              <w:right w:val="single" w:color="auto" w:sz="4" w:space="0"/>
            </w:tcBorders>
            <w:noWrap w:val="0"/>
            <w:vAlign w:val="center"/>
          </w:tcPr>
          <w:p w14:paraId="45D43A33">
            <w:pPr>
              <w:adjustRightInd w:val="0"/>
              <w:snapToGrid w:val="0"/>
              <w:ind w:right="34"/>
              <w:rPr>
                <w:rFonts w:hint="eastAsia" w:ascii="宋体" w:hAnsi="宋体" w:cs="宋体"/>
                <w:sz w:val="18"/>
                <w:szCs w:val="18"/>
              </w:rPr>
            </w:pPr>
            <w:r>
              <w:rPr>
                <w:rFonts w:hint="eastAsia" w:ascii="宋体" w:hAnsi="宋体" w:cs="宋体"/>
                <w:sz w:val="18"/>
                <w:szCs w:val="18"/>
              </w:rPr>
              <w:t>一处不符合扣1分。</w:t>
            </w:r>
          </w:p>
        </w:tc>
        <w:tc>
          <w:tcPr>
            <w:tcW w:w="679" w:type="dxa"/>
            <w:tcBorders>
              <w:left w:val="single" w:color="auto" w:sz="4" w:space="0"/>
            </w:tcBorders>
            <w:noWrap w:val="0"/>
            <w:vAlign w:val="top"/>
          </w:tcPr>
          <w:p w14:paraId="409D0A81">
            <w:pPr>
              <w:adjustRightInd w:val="0"/>
              <w:snapToGrid w:val="0"/>
              <w:rPr>
                <w:rFonts w:ascii="宋体" w:hAnsi="宋体" w:cs="宋体"/>
                <w:sz w:val="18"/>
                <w:szCs w:val="18"/>
              </w:rPr>
            </w:pPr>
          </w:p>
        </w:tc>
        <w:tc>
          <w:tcPr>
            <w:tcW w:w="1084" w:type="dxa"/>
            <w:noWrap w:val="0"/>
            <w:vAlign w:val="top"/>
          </w:tcPr>
          <w:p w14:paraId="3FACF6FF">
            <w:pPr>
              <w:adjustRightInd w:val="0"/>
              <w:snapToGrid w:val="0"/>
              <w:rPr>
                <w:rFonts w:ascii="宋体" w:hAnsi="宋体" w:cs="宋体"/>
                <w:sz w:val="18"/>
                <w:szCs w:val="18"/>
              </w:rPr>
            </w:pPr>
          </w:p>
        </w:tc>
        <w:tc>
          <w:tcPr>
            <w:tcW w:w="1179" w:type="dxa"/>
            <w:noWrap w:val="0"/>
            <w:vAlign w:val="center"/>
          </w:tcPr>
          <w:p w14:paraId="79F331C0">
            <w:pPr>
              <w:adjustRightInd w:val="0"/>
              <w:snapToGrid w:val="0"/>
              <w:ind w:right="34"/>
              <w:jc w:val="center"/>
              <w:rPr>
                <w:rFonts w:ascii="宋体" w:hAnsi="宋体"/>
                <w:sz w:val="18"/>
                <w:szCs w:val="18"/>
              </w:rPr>
            </w:pPr>
            <w:r>
              <w:rPr>
                <w:rFonts w:hint="eastAsia" w:ascii="宋体" w:hAnsi="宋体"/>
                <w:sz w:val="18"/>
                <w:szCs w:val="18"/>
                <w:lang w:eastAsia="zh-CN"/>
              </w:rPr>
              <w:t>4.7</w:t>
            </w:r>
            <w:r>
              <w:rPr>
                <w:rFonts w:hint="eastAsia" w:ascii="宋体" w:hAnsi="宋体"/>
                <w:sz w:val="18"/>
                <w:szCs w:val="18"/>
              </w:rPr>
              <w:t>.1</w:t>
            </w:r>
          </w:p>
        </w:tc>
      </w:tr>
    </w:tbl>
    <w:p w14:paraId="30093830">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1"/>
        <w:gridCol w:w="6593"/>
        <w:gridCol w:w="734"/>
        <w:gridCol w:w="629"/>
        <w:gridCol w:w="629"/>
        <w:gridCol w:w="2788"/>
        <w:gridCol w:w="676"/>
        <w:gridCol w:w="629"/>
        <w:gridCol w:w="1704"/>
      </w:tblGrid>
      <w:tr w14:paraId="13D39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230B86B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593" w:type="dxa"/>
            <w:noWrap w:val="0"/>
            <w:vAlign w:val="center"/>
          </w:tcPr>
          <w:p w14:paraId="099DE29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4" w:type="dxa"/>
            <w:noWrap w:val="0"/>
            <w:vAlign w:val="center"/>
          </w:tcPr>
          <w:p w14:paraId="272720A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29" w:type="dxa"/>
            <w:noWrap w:val="0"/>
            <w:vAlign w:val="top"/>
          </w:tcPr>
          <w:p w14:paraId="0C6B225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29" w:type="dxa"/>
            <w:noWrap w:val="0"/>
            <w:vAlign w:val="top"/>
          </w:tcPr>
          <w:p w14:paraId="07AEFB38">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788" w:type="dxa"/>
            <w:tcBorders>
              <w:right w:val="single" w:color="auto" w:sz="4" w:space="0"/>
            </w:tcBorders>
            <w:noWrap w:val="0"/>
            <w:vAlign w:val="center"/>
          </w:tcPr>
          <w:p w14:paraId="08C089E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6" w:type="dxa"/>
            <w:tcBorders>
              <w:left w:val="single" w:color="auto" w:sz="4" w:space="0"/>
            </w:tcBorders>
            <w:noWrap w:val="0"/>
            <w:vAlign w:val="center"/>
          </w:tcPr>
          <w:p w14:paraId="7C9182CB">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629" w:type="dxa"/>
            <w:noWrap w:val="0"/>
            <w:vAlign w:val="center"/>
          </w:tcPr>
          <w:p w14:paraId="5AD0D6D3">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704" w:type="dxa"/>
            <w:noWrap w:val="0"/>
            <w:vAlign w:val="center"/>
          </w:tcPr>
          <w:p w14:paraId="35D680AB">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5D392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971" w:type="dxa"/>
            <w:noWrap w:val="0"/>
            <w:vAlign w:val="center"/>
          </w:tcPr>
          <w:p w14:paraId="1B65D930">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3</w:t>
            </w:r>
            <w:r>
              <w:rPr>
                <w:rFonts w:hint="eastAsia" w:ascii="宋体" w:hAnsi="宋体"/>
                <w:sz w:val="18"/>
                <w:szCs w:val="18"/>
              </w:rPr>
              <w:t>.</w:t>
            </w:r>
            <w:r>
              <w:rPr>
                <w:rFonts w:hint="eastAsia" w:ascii="宋体" w:hAnsi="宋体"/>
                <w:sz w:val="18"/>
                <w:szCs w:val="18"/>
                <w:lang w:val="en-US" w:eastAsia="zh-CN"/>
              </w:rPr>
              <w:t>3</w:t>
            </w:r>
          </w:p>
        </w:tc>
        <w:tc>
          <w:tcPr>
            <w:tcW w:w="6593" w:type="dxa"/>
            <w:noWrap w:val="0"/>
            <w:vAlign w:val="top"/>
          </w:tcPr>
          <w:p w14:paraId="62E38104">
            <w:pPr>
              <w:adjustRightInd w:val="0"/>
              <w:snapToGrid w:val="0"/>
              <w:rPr>
                <w:rFonts w:ascii="宋体" w:hAnsi="宋体"/>
                <w:sz w:val="18"/>
                <w:szCs w:val="18"/>
              </w:rPr>
            </w:pPr>
            <w:r>
              <w:rPr>
                <w:rFonts w:hint="eastAsia" w:ascii="宋体" w:hAnsi="宋体"/>
                <w:sz w:val="18"/>
                <w:szCs w:val="18"/>
              </w:rPr>
              <w:t>消防安全疏散标志管理和维护应符合下列要求：</w:t>
            </w:r>
          </w:p>
          <w:p w14:paraId="7381A19D">
            <w:pPr>
              <w:pStyle w:val="36"/>
              <w:adjustRightInd w:val="0"/>
              <w:snapToGrid w:val="0"/>
              <w:ind w:firstLine="0" w:firstLineChars="0"/>
              <w:jc w:val="left"/>
              <w:rPr>
                <w:rFonts w:hint="eastAsia" w:hAnsi="宋体"/>
                <w:sz w:val="18"/>
                <w:szCs w:val="18"/>
              </w:rPr>
            </w:pPr>
            <w:r>
              <w:rPr>
                <w:rFonts w:hint="eastAsia" w:ascii="宋体" w:hAnsi="宋体"/>
                <w:sz w:val="18"/>
                <w:szCs w:val="18"/>
              </w:rPr>
              <w:t>a）标志固定应牢固</w:t>
            </w:r>
            <w:r>
              <w:rPr>
                <w:rFonts w:hint="eastAsia" w:ascii="宋体" w:hAnsi="宋体"/>
                <w:sz w:val="18"/>
                <w:szCs w:val="18"/>
                <w:lang w:eastAsia="zh-CN"/>
              </w:rPr>
              <w:t>，</w:t>
            </w:r>
            <w:r>
              <w:rPr>
                <w:rFonts w:hint="eastAsia" w:ascii="宋体" w:hAnsi="宋体"/>
                <w:sz w:val="18"/>
                <w:szCs w:val="18"/>
                <w:lang w:val="en-US" w:eastAsia="zh-CN"/>
              </w:rPr>
              <w:t>外观完整，</w:t>
            </w:r>
            <w:r>
              <w:rPr>
                <w:rFonts w:hint="eastAsia" w:ascii="宋体" w:hAnsi="宋体"/>
                <w:sz w:val="18"/>
                <w:szCs w:val="18"/>
              </w:rPr>
              <w:t>无歪斜、无松动等；</w:t>
            </w:r>
          </w:p>
          <w:p w14:paraId="0B8C419F">
            <w:pPr>
              <w:pStyle w:val="36"/>
              <w:adjustRightInd w:val="0"/>
              <w:snapToGrid w:val="0"/>
              <w:ind w:firstLine="0" w:firstLineChars="0"/>
              <w:jc w:val="left"/>
              <w:rPr>
                <w:rFonts w:hint="eastAsia" w:hAnsi="宋体"/>
                <w:sz w:val="18"/>
                <w:szCs w:val="18"/>
              </w:rPr>
            </w:pPr>
            <w:r>
              <w:rPr>
                <w:rFonts w:hint="eastAsia" w:hAnsi="宋体"/>
                <w:sz w:val="18"/>
                <w:szCs w:val="18"/>
              </w:rPr>
              <w:t>b）疏散标志不应被遮挡</w:t>
            </w:r>
            <w:r>
              <w:rPr>
                <w:rFonts w:hint="eastAsia" w:hAnsi="宋体"/>
                <w:sz w:val="18"/>
                <w:szCs w:val="18"/>
                <w:lang w:eastAsia="zh-CN"/>
              </w:rPr>
              <w:t>，</w:t>
            </w:r>
            <w:r>
              <w:rPr>
                <w:rFonts w:hint="eastAsia" w:hAnsi="宋体"/>
                <w:sz w:val="18"/>
                <w:szCs w:val="18"/>
              </w:rPr>
              <w:t>不应影响正常通行；</w:t>
            </w:r>
          </w:p>
          <w:p w14:paraId="2D728D96">
            <w:pPr>
              <w:pStyle w:val="36"/>
              <w:adjustRightInd w:val="0"/>
              <w:snapToGrid w:val="0"/>
              <w:ind w:firstLine="0" w:firstLineChars="0"/>
              <w:jc w:val="left"/>
              <w:rPr>
                <w:rFonts w:hint="eastAsia" w:ascii="宋体" w:hAnsi="宋体" w:eastAsia="宋体" w:cs="Times New Roman"/>
                <w:kern w:val="2"/>
                <w:sz w:val="18"/>
                <w:szCs w:val="18"/>
                <w:lang w:val="en-US" w:eastAsia="zh-CN" w:bidi="ar-SA"/>
              </w:rPr>
            </w:pPr>
            <w:r>
              <w:rPr>
                <w:rFonts w:hint="eastAsia" w:hAnsi="宋体"/>
                <w:sz w:val="18"/>
                <w:szCs w:val="18"/>
              </w:rPr>
              <w:t>c）消防安全疏散指示牌及其照明灯具等应至少半年检查一次。</w:t>
            </w:r>
          </w:p>
        </w:tc>
        <w:tc>
          <w:tcPr>
            <w:tcW w:w="734" w:type="dxa"/>
            <w:noWrap w:val="0"/>
            <w:vAlign w:val="center"/>
          </w:tcPr>
          <w:p w14:paraId="26EA8F21">
            <w:pPr>
              <w:adjustRightInd w:val="0"/>
              <w:snapToGrid w:val="0"/>
              <w:jc w:val="center"/>
              <w:rPr>
                <w:rFonts w:ascii="宋体" w:hAnsi="宋体" w:eastAsia="宋体" w:cs="宋体"/>
                <w:kern w:val="2"/>
                <w:sz w:val="18"/>
                <w:szCs w:val="18"/>
                <w:lang w:val="en-US" w:eastAsia="zh-CN" w:bidi="ar-SA"/>
              </w:rPr>
            </w:pPr>
          </w:p>
        </w:tc>
        <w:tc>
          <w:tcPr>
            <w:tcW w:w="629" w:type="dxa"/>
            <w:noWrap w:val="0"/>
            <w:vAlign w:val="center"/>
          </w:tcPr>
          <w:p w14:paraId="47A619CC">
            <w:pPr>
              <w:adjustRightInd w:val="0"/>
              <w:snapToGrid w:val="0"/>
              <w:ind w:right="34" w:rightChars="0"/>
              <w:jc w:val="center"/>
              <w:rPr>
                <w:rFonts w:hint="default" w:ascii="宋体" w:hAnsi="宋体" w:eastAsia="宋体" w:cs="Times New Roman"/>
                <w:kern w:val="2"/>
                <w:sz w:val="18"/>
                <w:szCs w:val="18"/>
                <w:lang w:val="en-US" w:eastAsia="zh-CN" w:bidi="ar-SA"/>
              </w:rPr>
            </w:pPr>
          </w:p>
        </w:tc>
        <w:tc>
          <w:tcPr>
            <w:tcW w:w="629" w:type="dxa"/>
            <w:noWrap w:val="0"/>
            <w:vAlign w:val="center"/>
          </w:tcPr>
          <w:p w14:paraId="1EB8EDB4">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2</w:t>
            </w:r>
          </w:p>
        </w:tc>
        <w:tc>
          <w:tcPr>
            <w:tcW w:w="2788" w:type="dxa"/>
            <w:tcBorders>
              <w:right w:val="single" w:color="auto" w:sz="4" w:space="0"/>
            </w:tcBorders>
            <w:noWrap w:val="0"/>
            <w:vAlign w:val="center"/>
          </w:tcPr>
          <w:p w14:paraId="603E2067">
            <w:pPr>
              <w:adjustRightInd w:val="0"/>
              <w:snapToGrid w:val="0"/>
              <w:ind w:right="34" w:rightChars="0"/>
              <w:rPr>
                <w:rFonts w:hint="eastAsia" w:ascii="宋体" w:hAnsi="宋体" w:eastAsia="宋体" w:cs="宋体"/>
                <w:kern w:val="2"/>
                <w:sz w:val="18"/>
                <w:szCs w:val="18"/>
                <w:lang w:val="en-US" w:eastAsia="zh-CN" w:bidi="ar-SA"/>
              </w:rPr>
            </w:pPr>
            <w:r>
              <w:rPr>
                <w:rFonts w:hint="eastAsia" w:ascii="宋体" w:hAnsi="宋体" w:cs="宋体"/>
                <w:sz w:val="18"/>
                <w:szCs w:val="18"/>
              </w:rPr>
              <w:t>一处不符合扣</w:t>
            </w:r>
            <w:r>
              <w:rPr>
                <w:rFonts w:hint="eastAsia" w:ascii="宋体" w:hAnsi="宋体" w:cs="宋体"/>
                <w:sz w:val="18"/>
                <w:szCs w:val="18"/>
                <w:lang w:val="en-US" w:eastAsia="zh-CN"/>
              </w:rPr>
              <w:t>1</w:t>
            </w:r>
            <w:r>
              <w:rPr>
                <w:rFonts w:hint="eastAsia" w:ascii="宋体" w:hAnsi="宋体" w:cs="宋体"/>
                <w:sz w:val="18"/>
                <w:szCs w:val="18"/>
              </w:rPr>
              <w:t>分。</w:t>
            </w:r>
          </w:p>
        </w:tc>
        <w:tc>
          <w:tcPr>
            <w:tcW w:w="676" w:type="dxa"/>
            <w:tcBorders>
              <w:left w:val="single" w:color="auto" w:sz="4" w:space="0"/>
            </w:tcBorders>
            <w:noWrap w:val="0"/>
            <w:vAlign w:val="top"/>
          </w:tcPr>
          <w:p w14:paraId="2238E9F6">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2D2532B2">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18280BB1">
            <w:pPr>
              <w:adjustRightInd w:val="0"/>
              <w:snapToGrid w:val="0"/>
              <w:ind w:right="34" w:rightChars="0"/>
              <w:jc w:val="center"/>
              <w:rPr>
                <w:rFonts w:hint="default"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.1</w:t>
            </w:r>
          </w:p>
        </w:tc>
      </w:tr>
      <w:tr w14:paraId="4D214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2B843D2C">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4</w:t>
            </w:r>
          </w:p>
        </w:tc>
        <w:tc>
          <w:tcPr>
            <w:tcW w:w="6593" w:type="dxa"/>
            <w:noWrap w:val="0"/>
            <w:vAlign w:val="center"/>
          </w:tcPr>
          <w:p w14:paraId="45EA4715">
            <w:pPr>
              <w:pStyle w:val="36"/>
              <w:adjustRightInd w:val="0"/>
              <w:snapToGrid w:val="0"/>
              <w:ind w:firstLine="0" w:firstLineChars="0"/>
              <w:jc w:val="left"/>
              <w:rPr>
                <w:rFonts w:hint="eastAsia" w:ascii="宋体" w:hAnsi="宋体" w:eastAsia="宋体" w:cs="Times New Roman"/>
                <w:sz w:val="18"/>
                <w:szCs w:val="18"/>
                <w:lang w:val="en-US" w:eastAsia="zh-CN" w:bidi="ar-SA"/>
              </w:rPr>
            </w:pPr>
            <w:r>
              <w:rPr>
                <w:rFonts w:hint="eastAsia" w:hAnsi="宋体" w:cs="宋体"/>
                <w:snapToGrid w:val="0"/>
                <w:kern w:val="21"/>
                <w:sz w:val="18"/>
                <w:szCs w:val="18"/>
              </w:rPr>
              <w:t>消防</w:t>
            </w:r>
            <w:r>
              <w:rPr>
                <w:rFonts w:hint="eastAsia" w:hAnsi="宋体" w:cs="宋体"/>
                <w:snapToGrid w:val="0"/>
                <w:kern w:val="21"/>
                <w:sz w:val="18"/>
                <w:szCs w:val="18"/>
                <w:lang w:val="en-US" w:eastAsia="zh-CN"/>
              </w:rPr>
              <w:t>电源</w:t>
            </w:r>
          </w:p>
        </w:tc>
        <w:tc>
          <w:tcPr>
            <w:tcW w:w="734" w:type="dxa"/>
            <w:noWrap w:val="0"/>
            <w:vAlign w:val="center"/>
          </w:tcPr>
          <w:p w14:paraId="6618D653">
            <w:pPr>
              <w:adjustRightInd w:val="0"/>
              <w:snapToGrid w:val="0"/>
              <w:rPr>
                <w:rFonts w:ascii="宋体" w:hAnsi="宋体" w:eastAsia="宋体" w:cs="宋体"/>
                <w:kern w:val="2"/>
                <w:sz w:val="18"/>
                <w:szCs w:val="18"/>
                <w:lang w:val="en-US" w:eastAsia="zh-CN" w:bidi="ar-SA"/>
              </w:rPr>
            </w:pPr>
          </w:p>
        </w:tc>
        <w:tc>
          <w:tcPr>
            <w:tcW w:w="629" w:type="dxa"/>
            <w:noWrap w:val="0"/>
            <w:vAlign w:val="center"/>
          </w:tcPr>
          <w:p w14:paraId="5C55A535">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15</w:t>
            </w:r>
          </w:p>
        </w:tc>
        <w:tc>
          <w:tcPr>
            <w:tcW w:w="629" w:type="dxa"/>
            <w:noWrap w:val="0"/>
            <w:vAlign w:val="top"/>
          </w:tcPr>
          <w:p w14:paraId="280DBB58">
            <w:pPr>
              <w:adjustRightInd w:val="0"/>
              <w:snapToGrid w:val="0"/>
              <w:ind w:right="34" w:rightChars="0"/>
              <w:rPr>
                <w:rFonts w:hint="eastAsia" w:ascii="宋体" w:hAnsi="宋体" w:eastAsia="宋体" w:cs="Times New Roman"/>
                <w:kern w:val="2"/>
                <w:sz w:val="18"/>
                <w:szCs w:val="18"/>
                <w:lang w:val="en-US" w:eastAsia="zh-CN" w:bidi="ar-SA"/>
              </w:rPr>
            </w:pPr>
          </w:p>
        </w:tc>
        <w:tc>
          <w:tcPr>
            <w:tcW w:w="2788" w:type="dxa"/>
            <w:tcBorders>
              <w:right w:val="single" w:color="auto" w:sz="4" w:space="0"/>
            </w:tcBorders>
            <w:noWrap w:val="0"/>
            <w:vAlign w:val="top"/>
          </w:tcPr>
          <w:p w14:paraId="511EFC36">
            <w:pPr>
              <w:rPr>
                <w:rFonts w:hint="eastAsia" w:ascii="宋体" w:hAnsi="宋体" w:eastAsia="宋体" w:cs="Times New Roman"/>
                <w:kern w:val="2"/>
                <w:sz w:val="18"/>
                <w:szCs w:val="18"/>
                <w:lang w:val="en-US" w:eastAsia="zh-CN" w:bidi="ar-SA"/>
              </w:rPr>
            </w:pPr>
          </w:p>
        </w:tc>
        <w:tc>
          <w:tcPr>
            <w:tcW w:w="676" w:type="dxa"/>
            <w:tcBorders>
              <w:left w:val="single" w:color="auto" w:sz="4" w:space="0"/>
            </w:tcBorders>
            <w:noWrap w:val="0"/>
            <w:vAlign w:val="top"/>
          </w:tcPr>
          <w:p w14:paraId="64AF5D7A">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04F672B3">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2C91DE53">
            <w:pPr>
              <w:adjustRightInd w:val="0"/>
              <w:snapToGrid w:val="0"/>
              <w:ind w:right="34" w:rightChars="0"/>
              <w:jc w:val="center"/>
              <w:rPr>
                <w:rFonts w:ascii="宋体" w:hAnsi="宋体" w:eastAsia="宋体" w:cs="宋体"/>
                <w:kern w:val="0"/>
                <w:sz w:val="18"/>
                <w:szCs w:val="18"/>
                <w:lang w:val="en-US" w:eastAsia="zh-CN" w:bidi="ar-SA"/>
              </w:rPr>
            </w:pPr>
            <w:r>
              <w:rPr>
                <w:rFonts w:hint="eastAsia" w:ascii="宋体" w:hAnsi="宋体" w:cs="宋体"/>
                <w:kern w:val="0"/>
                <w:sz w:val="18"/>
                <w:szCs w:val="18"/>
                <w:lang w:val="en-US" w:eastAsia="zh-CN"/>
              </w:rPr>
              <w:t>4.7.4</w:t>
            </w:r>
          </w:p>
        </w:tc>
      </w:tr>
      <w:tr w14:paraId="68A6C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4" w:hRule="atLeast"/>
          <w:jc w:val="center"/>
        </w:trPr>
        <w:tc>
          <w:tcPr>
            <w:tcW w:w="971" w:type="dxa"/>
            <w:noWrap w:val="0"/>
            <w:vAlign w:val="center"/>
          </w:tcPr>
          <w:p w14:paraId="37DB51A4">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4</w:t>
            </w:r>
            <w:r>
              <w:rPr>
                <w:rFonts w:hint="eastAsia" w:ascii="宋体" w:hAnsi="宋体"/>
                <w:sz w:val="18"/>
                <w:szCs w:val="18"/>
              </w:rPr>
              <w:t>.1</w:t>
            </w:r>
          </w:p>
        </w:tc>
        <w:tc>
          <w:tcPr>
            <w:tcW w:w="6593" w:type="dxa"/>
            <w:noWrap w:val="0"/>
            <w:vAlign w:val="center"/>
          </w:tcPr>
          <w:p w14:paraId="062D117A">
            <w:pPr>
              <w:pStyle w:val="36"/>
              <w:adjustRightInd w:val="0"/>
              <w:snapToGrid w:val="0"/>
              <w:ind w:firstLine="0" w:firstLineChars="0"/>
              <w:rPr>
                <w:rFonts w:hAnsi="宋体"/>
                <w:sz w:val="18"/>
                <w:szCs w:val="18"/>
              </w:rPr>
            </w:pPr>
            <w:r>
              <w:rPr>
                <w:rFonts w:hint="eastAsia" w:hAnsi="宋体"/>
                <w:sz w:val="18"/>
                <w:szCs w:val="18"/>
              </w:rPr>
              <w:t>消防供电系统应符合下列要求：</w:t>
            </w:r>
          </w:p>
          <w:p w14:paraId="14825047">
            <w:pPr>
              <w:pStyle w:val="36"/>
              <w:adjustRightInd w:val="0"/>
              <w:snapToGrid w:val="0"/>
              <w:ind w:firstLine="0" w:firstLineChars="0"/>
              <w:rPr>
                <w:rFonts w:hint="default" w:hAnsi="宋体" w:eastAsia="宋体"/>
                <w:sz w:val="18"/>
                <w:szCs w:val="18"/>
                <w:lang w:val="en-US" w:eastAsia="zh-CN"/>
              </w:rPr>
            </w:pPr>
            <w:r>
              <w:rPr>
                <w:rFonts w:hint="eastAsia" w:hAnsi="宋体"/>
                <w:sz w:val="18"/>
                <w:szCs w:val="18"/>
              </w:rPr>
              <w:t>a）消防用电设备应采用专用的供电回路；</w:t>
            </w:r>
          </w:p>
          <w:p w14:paraId="529F3390">
            <w:pPr>
              <w:pStyle w:val="36"/>
              <w:adjustRightInd w:val="0"/>
              <w:snapToGrid w:val="0"/>
              <w:ind w:firstLine="0" w:firstLineChars="0"/>
              <w:rPr>
                <w:rFonts w:hAnsi="宋体"/>
                <w:sz w:val="18"/>
                <w:szCs w:val="18"/>
              </w:rPr>
            </w:pPr>
            <w:r>
              <w:rPr>
                <w:rFonts w:hint="eastAsia" w:hAnsi="宋体"/>
                <w:sz w:val="18"/>
                <w:szCs w:val="18"/>
              </w:rPr>
              <w:t>b）</w:t>
            </w:r>
            <w:r>
              <w:rPr>
                <w:rFonts w:hAnsi="宋体"/>
                <w:sz w:val="18"/>
                <w:szCs w:val="18"/>
              </w:rPr>
              <w:t>消防控制室、消防水泵房的消防用电设备及消防电梯等的供电，应在其配电线路的最末一级配电箱处设置自动切换装置</w:t>
            </w:r>
            <w:r>
              <w:rPr>
                <w:rFonts w:hint="eastAsia" w:hAnsi="宋体"/>
                <w:sz w:val="18"/>
                <w:szCs w:val="18"/>
              </w:rPr>
              <w:t>；</w:t>
            </w:r>
          </w:p>
          <w:p w14:paraId="67C38234">
            <w:pPr>
              <w:adjustRightInd w:val="0"/>
              <w:snapToGrid w:val="0"/>
              <w:jc w:val="left"/>
              <w:rPr>
                <w:rFonts w:hint="eastAsia" w:ascii="宋体" w:hAnsi="宋体"/>
                <w:sz w:val="18"/>
                <w:szCs w:val="18"/>
                <w:lang w:eastAsia="zh-CN"/>
              </w:rPr>
            </w:pPr>
            <w:r>
              <w:rPr>
                <w:rFonts w:hint="eastAsia" w:ascii="宋体" w:hAnsi="宋体"/>
                <w:sz w:val="18"/>
                <w:szCs w:val="18"/>
              </w:rPr>
              <w:t>c）防烟和排烟风机房的消防用电设备的供电</w:t>
            </w:r>
            <w:r>
              <w:rPr>
                <w:rFonts w:hint="eastAsia" w:ascii="宋体" w:hAnsi="宋体"/>
                <w:sz w:val="18"/>
                <w:szCs w:val="18"/>
                <w:lang w:eastAsia="zh-CN"/>
              </w:rPr>
              <w:t>，</w:t>
            </w:r>
            <w:r>
              <w:rPr>
                <w:rFonts w:hint="eastAsia" w:ascii="宋体" w:hAnsi="宋体"/>
                <w:sz w:val="18"/>
                <w:szCs w:val="18"/>
              </w:rPr>
              <w:t>应在其配电线路的最末一级配电箱内或所在防火分区的配电箱内设置自动切换装置</w:t>
            </w:r>
            <w:r>
              <w:rPr>
                <w:rFonts w:hint="eastAsia" w:ascii="宋体" w:hAnsi="宋体"/>
                <w:sz w:val="18"/>
                <w:szCs w:val="18"/>
                <w:lang w:eastAsia="zh-CN"/>
              </w:rPr>
              <w:t>；</w:t>
            </w:r>
          </w:p>
          <w:p w14:paraId="016BFE7F">
            <w:pPr>
              <w:adjustRightInd w:val="0"/>
              <w:snapToGrid w:val="0"/>
              <w:jc w:val="left"/>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）防火卷帘、电动排烟窗</w:t>
            </w:r>
            <w:r>
              <w:rPr>
                <w:rFonts w:hint="eastAsia" w:ascii="宋体" w:hAnsi="宋体"/>
                <w:sz w:val="18"/>
                <w:szCs w:val="18"/>
                <w:lang w:eastAsia="zh-CN"/>
              </w:rPr>
              <w:t>、</w:t>
            </w:r>
            <w:r>
              <w:rPr>
                <w:rFonts w:hint="eastAsia" w:ascii="宋体" w:hAnsi="宋体"/>
                <w:sz w:val="18"/>
                <w:szCs w:val="18"/>
              </w:rPr>
              <w:t>消防潜污泵、消防应急照明和疏散指示标志等的供电，应在所在防火分区的配电箱内设置自动切换装置</w:t>
            </w:r>
            <w:r>
              <w:rPr>
                <w:rFonts w:hint="eastAsia" w:ascii="宋体" w:hAnsi="宋体"/>
                <w:sz w:val="18"/>
                <w:szCs w:val="18"/>
                <w:lang w:eastAsia="zh-CN"/>
              </w:rPr>
              <w:t>；</w:t>
            </w:r>
          </w:p>
          <w:p w14:paraId="3C65FD94">
            <w:pPr>
              <w:pStyle w:val="36"/>
              <w:adjustRightInd w:val="0"/>
              <w:snapToGrid w:val="0"/>
              <w:ind w:firstLine="0" w:firstLineChars="0"/>
              <w:jc w:val="left"/>
              <w:rPr>
                <w:rFonts w:hint="eastAsia" w:hAnsi="宋体" w:cs="宋体"/>
                <w:snapToGrid w:val="0"/>
                <w:kern w:val="21"/>
                <w:sz w:val="18"/>
                <w:szCs w:val="18"/>
              </w:rPr>
            </w:pPr>
            <w:r>
              <w:rPr>
                <w:rFonts w:hint="eastAsia" w:ascii="宋体" w:hAnsi="宋体"/>
                <w:sz w:val="18"/>
                <w:szCs w:val="18"/>
                <w:lang w:val="en-US" w:eastAsia="zh-CN"/>
              </w:rPr>
              <w:t>e</w:t>
            </w:r>
            <w:r>
              <w:rPr>
                <w:rFonts w:hint="eastAsia" w:ascii="宋体" w:hAnsi="宋体"/>
                <w:sz w:val="18"/>
                <w:szCs w:val="18"/>
              </w:rPr>
              <w:t>）</w:t>
            </w:r>
            <w:r>
              <w:rPr>
                <w:rFonts w:ascii="宋体" w:hAnsi="宋体"/>
                <w:sz w:val="18"/>
                <w:szCs w:val="18"/>
              </w:rPr>
              <w:t>按一、二级负荷供电的消防设备，其配电箱应独立设置；按三级负荷供电的消防设备，其配电箱宜独立设置。</w:t>
            </w:r>
            <w:r>
              <w:rPr>
                <w:rFonts w:hint="eastAsia" w:ascii="宋体" w:hAnsi="宋体"/>
                <w:sz w:val="18"/>
                <w:szCs w:val="18"/>
              </w:rPr>
              <w:t>消防配电设备应设置明显标志。</w:t>
            </w:r>
          </w:p>
        </w:tc>
        <w:tc>
          <w:tcPr>
            <w:tcW w:w="734" w:type="dxa"/>
            <w:noWrap w:val="0"/>
            <w:vAlign w:val="center"/>
          </w:tcPr>
          <w:p w14:paraId="229BF899">
            <w:pPr>
              <w:adjustRightInd w:val="0"/>
              <w:snapToGrid w:val="0"/>
              <w:rPr>
                <w:rFonts w:ascii="宋体" w:hAnsi="宋体" w:cs="宋体"/>
                <w:sz w:val="18"/>
                <w:szCs w:val="18"/>
              </w:rPr>
            </w:pPr>
          </w:p>
        </w:tc>
        <w:tc>
          <w:tcPr>
            <w:tcW w:w="629" w:type="dxa"/>
            <w:noWrap w:val="0"/>
            <w:vAlign w:val="center"/>
          </w:tcPr>
          <w:p w14:paraId="73064F47">
            <w:pPr>
              <w:adjustRightInd w:val="0"/>
              <w:snapToGrid w:val="0"/>
              <w:ind w:right="34"/>
              <w:jc w:val="center"/>
              <w:rPr>
                <w:rFonts w:hint="default" w:ascii="宋体" w:hAnsi="宋体"/>
                <w:sz w:val="18"/>
                <w:szCs w:val="18"/>
                <w:lang w:val="en-US"/>
              </w:rPr>
            </w:pPr>
          </w:p>
        </w:tc>
        <w:tc>
          <w:tcPr>
            <w:tcW w:w="629" w:type="dxa"/>
            <w:noWrap w:val="0"/>
            <w:vAlign w:val="center"/>
          </w:tcPr>
          <w:p w14:paraId="50DAB737">
            <w:pPr>
              <w:adjustRightInd w:val="0"/>
              <w:snapToGrid w:val="0"/>
              <w:ind w:right="34"/>
              <w:jc w:val="center"/>
              <w:rPr>
                <w:rFonts w:hint="default" w:ascii="宋体" w:hAnsi="宋体" w:eastAsia="宋体"/>
                <w:sz w:val="18"/>
                <w:szCs w:val="18"/>
                <w:lang w:val="en-US" w:eastAsia="zh-CN"/>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1533377D">
            <w:pPr>
              <w:snapToGrid w:val="0"/>
              <w:rPr>
                <w:rFonts w:hint="eastAsia" w:ascii="宋体" w:hAnsi="宋体"/>
                <w:kern w:val="0"/>
                <w:sz w:val="18"/>
                <w:szCs w:val="18"/>
                <w:lang w:val="en-US" w:eastAsia="zh-CN"/>
              </w:rPr>
            </w:pPr>
            <w:r>
              <w:rPr>
                <w:rFonts w:hint="eastAsia" w:ascii="宋体" w:hAnsi="宋体"/>
                <w:kern w:val="0"/>
                <w:sz w:val="18"/>
                <w:szCs w:val="18"/>
                <w:lang w:val="en-US" w:eastAsia="zh-CN"/>
              </w:rPr>
              <w:t>1）未采用专用的供电回路的，不得分；</w:t>
            </w:r>
          </w:p>
          <w:p w14:paraId="1EF9128B">
            <w:pPr>
              <w:snapToGrid w:val="0"/>
              <w:rPr>
                <w:rFonts w:hint="default" w:ascii="宋体" w:hAnsi="宋体"/>
                <w:sz w:val="18"/>
                <w:szCs w:val="18"/>
              </w:rPr>
            </w:pPr>
            <w:r>
              <w:rPr>
                <w:rFonts w:hint="eastAsia" w:ascii="宋体" w:hAnsi="宋体"/>
                <w:kern w:val="0"/>
                <w:sz w:val="18"/>
                <w:szCs w:val="18"/>
                <w:lang w:val="en-US" w:eastAsia="zh-CN"/>
              </w:rPr>
              <w:t>2）其他</w:t>
            </w:r>
            <w:r>
              <w:rPr>
                <w:rFonts w:hint="eastAsia" w:ascii="宋体" w:hAnsi="宋体"/>
                <w:kern w:val="0"/>
                <w:sz w:val="18"/>
                <w:szCs w:val="18"/>
              </w:rPr>
              <w:t>一处</w:t>
            </w:r>
            <w:r>
              <w:rPr>
                <w:rFonts w:hint="eastAsia" w:ascii="宋体" w:hAnsi="宋体"/>
                <w:kern w:val="0"/>
                <w:sz w:val="18"/>
                <w:szCs w:val="18"/>
                <w:lang w:val="en-US" w:eastAsia="zh-CN"/>
              </w:rPr>
              <w:t>不符合</w:t>
            </w:r>
            <w:r>
              <w:rPr>
                <w:rFonts w:hint="eastAsia" w:ascii="宋体" w:hAnsi="宋体"/>
                <w:kern w:val="0"/>
                <w:sz w:val="18"/>
                <w:szCs w:val="18"/>
              </w:rPr>
              <w:t>，</w:t>
            </w:r>
            <w:r>
              <w:rPr>
                <w:rFonts w:hint="eastAsia" w:ascii="宋体" w:hAnsi="宋体"/>
                <w:kern w:val="0"/>
                <w:sz w:val="18"/>
                <w:szCs w:val="18"/>
                <w:lang w:val="en-US" w:eastAsia="zh-CN"/>
              </w:rPr>
              <w:t>扣2分。</w:t>
            </w:r>
          </w:p>
        </w:tc>
        <w:tc>
          <w:tcPr>
            <w:tcW w:w="676" w:type="dxa"/>
            <w:tcBorders>
              <w:left w:val="single" w:color="auto" w:sz="4" w:space="0"/>
            </w:tcBorders>
            <w:noWrap w:val="0"/>
            <w:vAlign w:val="top"/>
          </w:tcPr>
          <w:p w14:paraId="7A36A856">
            <w:pPr>
              <w:adjustRightInd w:val="0"/>
              <w:snapToGrid w:val="0"/>
              <w:rPr>
                <w:rFonts w:ascii="宋体" w:hAnsi="宋体" w:cs="宋体"/>
                <w:sz w:val="18"/>
                <w:szCs w:val="18"/>
              </w:rPr>
            </w:pPr>
          </w:p>
        </w:tc>
        <w:tc>
          <w:tcPr>
            <w:tcW w:w="629" w:type="dxa"/>
            <w:noWrap w:val="0"/>
            <w:vAlign w:val="top"/>
          </w:tcPr>
          <w:p w14:paraId="64009787">
            <w:pPr>
              <w:adjustRightInd w:val="0"/>
              <w:snapToGrid w:val="0"/>
              <w:rPr>
                <w:rFonts w:ascii="宋体" w:hAnsi="宋体" w:cs="宋体"/>
                <w:sz w:val="18"/>
                <w:szCs w:val="18"/>
              </w:rPr>
            </w:pPr>
          </w:p>
        </w:tc>
        <w:tc>
          <w:tcPr>
            <w:tcW w:w="1704" w:type="dxa"/>
            <w:noWrap w:val="0"/>
            <w:vAlign w:val="center"/>
          </w:tcPr>
          <w:p w14:paraId="070FB5D6">
            <w:pPr>
              <w:adjustRightInd w:val="0"/>
              <w:snapToGrid w:val="0"/>
              <w:ind w:right="34"/>
              <w:jc w:val="center"/>
              <w:rPr>
                <w:rFonts w:ascii="宋体" w:hAnsi="宋体" w:cs="宋体"/>
                <w:kern w:val="0"/>
                <w:sz w:val="18"/>
                <w:szCs w:val="18"/>
              </w:rPr>
            </w:pPr>
            <w:r>
              <w:rPr>
                <w:rFonts w:hint="eastAsia" w:ascii="宋体" w:hAnsi="宋体" w:cs="宋体"/>
                <w:kern w:val="0"/>
                <w:sz w:val="18"/>
                <w:szCs w:val="18"/>
                <w:lang w:val="en-US" w:eastAsia="zh-CN"/>
              </w:rPr>
              <w:t>4.7.4</w:t>
            </w:r>
          </w:p>
        </w:tc>
      </w:tr>
      <w:tr w14:paraId="02667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3C8BAEC5">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4</w:t>
            </w:r>
            <w:r>
              <w:rPr>
                <w:rFonts w:hint="eastAsia" w:ascii="宋体" w:hAnsi="宋体"/>
                <w:sz w:val="18"/>
                <w:szCs w:val="18"/>
              </w:rPr>
              <w:t>.2</w:t>
            </w:r>
          </w:p>
        </w:tc>
        <w:tc>
          <w:tcPr>
            <w:tcW w:w="6593" w:type="dxa"/>
            <w:noWrap w:val="0"/>
            <w:vAlign w:val="top"/>
          </w:tcPr>
          <w:p w14:paraId="776850B2">
            <w:pPr>
              <w:pStyle w:val="36"/>
              <w:adjustRightInd w:val="0"/>
              <w:snapToGrid w:val="0"/>
              <w:ind w:firstLine="0" w:firstLineChars="0"/>
              <w:jc w:val="left"/>
              <w:rPr>
                <w:rFonts w:hint="eastAsia" w:hAnsi="宋体" w:cs="宋体"/>
                <w:snapToGrid w:val="0"/>
                <w:kern w:val="21"/>
                <w:sz w:val="18"/>
                <w:szCs w:val="18"/>
              </w:rPr>
            </w:pPr>
            <w:r>
              <w:rPr>
                <w:rFonts w:hint="eastAsia" w:hAnsi="宋体" w:cs="宋体"/>
                <w:snapToGrid w:val="0"/>
                <w:kern w:val="21"/>
                <w:sz w:val="18"/>
                <w:szCs w:val="18"/>
              </w:rPr>
              <w:t>消防应急电源设置应符合下列要求：</w:t>
            </w:r>
          </w:p>
          <w:p w14:paraId="5B1E9E24">
            <w:pPr>
              <w:pStyle w:val="36"/>
              <w:adjustRightInd w:val="0"/>
              <w:snapToGrid w:val="0"/>
              <w:ind w:firstLine="0" w:firstLineChars="0"/>
              <w:jc w:val="left"/>
              <w:rPr>
                <w:rFonts w:hint="eastAsia" w:hAnsi="宋体" w:cs="宋体"/>
                <w:snapToGrid w:val="0"/>
                <w:kern w:val="21"/>
                <w:sz w:val="18"/>
                <w:szCs w:val="18"/>
              </w:rPr>
            </w:pPr>
            <w:r>
              <w:rPr>
                <w:rFonts w:hint="eastAsia" w:hAnsi="宋体" w:cs="宋体"/>
                <w:snapToGrid w:val="0"/>
                <w:kern w:val="21"/>
                <w:sz w:val="18"/>
                <w:szCs w:val="18"/>
              </w:rPr>
              <w:t>a）安全出口、疏散楼梯(间)、疏散楼梯间的前室或合用前室、避难走道及其前室、避难层、消防专用通道、兼作人员疏散的天桥和连廊、观众厅、展览厅、多功能厅及其疏散口应设置疏散照明；</w:t>
            </w:r>
          </w:p>
          <w:p w14:paraId="4DD3965E">
            <w:pPr>
              <w:pStyle w:val="36"/>
              <w:adjustRightInd w:val="0"/>
              <w:snapToGrid w:val="0"/>
              <w:ind w:firstLine="0" w:firstLineChars="0"/>
              <w:jc w:val="left"/>
              <w:rPr>
                <w:rFonts w:hint="eastAsia" w:hAnsi="宋体" w:cs="宋体"/>
                <w:snapToGrid w:val="0"/>
                <w:kern w:val="21"/>
                <w:sz w:val="18"/>
                <w:szCs w:val="18"/>
              </w:rPr>
            </w:pPr>
            <w:r>
              <w:rPr>
                <w:rFonts w:hint="eastAsia" w:hAnsi="宋体" w:cs="宋体"/>
                <w:snapToGrid w:val="0"/>
                <w:kern w:val="21"/>
                <w:sz w:val="18"/>
                <w:szCs w:val="18"/>
              </w:rPr>
              <w:t>b）配电室、消防控制室、消防水泵房、防排烟机房、自备发电机房、防排烟机房以及发生火灾时仍需坚持工作的其它房间应设置备用照明。</w:t>
            </w:r>
          </w:p>
        </w:tc>
        <w:tc>
          <w:tcPr>
            <w:tcW w:w="734" w:type="dxa"/>
            <w:noWrap w:val="0"/>
            <w:vAlign w:val="center"/>
          </w:tcPr>
          <w:p w14:paraId="12B14DE6">
            <w:pPr>
              <w:adjustRightInd w:val="0"/>
              <w:snapToGrid w:val="0"/>
              <w:rPr>
                <w:rFonts w:ascii="宋体" w:hAnsi="宋体" w:cs="宋体"/>
                <w:sz w:val="18"/>
                <w:szCs w:val="18"/>
              </w:rPr>
            </w:pPr>
          </w:p>
        </w:tc>
        <w:tc>
          <w:tcPr>
            <w:tcW w:w="629" w:type="dxa"/>
            <w:noWrap w:val="0"/>
            <w:vAlign w:val="center"/>
          </w:tcPr>
          <w:p w14:paraId="1EA4585C">
            <w:pPr>
              <w:adjustRightInd w:val="0"/>
              <w:snapToGrid w:val="0"/>
              <w:ind w:right="34"/>
              <w:rPr>
                <w:rFonts w:hint="eastAsia" w:ascii="宋体" w:hAnsi="宋体"/>
                <w:sz w:val="18"/>
                <w:szCs w:val="18"/>
              </w:rPr>
            </w:pPr>
          </w:p>
        </w:tc>
        <w:tc>
          <w:tcPr>
            <w:tcW w:w="629" w:type="dxa"/>
            <w:noWrap w:val="0"/>
            <w:vAlign w:val="center"/>
          </w:tcPr>
          <w:p w14:paraId="39D5251E">
            <w:pPr>
              <w:adjustRightInd w:val="0"/>
              <w:snapToGrid w:val="0"/>
              <w:ind w:right="34"/>
              <w:jc w:val="center"/>
              <w:rPr>
                <w:rFonts w:hint="eastAsia" w:ascii="宋体" w:hAnsi="宋体" w:eastAsia="宋体"/>
                <w:sz w:val="18"/>
                <w:szCs w:val="18"/>
                <w:lang w:val="en-US" w:eastAsia="zh-CN"/>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6C8D51DC">
            <w:pPr>
              <w:snapToGrid w:val="0"/>
              <w:rPr>
                <w:rFonts w:hint="eastAsia" w:ascii="宋体" w:hAnsi="宋体"/>
                <w:kern w:val="0"/>
                <w:sz w:val="18"/>
                <w:szCs w:val="18"/>
                <w:lang w:val="en-US" w:eastAsia="zh-CN"/>
              </w:rPr>
            </w:pPr>
            <w:r>
              <w:rPr>
                <w:rFonts w:hint="eastAsia" w:ascii="宋体" w:hAnsi="宋体"/>
                <w:kern w:val="0"/>
                <w:sz w:val="18"/>
                <w:szCs w:val="18"/>
                <w:lang w:val="en-US" w:eastAsia="zh-CN"/>
              </w:rPr>
              <w:t>1）</w:t>
            </w:r>
            <w:r>
              <w:rPr>
                <w:rFonts w:hint="eastAsia" w:ascii="宋体" w:hAnsi="宋体"/>
                <w:kern w:val="0"/>
                <w:sz w:val="18"/>
                <w:szCs w:val="18"/>
              </w:rPr>
              <w:t>一处</w:t>
            </w:r>
            <w:r>
              <w:rPr>
                <w:rFonts w:hint="eastAsia" w:ascii="宋体" w:hAnsi="宋体"/>
                <w:kern w:val="0"/>
                <w:sz w:val="18"/>
                <w:szCs w:val="18"/>
                <w:lang w:val="en-US" w:eastAsia="zh-CN"/>
              </w:rPr>
              <w:t>未设置</w:t>
            </w:r>
            <w:r>
              <w:rPr>
                <w:rFonts w:hint="eastAsia" w:ascii="宋体" w:hAnsi="宋体"/>
                <w:kern w:val="0"/>
                <w:sz w:val="18"/>
                <w:szCs w:val="18"/>
              </w:rPr>
              <w:t>，</w:t>
            </w:r>
            <w:r>
              <w:rPr>
                <w:rFonts w:hint="eastAsia" w:ascii="宋体" w:hAnsi="宋体"/>
                <w:kern w:val="0"/>
                <w:sz w:val="18"/>
                <w:szCs w:val="18"/>
                <w:lang w:val="en-US" w:eastAsia="zh-CN"/>
              </w:rPr>
              <w:t>扣3分；</w:t>
            </w:r>
          </w:p>
          <w:p w14:paraId="45624419">
            <w:pPr>
              <w:snapToGrid w:val="0"/>
              <w:rPr>
                <w:rFonts w:hint="eastAsia" w:ascii="宋体" w:hAnsi="宋体"/>
                <w:sz w:val="18"/>
                <w:szCs w:val="18"/>
              </w:rPr>
            </w:pPr>
            <w:r>
              <w:rPr>
                <w:rFonts w:hint="eastAsia" w:ascii="宋体" w:hAnsi="宋体"/>
                <w:kern w:val="0"/>
                <w:sz w:val="18"/>
                <w:szCs w:val="18"/>
                <w:lang w:val="en-US" w:eastAsia="zh-CN"/>
              </w:rPr>
              <w:t>2）其他</w:t>
            </w:r>
            <w:r>
              <w:rPr>
                <w:rFonts w:hint="eastAsia" w:ascii="宋体" w:hAnsi="宋体"/>
                <w:kern w:val="0"/>
                <w:sz w:val="18"/>
                <w:szCs w:val="18"/>
              </w:rPr>
              <w:t>一处</w:t>
            </w:r>
            <w:r>
              <w:rPr>
                <w:rFonts w:hint="eastAsia" w:ascii="宋体" w:hAnsi="宋体"/>
                <w:kern w:val="0"/>
                <w:sz w:val="18"/>
                <w:szCs w:val="18"/>
                <w:lang w:val="en-US" w:eastAsia="zh-CN"/>
              </w:rPr>
              <w:t>不符合</w:t>
            </w:r>
            <w:r>
              <w:rPr>
                <w:rFonts w:hint="eastAsia" w:ascii="宋体" w:hAnsi="宋体"/>
                <w:kern w:val="0"/>
                <w:sz w:val="18"/>
                <w:szCs w:val="18"/>
              </w:rPr>
              <w:t>，</w:t>
            </w:r>
            <w:r>
              <w:rPr>
                <w:rFonts w:hint="eastAsia" w:ascii="宋体" w:hAnsi="宋体"/>
                <w:kern w:val="0"/>
                <w:sz w:val="18"/>
                <w:szCs w:val="18"/>
                <w:lang w:val="en-US" w:eastAsia="zh-CN"/>
              </w:rPr>
              <w:t>扣2分。</w:t>
            </w:r>
          </w:p>
        </w:tc>
        <w:tc>
          <w:tcPr>
            <w:tcW w:w="676" w:type="dxa"/>
            <w:tcBorders>
              <w:left w:val="single" w:color="auto" w:sz="4" w:space="0"/>
            </w:tcBorders>
            <w:noWrap w:val="0"/>
            <w:vAlign w:val="top"/>
          </w:tcPr>
          <w:p w14:paraId="3A27744E">
            <w:pPr>
              <w:adjustRightInd w:val="0"/>
              <w:snapToGrid w:val="0"/>
              <w:rPr>
                <w:rFonts w:ascii="宋体" w:hAnsi="宋体" w:cs="宋体"/>
                <w:sz w:val="18"/>
                <w:szCs w:val="18"/>
              </w:rPr>
            </w:pPr>
          </w:p>
        </w:tc>
        <w:tc>
          <w:tcPr>
            <w:tcW w:w="629" w:type="dxa"/>
            <w:noWrap w:val="0"/>
            <w:vAlign w:val="top"/>
          </w:tcPr>
          <w:p w14:paraId="10FD0B1F">
            <w:pPr>
              <w:adjustRightInd w:val="0"/>
              <w:snapToGrid w:val="0"/>
              <w:rPr>
                <w:rFonts w:ascii="宋体" w:hAnsi="宋体" w:cs="宋体"/>
                <w:sz w:val="18"/>
                <w:szCs w:val="18"/>
              </w:rPr>
            </w:pPr>
          </w:p>
        </w:tc>
        <w:tc>
          <w:tcPr>
            <w:tcW w:w="1704" w:type="dxa"/>
            <w:noWrap w:val="0"/>
            <w:vAlign w:val="center"/>
          </w:tcPr>
          <w:p w14:paraId="00851B2E">
            <w:pPr>
              <w:adjustRightInd w:val="0"/>
              <w:snapToGrid w:val="0"/>
              <w:ind w:right="34"/>
              <w:jc w:val="center"/>
              <w:rPr>
                <w:rFonts w:hint="eastAsia" w:ascii="宋体" w:hAnsi="宋体" w:eastAsia="宋体"/>
                <w:sz w:val="18"/>
                <w:szCs w:val="18"/>
                <w:lang w:val="en-US" w:eastAsia="zh-CN"/>
              </w:rPr>
            </w:pPr>
            <w:r>
              <w:rPr>
                <w:rFonts w:hint="eastAsia" w:ascii="宋体" w:hAnsi="宋体"/>
                <w:sz w:val="18"/>
                <w:szCs w:val="18"/>
                <w:lang w:eastAsia="zh-CN"/>
              </w:rPr>
              <w:t>4.7</w:t>
            </w:r>
            <w:r>
              <w:rPr>
                <w:rFonts w:ascii="宋体" w:hAnsi="宋体"/>
                <w:sz w:val="18"/>
                <w:szCs w:val="18"/>
              </w:rPr>
              <w:t>.</w:t>
            </w:r>
            <w:r>
              <w:rPr>
                <w:rFonts w:hint="eastAsia" w:ascii="宋体" w:hAnsi="宋体"/>
                <w:sz w:val="18"/>
                <w:szCs w:val="18"/>
                <w:lang w:val="en-US" w:eastAsia="zh-CN"/>
              </w:rPr>
              <w:t>4</w:t>
            </w:r>
          </w:p>
        </w:tc>
      </w:tr>
      <w:tr w14:paraId="7FEF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1" w:type="dxa"/>
            <w:noWrap w:val="0"/>
            <w:vAlign w:val="center"/>
          </w:tcPr>
          <w:p w14:paraId="172F5F1C">
            <w:pPr>
              <w:adjustRightInd w:val="0"/>
              <w:snapToGrid w:val="0"/>
              <w:ind w:right="34"/>
              <w:jc w:val="center"/>
              <w:rPr>
                <w:rFonts w:hint="eastAsia" w:ascii="宋体" w:hAnsi="宋体"/>
                <w:sz w:val="18"/>
                <w:szCs w:val="18"/>
              </w:rPr>
            </w:pPr>
            <w:r>
              <w:rPr>
                <w:rFonts w:hint="eastAsia" w:ascii="宋体" w:hAnsi="宋体"/>
                <w:sz w:val="18"/>
                <w:szCs w:val="18"/>
              </w:rPr>
              <w:t>7.</w:t>
            </w:r>
            <w:r>
              <w:rPr>
                <w:rFonts w:hint="eastAsia" w:ascii="宋体" w:hAnsi="宋体"/>
                <w:sz w:val="18"/>
                <w:szCs w:val="18"/>
                <w:lang w:val="en-US" w:eastAsia="zh-CN"/>
              </w:rPr>
              <w:t>4</w:t>
            </w:r>
            <w:r>
              <w:rPr>
                <w:rFonts w:hint="eastAsia" w:ascii="宋体" w:hAnsi="宋体"/>
                <w:sz w:val="18"/>
                <w:szCs w:val="18"/>
              </w:rPr>
              <w:t>.</w:t>
            </w:r>
            <w:r>
              <w:rPr>
                <w:rFonts w:hint="eastAsia" w:ascii="宋体" w:hAnsi="宋体"/>
                <w:sz w:val="18"/>
                <w:szCs w:val="18"/>
                <w:lang w:val="en-US" w:eastAsia="zh-CN"/>
              </w:rPr>
              <w:t>3</w:t>
            </w:r>
          </w:p>
        </w:tc>
        <w:tc>
          <w:tcPr>
            <w:tcW w:w="6593" w:type="dxa"/>
            <w:vMerge w:val="restart"/>
            <w:noWrap w:val="0"/>
            <w:vAlign w:val="top"/>
          </w:tcPr>
          <w:p w14:paraId="16B54831">
            <w:pPr>
              <w:adjustRightInd w:val="0"/>
              <w:snapToGrid w:val="0"/>
              <w:rPr>
                <w:rFonts w:ascii="宋体" w:hAnsi="宋体"/>
                <w:sz w:val="18"/>
                <w:szCs w:val="18"/>
              </w:rPr>
            </w:pPr>
            <w:r>
              <w:rPr>
                <w:rFonts w:hint="eastAsia" w:ascii="宋体" w:hAnsi="宋体"/>
                <w:sz w:val="18"/>
                <w:szCs w:val="18"/>
              </w:rPr>
              <w:t>消防应急</w:t>
            </w:r>
            <w:r>
              <w:rPr>
                <w:rFonts w:hint="eastAsia" w:ascii="宋体" w:hAnsi="宋体"/>
                <w:sz w:val="18"/>
                <w:szCs w:val="18"/>
                <w:lang w:val="en-US" w:eastAsia="zh-CN"/>
              </w:rPr>
              <w:t>电源管理</w:t>
            </w:r>
            <w:r>
              <w:rPr>
                <w:rFonts w:hint="eastAsia" w:ascii="宋体" w:hAnsi="宋体"/>
                <w:sz w:val="18"/>
                <w:szCs w:val="18"/>
              </w:rPr>
              <w:t>应符合下列要求：</w:t>
            </w:r>
          </w:p>
          <w:p w14:paraId="76ECD4D8">
            <w:pPr>
              <w:adjustRightInd w:val="0"/>
              <w:snapToGrid w:val="0"/>
              <w:rPr>
                <w:rFonts w:ascii="宋体" w:hAnsi="宋体"/>
                <w:sz w:val="18"/>
                <w:szCs w:val="18"/>
              </w:rPr>
            </w:pPr>
            <w:r>
              <w:rPr>
                <w:rFonts w:hint="eastAsia" w:ascii="宋体" w:hAnsi="宋体"/>
                <w:sz w:val="18"/>
                <w:szCs w:val="18"/>
              </w:rPr>
              <w:t>a）</w:t>
            </w:r>
            <w:r>
              <w:rPr>
                <w:rFonts w:ascii="宋体" w:hAnsi="宋体"/>
                <w:sz w:val="18"/>
                <w:szCs w:val="18"/>
              </w:rPr>
              <w:t>疏散照明灯具应设置在出口的顶部、墙面的上部或顶棚上</w:t>
            </w:r>
            <w:r>
              <w:rPr>
                <w:rFonts w:hint="eastAsia" w:ascii="宋体" w:hAnsi="宋体"/>
                <w:sz w:val="18"/>
                <w:szCs w:val="18"/>
              </w:rPr>
              <w:t>；</w:t>
            </w:r>
          </w:p>
          <w:p w14:paraId="26E12F41">
            <w:pPr>
              <w:pStyle w:val="36"/>
              <w:adjustRightInd w:val="0"/>
              <w:snapToGrid w:val="0"/>
              <w:ind w:firstLine="0" w:firstLineChars="0"/>
              <w:jc w:val="left"/>
              <w:rPr>
                <w:rFonts w:hint="eastAsia" w:hAnsi="宋体"/>
                <w:sz w:val="18"/>
                <w:szCs w:val="18"/>
              </w:rPr>
            </w:pPr>
            <w:r>
              <w:rPr>
                <w:rFonts w:hint="eastAsia" w:hAnsi="宋体"/>
                <w:sz w:val="18"/>
                <w:szCs w:val="18"/>
              </w:rPr>
              <w:t>b）</w:t>
            </w:r>
            <w:r>
              <w:rPr>
                <w:rFonts w:hAnsi="宋体"/>
                <w:sz w:val="18"/>
                <w:szCs w:val="18"/>
              </w:rPr>
              <w:t>备用照明灯具应设置在墙面的上部或顶棚上</w:t>
            </w:r>
            <w:r>
              <w:rPr>
                <w:rFonts w:hint="eastAsia" w:hAnsi="宋体"/>
                <w:sz w:val="18"/>
                <w:szCs w:val="18"/>
                <w:lang w:eastAsia="zh-CN"/>
              </w:rPr>
              <w:t>；</w:t>
            </w:r>
          </w:p>
          <w:p w14:paraId="6B4EE0B1">
            <w:pPr>
              <w:pStyle w:val="36"/>
              <w:adjustRightInd w:val="0"/>
              <w:snapToGrid w:val="0"/>
              <w:ind w:firstLine="0" w:firstLineChars="0"/>
              <w:rPr>
                <w:rFonts w:hint="eastAsia" w:hAnsi="宋体"/>
                <w:sz w:val="18"/>
                <w:szCs w:val="18"/>
              </w:rPr>
            </w:pPr>
            <w:r>
              <w:rPr>
                <w:rFonts w:hint="eastAsia" w:hAnsi="宋体"/>
                <w:sz w:val="18"/>
                <w:szCs w:val="18"/>
                <w:lang w:val="en-US" w:eastAsia="zh-CN"/>
              </w:rPr>
              <w:t>c</w:t>
            </w:r>
            <w:r>
              <w:rPr>
                <w:rFonts w:hint="eastAsia" w:hAnsi="宋体"/>
                <w:sz w:val="18"/>
                <w:szCs w:val="18"/>
              </w:rPr>
              <w:t>）消防应急照明灯安装应牢固，工作正常，定期进行测试。</w:t>
            </w:r>
          </w:p>
        </w:tc>
        <w:tc>
          <w:tcPr>
            <w:tcW w:w="734" w:type="dxa"/>
            <w:noWrap w:val="0"/>
            <w:vAlign w:val="center"/>
          </w:tcPr>
          <w:p w14:paraId="2AEFB923">
            <w:pPr>
              <w:adjustRightInd w:val="0"/>
              <w:snapToGrid w:val="0"/>
              <w:rPr>
                <w:rFonts w:ascii="宋体" w:hAnsi="宋体" w:cs="宋体"/>
                <w:sz w:val="18"/>
                <w:szCs w:val="18"/>
              </w:rPr>
            </w:pPr>
          </w:p>
        </w:tc>
        <w:tc>
          <w:tcPr>
            <w:tcW w:w="629" w:type="dxa"/>
            <w:noWrap w:val="0"/>
            <w:vAlign w:val="center"/>
          </w:tcPr>
          <w:p w14:paraId="7DE5B23D">
            <w:pPr>
              <w:adjustRightInd w:val="0"/>
              <w:snapToGrid w:val="0"/>
              <w:ind w:right="34"/>
              <w:rPr>
                <w:rFonts w:ascii="宋体" w:hAnsi="宋体"/>
                <w:sz w:val="18"/>
                <w:szCs w:val="18"/>
              </w:rPr>
            </w:pPr>
          </w:p>
        </w:tc>
        <w:tc>
          <w:tcPr>
            <w:tcW w:w="629" w:type="dxa"/>
            <w:noWrap w:val="0"/>
            <w:vAlign w:val="center"/>
          </w:tcPr>
          <w:p w14:paraId="52052737">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3A1C5C8B">
            <w:pPr>
              <w:rPr>
                <w:rFonts w:hint="eastAsia" w:ascii="宋体" w:hAnsi="宋体"/>
                <w:sz w:val="18"/>
                <w:szCs w:val="18"/>
              </w:rPr>
            </w:pPr>
            <w:r>
              <w:rPr>
                <w:rFonts w:hint="eastAsia" w:ascii="宋体" w:hAnsi="宋体"/>
                <w:kern w:val="0"/>
                <w:sz w:val="18"/>
                <w:szCs w:val="18"/>
              </w:rPr>
              <w:t>一处不符合，</w:t>
            </w:r>
            <w:r>
              <w:rPr>
                <w:rFonts w:hint="eastAsia" w:ascii="宋体" w:hAnsi="宋体"/>
                <w:kern w:val="0"/>
                <w:sz w:val="18"/>
                <w:szCs w:val="18"/>
                <w:lang w:val="en-US" w:eastAsia="zh-CN"/>
              </w:rPr>
              <w:t>扣2分</w:t>
            </w:r>
            <w:r>
              <w:rPr>
                <w:rFonts w:hint="eastAsia" w:ascii="宋体" w:hAnsi="宋体"/>
                <w:kern w:val="0"/>
                <w:sz w:val="18"/>
                <w:szCs w:val="18"/>
              </w:rPr>
              <w:t>。</w:t>
            </w:r>
          </w:p>
        </w:tc>
        <w:tc>
          <w:tcPr>
            <w:tcW w:w="676" w:type="dxa"/>
            <w:tcBorders>
              <w:left w:val="single" w:color="auto" w:sz="4" w:space="0"/>
            </w:tcBorders>
            <w:noWrap w:val="0"/>
            <w:vAlign w:val="top"/>
          </w:tcPr>
          <w:p w14:paraId="113856C5">
            <w:pPr>
              <w:adjustRightInd w:val="0"/>
              <w:snapToGrid w:val="0"/>
              <w:rPr>
                <w:rFonts w:ascii="宋体" w:hAnsi="宋体" w:cs="宋体"/>
                <w:sz w:val="18"/>
                <w:szCs w:val="18"/>
              </w:rPr>
            </w:pPr>
          </w:p>
        </w:tc>
        <w:tc>
          <w:tcPr>
            <w:tcW w:w="629" w:type="dxa"/>
            <w:noWrap w:val="0"/>
            <w:vAlign w:val="top"/>
          </w:tcPr>
          <w:p w14:paraId="59C54563">
            <w:pPr>
              <w:adjustRightInd w:val="0"/>
              <w:snapToGrid w:val="0"/>
              <w:rPr>
                <w:rFonts w:ascii="宋体" w:hAnsi="宋体" w:cs="宋体"/>
                <w:sz w:val="18"/>
                <w:szCs w:val="18"/>
              </w:rPr>
            </w:pPr>
          </w:p>
        </w:tc>
        <w:tc>
          <w:tcPr>
            <w:tcW w:w="1704" w:type="dxa"/>
            <w:noWrap w:val="0"/>
            <w:vAlign w:val="center"/>
          </w:tcPr>
          <w:p w14:paraId="0E77203D">
            <w:pPr>
              <w:adjustRightInd w:val="0"/>
              <w:snapToGrid w:val="0"/>
              <w:ind w:right="34"/>
              <w:jc w:val="center"/>
              <w:rPr>
                <w:rFonts w:hint="eastAsia" w:ascii="宋体" w:hAnsi="宋体"/>
                <w:sz w:val="18"/>
                <w:szCs w:val="18"/>
              </w:rPr>
            </w:pPr>
            <w:r>
              <w:rPr>
                <w:rFonts w:hint="eastAsia" w:ascii="宋体" w:hAnsi="宋体"/>
                <w:sz w:val="18"/>
                <w:szCs w:val="18"/>
                <w:lang w:eastAsia="zh-CN"/>
              </w:rPr>
              <w:t>4.7</w:t>
            </w:r>
            <w:r>
              <w:rPr>
                <w:rFonts w:ascii="宋体" w:hAnsi="宋体"/>
                <w:sz w:val="18"/>
                <w:szCs w:val="18"/>
              </w:rPr>
              <w:t>.</w:t>
            </w:r>
            <w:r>
              <w:rPr>
                <w:rFonts w:hint="eastAsia" w:ascii="宋体" w:hAnsi="宋体"/>
                <w:sz w:val="18"/>
                <w:szCs w:val="18"/>
              </w:rPr>
              <w:t>1</w:t>
            </w:r>
          </w:p>
          <w:p w14:paraId="0DC378FF">
            <w:pPr>
              <w:adjustRightInd w:val="0"/>
              <w:snapToGrid w:val="0"/>
              <w:ind w:right="34"/>
              <w:jc w:val="center"/>
              <w:rPr>
                <w:rFonts w:hint="default" w:ascii="宋体" w:hAnsi="宋体" w:eastAsia="宋体"/>
                <w:sz w:val="18"/>
                <w:szCs w:val="18"/>
                <w:lang w:val="en-US" w:eastAsia="zh-CN"/>
              </w:rPr>
            </w:pPr>
            <w:r>
              <w:rPr>
                <w:rFonts w:hint="eastAsia" w:ascii="宋体" w:hAnsi="宋体"/>
                <w:sz w:val="18"/>
                <w:szCs w:val="18"/>
                <w:lang w:val="en-US" w:eastAsia="zh-CN"/>
              </w:rPr>
              <w:t>4.7.4</w:t>
            </w:r>
          </w:p>
        </w:tc>
      </w:tr>
      <w:tr w14:paraId="35912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71" w:type="dxa"/>
            <w:noWrap w:val="0"/>
            <w:vAlign w:val="center"/>
          </w:tcPr>
          <w:p w14:paraId="7C63A282">
            <w:pPr>
              <w:adjustRightInd w:val="0"/>
              <w:snapToGrid w:val="0"/>
              <w:ind w:right="34"/>
              <w:jc w:val="center"/>
              <w:rPr>
                <w:rFonts w:hint="eastAsia" w:ascii="宋体" w:hAnsi="宋体" w:eastAsia="宋体"/>
                <w:sz w:val="18"/>
                <w:szCs w:val="18"/>
                <w:lang w:eastAsia="zh-CN"/>
              </w:rPr>
            </w:pPr>
            <w:r>
              <w:rPr>
                <w:rFonts w:hint="eastAsia" w:ascii="宋体" w:hAnsi="宋体"/>
                <w:sz w:val="18"/>
                <w:szCs w:val="18"/>
              </w:rPr>
              <w:t>7.</w:t>
            </w:r>
            <w:r>
              <w:rPr>
                <w:rFonts w:hint="eastAsia" w:ascii="宋体" w:hAnsi="宋体"/>
                <w:sz w:val="18"/>
                <w:szCs w:val="18"/>
                <w:lang w:val="en-US" w:eastAsia="zh-CN"/>
              </w:rPr>
              <w:t>5</w:t>
            </w:r>
          </w:p>
        </w:tc>
        <w:tc>
          <w:tcPr>
            <w:tcW w:w="6593" w:type="dxa"/>
            <w:noWrap w:val="0"/>
            <w:vAlign w:val="center"/>
          </w:tcPr>
          <w:p w14:paraId="6C767F50">
            <w:pPr>
              <w:pStyle w:val="134"/>
              <w:numPr>
                <w:ilvl w:val="0"/>
                <w:numId w:val="0"/>
              </w:numPr>
              <w:adjustRightInd w:val="0"/>
              <w:snapToGrid w:val="0"/>
              <w:jc w:val="both"/>
              <w:rPr>
                <w:rFonts w:hAnsi="宋体"/>
                <w:sz w:val="18"/>
                <w:szCs w:val="18"/>
              </w:rPr>
            </w:pPr>
            <w:r>
              <w:rPr>
                <w:rFonts w:hint="eastAsia" w:hAnsi="宋体"/>
                <w:sz w:val="18"/>
                <w:szCs w:val="18"/>
              </w:rPr>
              <w:t>消防给水系统</w:t>
            </w:r>
          </w:p>
        </w:tc>
        <w:tc>
          <w:tcPr>
            <w:tcW w:w="734" w:type="dxa"/>
            <w:noWrap w:val="0"/>
            <w:vAlign w:val="center"/>
          </w:tcPr>
          <w:p w14:paraId="588F9725">
            <w:pPr>
              <w:adjustRightInd w:val="0"/>
              <w:snapToGrid w:val="0"/>
              <w:jc w:val="center"/>
              <w:rPr>
                <w:rFonts w:hint="default" w:ascii="宋体" w:hAnsi="宋体" w:eastAsia="宋体" w:cs="宋体"/>
                <w:sz w:val="18"/>
                <w:szCs w:val="18"/>
                <w:lang w:val="en-US" w:eastAsia="zh-CN"/>
              </w:rPr>
            </w:pPr>
          </w:p>
        </w:tc>
        <w:tc>
          <w:tcPr>
            <w:tcW w:w="629" w:type="dxa"/>
            <w:noWrap w:val="0"/>
            <w:vAlign w:val="center"/>
          </w:tcPr>
          <w:p w14:paraId="0645530C">
            <w:pPr>
              <w:adjustRightInd w:val="0"/>
              <w:snapToGrid w:val="0"/>
              <w:ind w:right="34"/>
              <w:jc w:val="center"/>
              <w:rPr>
                <w:rFonts w:hint="default" w:ascii="宋体" w:hAnsi="宋体" w:eastAsia="宋体"/>
                <w:sz w:val="18"/>
                <w:szCs w:val="18"/>
                <w:lang w:val="en-US" w:eastAsia="zh-CN"/>
              </w:rPr>
            </w:pPr>
            <w:r>
              <w:rPr>
                <w:rFonts w:hint="eastAsia" w:ascii="宋体" w:hAnsi="宋体"/>
                <w:sz w:val="18"/>
                <w:szCs w:val="18"/>
                <w:lang w:val="en-US" w:eastAsia="zh-CN"/>
              </w:rPr>
              <w:t>15</w:t>
            </w:r>
          </w:p>
        </w:tc>
        <w:tc>
          <w:tcPr>
            <w:tcW w:w="629" w:type="dxa"/>
            <w:noWrap w:val="0"/>
            <w:vAlign w:val="center"/>
          </w:tcPr>
          <w:p w14:paraId="017F2EDC">
            <w:pPr>
              <w:adjustRightInd w:val="0"/>
              <w:snapToGrid w:val="0"/>
              <w:ind w:right="34"/>
              <w:jc w:val="center"/>
              <w:rPr>
                <w:rFonts w:ascii="宋体" w:hAnsi="宋体"/>
                <w:sz w:val="18"/>
                <w:szCs w:val="18"/>
              </w:rPr>
            </w:pPr>
          </w:p>
        </w:tc>
        <w:tc>
          <w:tcPr>
            <w:tcW w:w="2788" w:type="dxa"/>
            <w:tcBorders>
              <w:right w:val="single" w:color="auto" w:sz="4" w:space="0"/>
            </w:tcBorders>
            <w:noWrap w:val="0"/>
            <w:vAlign w:val="center"/>
          </w:tcPr>
          <w:p w14:paraId="3E5F2496">
            <w:pPr>
              <w:adjustRightInd w:val="0"/>
              <w:snapToGrid w:val="0"/>
              <w:ind w:right="34"/>
              <w:rPr>
                <w:rFonts w:ascii="宋体" w:hAnsi="宋体"/>
                <w:sz w:val="18"/>
                <w:szCs w:val="18"/>
              </w:rPr>
            </w:pPr>
          </w:p>
        </w:tc>
        <w:tc>
          <w:tcPr>
            <w:tcW w:w="676" w:type="dxa"/>
            <w:tcBorders>
              <w:left w:val="single" w:color="auto" w:sz="4" w:space="0"/>
            </w:tcBorders>
            <w:noWrap w:val="0"/>
            <w:vAlign w:val="top"/>
          </w:tcPr>
          <w:p w14:paraId="4305E441">
            <w:pPr>
              <w:adjustRightInd w:val="0"/>
              <w:snapToGrid w:val="0"/>
              <w:rPr>
                <w:rFonts w:ascii="宋体" w:hAnsi="宋体" w:cs="宋体"/>
                <w:sz w:val="18"/>
                <w:szCs w:val="18"/>
              </w:rPr>
            </w:pPr>
          </w:p>
        </w:tc>
        <w:tc>
          <w:tcPr>
            <w:tcW w:w="629" w:type="dxa"/>
            <w:noWrap w:val="0"/>
            <w:vAlign w:val="top"/>
          </w:tcPr>
          <w:p w14:paraId="08493B80">
            <w:pPr>
              <w:adjustRightInd w:val="0"/>
              <w:snapToGrid w:val="0"/>
              <w:rPr>
                <w:rFonts w:ascii="宋体" w:hAnsi="宋体" w:cs="宋体"/>
                <w:sz w:val="18"/>
                <w:szCs w:val="18"/>
              </w:rPr>
            </w:pPr>
          </w:p>
        </w:tc>
        <w:tc>
          <w:tcPr>
            <w:tcW w:w="1704" w:type="dxa"/>
            <w:noWrap w:val="0"/>
            <w:vAlign w:val="center"/>
          </w:tcPr>
          <w:p w14:paraId="04344CDD">
            <w:pPr>
              <w:adjustRightInd w:val="0"/>
              <w:snapToGrid w:val="0"/>
              <w:ind w:right="34"/>
              <w:jc w:val="center"/>
              <w:rPr>
                <w:rFonts w:hint="eastAsia" w:ascii="宋体" w:hAnsi="宋体" w:eastAsia="宋体"/>
                <w:sz w:val="18"/>
                <w:szCs w:val="18"/>
                <w:lang w:val="en-US" w:eastAsia="zh-CN"/>
              </w:rPr>
            </w:pPr>
            <w:r>
              <w:rPr>
                <w:rFonts w:hint="eastAsia" w:ascii="宋体" w:hAnsi="宋体"/>
                <w:sz w:val="18"/>
                <w:szCs w:val="18"/>
                <w:lang w:eastAsia="zh-CN"/>
              </w:rPr>
              <w:t>4.7</w:t>
            </w:r>
            <w:r>
              <w:rPr>
                <w:rFonts w:ascii="宋体" w:hAnsi="宋体"/>
                <w:sz w:val="18"/>
                <w:szCs w:val="18"/>
              </w:rPr>
              <w:t>.</w:t>
            </w:r>
            <w:r>
              <w:rPr>
                <w:rFonts w:hint="eastAsia" w:ascii="宋体" w:hAnsi="宋体"/>
                <w:sz w:val="18"/>
                <w:szCs w:val="18"/>
                <w:lang w:val="en-US" w:eastAsia="zh-CN"/>
              </w:rPr>
              <w:t>5</w:t>
            </w:r>
          </w:p>
        </w:tc>
      </w:tr>
      <w:tr w14:paraId="55CAC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71" w:type="dxa"/>
            <w:noWrap w:val="0"/>
            <w:vAlign w:val="center"/>
          </w:tcPr>
          <w:p w14:paraId="365B88AA">
            <w:pPr>
              <w:adjustRightInd w:val="0"/>
              <w:snapToGrid w:val="0"/>
              <w:spacing w:line="240" w:lineRule="atLeast"/>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5</w:t>
            </w:r>
            <w:r>
              <w:rPr>
                <w:rFonts w:hint="eastAsia" w:ascii="宋体" w:hAnsi="宋体"/>
                <w:sz w:val="18"/>
                <w:szCs w:val="18"/>
              </w:rPr>
              <w:t>.1</w:t>
            </w:r>
          </w:p>
        </w:tc>
        <w:tc>
          <w:tcPr>
            <w:tcW w:w="6593" w:type="dxa"/>
            <w:noWrap w:val="0"/>
            <w:vAlign w:val="top"/>
          </w:tcPr>
          <w:p w14:paraId="7BB0C1E5">
            <w:pPr>
              <w:pStyle w:val="36"/>
              <w:adjustRightInd w:val="0"/>
              <w:snapToGrid w:val="0"/>
              <w:ind w:firstLine="0" w:firstLineChars="0"/>
              <w:rPr>
                <w:rFonts w:hint="eastAsia" w:hAnsi="宋体"/>
                <w:sz w:val="18"/>
                <w:szCs w:val="18"/>
              </w:rPr>
            </w:pPr>
            <w:r>
              <w:rPr>
                <w:rFonts w:hint="eastAsia" w:hAnsi="宋体"/>
                <w:sz w:val="18"/>
                <w:szCs w:val="18"/>
              </w:rPr>
              <w:t>消防给水系统应符合下列要求：</w:t>
            </w:r>
          </w:p>
          <w:p w14:paraId="45D1718E">
            <w:pPr>
              <w:pStyle w:val="36"/>
              <w:adjustRightInd w:val="0"/>
              <w:snapToGrid w:val="0"/>
              <w:ind w:firstLine="0" w:firstLineChars="0"/>
              <w:rPr>
                <w:rFonts w:hint="eastAsia" w:ascii="宋体" w:hAnsi="宋体" w:eastAsia="宋体" w:cs="Times New Roman"/>
                <w:bCs/>
                <w:sz w:val="18"/>
                <w:szCs w:val="18"/>
                <w:lang w:val="en-US" w:eastAsia="zh-CN" w:bidi="ar-SA"/>
              </w:rPr>
            </w:pPr>
            <w:r>
              <w:rPr>
                <w:rFonts w:hint="eastAsia" w:hAnsi="宋体"/>
                <w:sz w:val="18"/>
                <w:szCs w:val="18"/>
              </w:rPr>
              <w:t>a）供消防车取水的消防水池和用作消防水源的天然水体、水井或人工水池、水塔等，应采取保障消防车安全取水与同行的技术措施，消防车取水的最大吸水高度应满足消防车可靠吸水的要求；</w:t>
            </w:r>
          </w:p>
        </w:tc>
        <w:tc>
          <w:tcPr>
            <w:tcW w:w="734" w:type="dxa"/>
            <w:noWrap w:val="0"/>
            <w:vAlign w:val="center"/>
          </w:tcPr>
          <w:p w14:paraId="0F22618A">
            <w:pPr>
              <w:adjustRightInd w:val="0"/>
              <w:snapToGrid w:val="0"/>
              <w:jc w:val="center"/>
              <w:rPr>
                <w:rFonts w:hint="default" w:ascii="宋体" w:hAnsi="宋体" w:eastAsia="宋体" w:cs="宋体"/>
                <w:kern w:val="2"/>
                <w:sz w:val="18"/>
                <w:szCs w:val="18"/>
                <w:lang w:val="en-US" w:eastAsia="zh-CN" w:bidi="ar-SA"/>
              </w:rPr>
            </w:pPr>
          </w:p>
        </w:tc>
        <w:tc>
          <w:tcPr>
            <w:tcW w:w="629" w:type="dxa"/>
            <w:noWrap w:val="0"/>
            <w:vAlign w:val="center"/>
          </w:tcPr>
          <w:p w14:paraId="6F0DC4A4">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629" w:type="dxa"/>
            <w:noWrap w:val="0"/>
            <w:vAlign w:val="center"/>
          </w:tcPr>
          <w:p w14:paraId="42B4C380">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04EC237E">
            <w:pPr>
              <w:adjustRightInd w:val="0"/>
              <w:snapToGrid w:val="0"/>
              <w:ind w:right="34" w:rightChars="0"/>
              <w:rPr>
                <w:rFonts w:ascii="宋体" w:hAnsi="宋体" w:eastAsia="宋体" w:cs="宋体"/>
                <w:kern w:val="2"/>
                <w:sz w:val="18"/>
                <w:szCs w:val="18"/>
                <w:lang w:val="en-US" w:eastAsia="zh-CN" w:bidi="ar-SA"/>
              </w:rPr>
            </w:pPr>
            <w:r>
              <w:rPr>
                <w:rFonts w:hint="eastAsia" w:ascii="宋体" w:hAnsi="宋体"/>
                <w:sz w:val="18"/>
                <w:szCs w:val="18"/>
              </w:rPr>
              <w:t>一处不符合扣</w:t>
            </w:r>
            <w:r>
              <w:rPr>
                <w:rFonts w:hint="eastAsia" w:ascii="宋体" w:hAnsi="宋体"/>
                <w:sz w:val="18"/>
                <w:szCs w:val="18"/>
                <w:lang w:val="en-US" w:eastAsia="zh-CN"/>
              </w:rPr>
              <w:t>2</w:t>
            </w:r>
            <w:r>
              <w:rPr>
                <w:rFonts w:hint="eastAsia" w:ascii="宋体" w:hAnsi="宋体"/>
                <w:sz w:val="18"/>
                <w:szCs w:val="18"/>
              </w:rPr>
              <w:t>分。</w:t>
            </w:r>
          </w:p>
        </w:tc>
        <w:tc>
          <w:tcPr>
            <w:tcW w:w="676" w:type="dxa"/>
            <w:tcBorders>
              <w:left w:val="single" w:color="auto" w:sz="4" w:space="0"/>
            </w:tcBorders>
            <w:noWrap w:val="0"/>
            <w:vAlign w:val="top"/>
          </w:tcPr>
          <w:p w14:paraId="374342D2">
            <w:pPr>
              <w:adjustRightInd w:val="0"/>
              <w:snapToGrid w:val="0"/>
              <w:rPr>
                <w:rFonts w:ascii="宋体" w:hAnsi="宋体" w:eastAsia="宋体" w:cs="宋体"/>
                <w:kern w:val="2"/>
                <w:sz w:val="18"/>
                <w:szCs w:val="18"/>
                <w:lang w:val="en-US" w:eastAsia="zh-CN" w:bidi="ar-SA"/>
              </w:rPr>
            </w:pPr>
          </w:p>
        </w:tc>
        <w:tc>
          <w:tcPr>
            <w:tcW w:w="629" w:type="dxa"/>
            <w:noWrap w:val="0"/>
            <w:vAlign w:val="top"/>
          </w:tcPr>
          <w:p w14:paraId="353A59DA">
            <w:pPr>
              <w:adjustRightInd w:val="0"/>
              <w:snapToGrid w:val="0"/>
              <w:rPr>
                <w:rFonts w:ascii="宋体" w:hAnsi="宋体" w:eastAsia="宋体" w:cs="宋体"/>
                <w:kern w:val="2"/>
                <w:sz w:val="18"/>
                <w:szCs w:val="18"/>
                <w:lang w:val="en-US" w:eastAsia="zh-CN" w:bidi="ar-SA"/>
              </w:rPr>
            </w:pPr>
          </w:p>
        </w:tc>
        <w:tc>
          <w:tcPr>
            <w:tcW w:w="1704" w:type="dxa"/>
            <w:noWrap w:val="0"/>
            <w:vAlign w:val="center"/>
          </w:tcPr>
          <w:p w14:paraId="0080F075">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5</w:t>
            </w:r>
          </w:p>
        </w:tc>
      </w:tr>
    </w:tbl>
    <w:p w14:paraId="6B774FB1">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6627"/>
        <w:gridCol w:w="741"/>
        <w:gridCol w:w="634"/>
        <w:gridCol w:w="633"/>
        <w:gridCol w:w="2570"/>
        <w:gridCol w:w="712"/>
        <w:gridCol w:w="1280"/>
        <w:gridCol w:w="1179"/>
      </w:tblGrid>
      <w:tr w14:paraId="3D6C6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693C1E34">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27" w:type="dxa"/>
            <w:noWrap w:val="0"/>
            <w:vAlign w:val="center"/>
          </w:tcPr>
          <w:p w14:paraId="65F3F734">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41" w:type="dxa"/>
            <w:noWrap w:val="0"/>
            <w:vAlign w:val="center"/>
          </w:tcPr>
          <w:p w14:paraId="25AEC9E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4" w:type="dxa"/>
            <w:noWrap w:val="0"/>
            <w:vAlign w:val="top"/>
          </w:tcPr>
          <w:p w14:paraId="039151AE">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noWrap w:val="0"/>
            <w:vAlign w:val="top"/>
          </w:tcPr>
          <w:p w14:paraId="4F359A64">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570" w:type="dxa"/>
            <w:tcBorders>
              <w:right w:val="single" w:color="auto" w:sz="4" w:space="0"/>
            </w:tcBorders>
            <w:noWrap w:val="0"/>
            <w:vAlign w:val="center"/>
          </w:tcPr>
          <w:p w14:paraId="3DA02C3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712" w:type="dxa"/>
            <w:tcBorders>
              <w:left w:val="single" w:color="auto" w:sz="4" w:space="0"/>
            </w:tcBorders>
            <w:noWrap w:val="0"/>
            <w:vAlign w:val="center"/>
          </w:tcPr>
          <w:p w14:paraId="268D1AF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280" w:type="dxa"/>
            <w:noWrap w:val="0"/>
            <w:vAlign w:val="center"/>
          </w:tcPr>
          <w:p w14:paraId="762A888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9" w:type="dxa"/>
            <w:noWrap w:val="0"/>
            <w:vAlign w:val="center"/>
          </w:tcPr>
          <w:p w14:paraId="5137A30F">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14CE5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7B298750">
            <w:pPr>
              <w:adjustRightInd w:val="0"/>
              <w:snapToGrid w:val="0"/>
              <w:spacing w:line="240" w:lineRule="atLeast"/>
              <w:jc w:val="center"/>
              <w:rPr>
                <w:rFonts w:ascii="宋体" w:hAnsi="宋体"/>
                <w:sz w:val="18"/>
                <w:szCs w:val="18"/>
              </w:rPr>
            </w:pPr>
          </w:p>
        </w:tc>
        <w:tc>
          <w:tcPr>
            <w:tcW w:w="6627" w:type="dxa"/>
            <w:noWrap w:val="0"/>
            <w:vAlign w:val="top"/>
          </w:tcPr>
          <w:p w14:paraId="020B8511">
            <w:pPr>
              <w:pStyle w:val="36"/>
              <w:adjustRightInd w:val="0"/>
              <w:snapToGrid w:val="0"/>
              <w:ind w:firstLine="0" w:firstLineChars="0"/>
              <w:rPr>
                <w:rFonts w:hint="eastAsia" w:hAnsi="宋体"/>
                <w:sz w:val="18"/>
                <w:szCs w:val="18"/>
              </w:rPr>
            </w:pPr>
            <w:r>
              <w:rPr>
                <w:rFonts w:hint="eastAsia" w:hAnsi="宋体"/>
                <w:sz w:val="18"/>
                <w:szCs w:val="18"/>
              </w:rPr>
              <w:t>b）消防用水与其他用水共用的水池，应采取保证水池中的消防用水量不作他用的技术措施；</w:t>
            </w:r>
          </w:p>
          <w:p w14:paraId="1404E145">
            <w:pPr>
              <w:pStyle w:val="36"/>
              <w:adjustRightInd w:val="0"/>
              <w:snapToGrid w:val="0"/>
              <w:ind w:left="0" w:leftChars="0" w:firstLine="0" w:firstLineChars="0"/>
              <w:rPr>
                <w:rFonts w:hint="eastAsia" w:hAnsi="宋体"/>
                <w:sz w:val="18"/>
                <w:szCs w:val="18"/>
              </w:rPr>
            </w:pPr>
            <w:r>
              <w:rPr>
                <w:rFonts w:hint="eastAsia" w:hAnsi="宋体"/>
                <w:sz w:val="18"/>
                <w:szCs w:val="18"/>
              </w:rPr>
              <w:t>c）消防水池应设有下列设施：</w:t>
            </w:r>
          </w:p>
          <w:p w14:paraId="64E57406">
            <w:pPr>
              <w:pStyle w:val="36"/>
              <w:keepNext w:val="0"/>
              <w:keepLines w:val="0"/>
              <w:pageBreakBefore w:val="0"/>
              <w:widowControl/>
              <w:kinsoku/>
              <w:wordWrap/>
              <w:overflowPunct/>
              <w:topLinePunct w:val="0"/>
              <w:autoSpaceDE w:val="0"/>
              <w:autoSpaceDN w:val="0"/>
              <w:bidi w:val="0"/>
              <w:adjustRightInd w:val="0"/>
              <w:snapToGrid w:val="0"/>
              <w:ind w:firstLine="180" w:firstLineChars="100"/>
              <w:textAlignment w:val="auto"/>
              <w:rPr>
                <w:rFonts w:hint="eastAsia" w:hAnsi="宋体"/>
                <w:sz w:val="18"/>
                <w:szCs w:val="18"/>
              </w:rPr>
            </w:pPr>
            <w:r>
              <w:rPr>
                <w:rFonts w:hint="eastAsia" w:hAnsi="宋体"/>
                <w:sz w:val="18"/>
                <w:szCs w:val="18"/>
              </w:rPr>
              <w:t>1）消防水池的出水管应保证消防水池有效容积内的水能被全部利用，水池的最低有效水位或消防水泵吸水口的淹没深度应满足消防水泵在最低水位运行安全和实现设计出水量的要求；</w:t>
            </w:r>
          </w:p>
          <w:p w14:paraId="71EE645B">
            <w:pPr>
              <w:pStyle w:val="36"/>
              <w:keepNext w:val="0"/>
              <w:keepLines w:val="0"/>
              <w:pageBreakBefore w:val="0"/>
              <w:widowControl/>
              <w:kinsoku/>
              <w:wordWrap/>
              <w:overflowPunct/>
              <w:topLinePunct w:val="0"/>
              <w:autoSpaceDE w:val="0"/>
              <w:autoSpaceDN w:val="0"/>
              <w:bidi w:val="0"/>
              <w:adjustRightInd w:val="0"/>
              <w:snapToGrid w:val="0"/>
              <w:ind w:firstLine="180" w:firstLineChars="100"/>
              <w:textAlignment w:val="auto"/>
              <w:rPr>
                <w:rFonts w:hint="eastAsia" w:hAnsi="宋体"/>
                <w:sz w:val="18"/>
                <w:szCs w:val="18"/>
              </w:rPr>
            </w:pPr>
            <w:r>
              <w:rPr>
                <w:rFonts w:hint="eastAsia" w:hAnsi="宋体"/>
                <w:sz w:val="18"/>
                <w:szCs w:val="18"/>
              </w:rPr>
              <w:t>2）消防水池的水位应能就地和在消防控制室显示，消防水池应装置高低水位报警装置；</w:t>
            </w:r>
          </w:p>
          <w:p w14:paraId="3731B9EC">
            <w:pPr>
              <w:pStyle w:val="36"/>
              <w:keepNext w:val="0"/>
              <w:keepLines w:val="0"/>
              <w:pageBreakBefore w:val="0"/>
              <w:widowControl/>
              <w:kinsoku/>
              <w:wordWrap/>
              <w:overflowPunct/>
              <w:topLinePunct w:val="0"/>
              <w:autoSpaceDE w:val="0"/>
              <w:autoSpaceDN w:val="0"/>
              <w:bidi w:val="0"/>
              <w:adjustRightInd w:val="0"/>
              <w:snapToGrid w:val="0"/>
              <w:ind w:firstLine="180" w:firstLineChars="100"/>
              <w:textAlignment w:val="auto"/>
              <w:rPr>
                <w:rFonts w:hint="eastAsia" w:hAnsi="宋体"/>
                <w:sz w:val="18"/>
                <w:szCs w:val="18"/>
              </w:rPr>
            </w:pPr>
            <w:r>
              <w:rPr>
                <w:rFonts w:hint="eastAsia" w:hAnsi="宋体"/>
                <w:sz w:val="18"/>
                <w:szCs w:val="18"/>
              </w:rPr>
              <w:t>3）消防水池应设置溢流水管和排水设施，并应采用间接排水。</w:t>
            </w:r>
          </w:p>
          <w:p w14:paraId="51F5C356">
            <w:pPr>
              <w:pStyle w:val="36"/>
              <w:adjustRightInd w:val="0"/>
              <w:snapToGrid w:val="0"/>
              <w:ind w:firstLine="0" w:firstLineChars="0"/>
              <w:jc w:val="left"/>
              <w:rPr>
                <w:rFonts w:ascii="宋体" w:hAnsi="宋体"/>
                <w:bCs/>
                <w:sz w:val="18"/>
                <w:szCs w:val="18"/>
              </w:rPr>
            </w:pPr>
            <w:r>
              <w:rPr>
                <w:rFonts w:hint="eastAsia" w:hAnsi="宋体"/>
                <w:sz w:val="18"/>
                <w:szCs w:val="18"/>
              </w:rPr>
              <w:t>d）设置高位水箱间时，水箱间内的环境温度或水温不应低于5℃。</w:t>
            </w:r>
          </w:p>
        </w:tc>
        <w:tc>
          <w:tcPr>
            <w:tcW w:w="741" w:type="dxa"/>
            <w:noWrap w:val="0"/>
            <w:vAlign w:val="center"/>
          </w:tcPr>
          <w:p w14:paraId="69BB8B4D">
            <w:pPr>
              <w:adjustRightInd w:val="0"/>
              <w:snapToGrid w:val="0"/>
              <w:jc w:val="center"/>
              <w:rPr>
                <w:rFonts w:ascii="宋体" w:hAnsi="宋体" w:cs="宋体"/>
                <w:sz w:val="18"/>
                <w:szCs w:val="18"/>
              </w:rPr>
            </w:pPr>
          </w:p>
        </w:tc>
        <w:tc>
          <w:tcPr>
            <w:tcW w:w="634" w:type="dxa"/>
            <w:noWrap w:val="0"/>
            <w:vAlign w:val="center"/>
          </w:tcPr>
          <w:p w14:paraId="107BF31F">
            <w:pPr>
              <w:adjustRightInd w:val="0"/>
              <w:snapToGrid w:val="0"/>
              <w:ind w:right="34"/>
              <w:jc w:val="center"/>
              <w:rPr>
                <w:rFonts w:ascii="宋体" w:hAnsi="宋体"/>
                <w:sz w:val="18"/>
                <w:szCs w:val="18"/>
              </w:rPr>
            </w:pPr>
          </w:p>
        </w:tc>
        <w:tc>
          <w:tcPr>
            <w:tcW w:w="633" w:type="dxa"/>
            <w:noWrap w:val="0"/>
            <w:vAlign w:val="center"/>
          </w:tcPr>
          <w:p w14:paraId="25C4E48A">
            <w:pPr>
              <w:adjustRightInd w:val="0"/>
              <w:snapToGrid w:val="0"/>
              <w:ind w:right="34"/>
              <w:jc w:val="center"/>
              <w:rPr>
                <w:rFonts w:hint="eastAsia" w:ascii="宋体" w:hAnsi="宋体" w:eastAsia="宋体"/>
                <w:sz w:val="18"/>
                <w:szCs w:val="18"/>
                <w:lang w:eastAsia="zh-CN"/>
              </w:rPr>
            </w:pPr>
          </w:p>
        </w:tc>
        <w:tc>
          <w:tcPr>
            <w:tcW w:w="2570" w:type="dxa"/>
            <w:tcBorders>
              <w:right w:val="single" w:color="auto" w:sz="4" w:space="0"/>
            </w:tcBorders>
            <w:noWrap w:val="0"/>
            <w:vAlign w:val="center"/>
          </w:tcPr>
          <w:p w14:paraId="44EFD2A5">
            <w:pPr>
              <w:adjustRightInd w:val="0"/>
              <w:snapToGrid w:val="0"/>
              <w:ind w:right="34"/>
              <w:rPr>
                <w:rFonts w:ascii="宋体" w:hAnsi="宋体" w:cs="宋体"/>
                <w:sz w:val="18"/>
                <w:szCs w:val="18"/>
              </w:rPr>
            </w:pPr>
          </w:p>
        </w:tc>
        <w:tc>
          <w:tcPr>
            <w:tcW w:w="712" w:type="dxa"/>
            <w:tcBorders>
              <w:left w:val="single" w:color="auto" w:sz="4" w:space="0"/>
            </w:tcBorders>
            <w:noWrap w:val="0"/>
            <w:vAlign w:val="top"/>
          </w:tcPr>
          <w:p w14:paraId="4169125E">
            <w:pPr>
              <w:adjustRightInd w:val="0"/>
              <w:snapToGrid w:val="0"/>
              <w:rPr>
                <w:rFonts w:ascii="宋体" w:hAnsi="宋体" w:cs="宋体"/>
                <w:sz w:val="18"/>
                <w:szCs w:val="18"/>
              </w:rPr>
            </w:pPr>
          </w:p>
        </w:tc>
        <w:tc>
          <w:tcPr>
            <w:tcW w:w="1280" w:type="dxa"/>
            <w:noWrap w:val="0"/>
            <w:vAlign w:val="top"/>
          </w:tcPr>
          <w:p w14:paraId="2D917EBC">
            <w:pPr>
              <w:adjustRightInd w:val="0"/>
              <w:snapToGrid w:val="0"/>
              <w:rPr>
                <w:rFonts w:ascii="宋体" w:hAnsi="宋体" w:cs="宋体"/>
                <w:sz w:val="18"/>
                <w:szCs w:val="18"/>
              </w:rPr>
            </w:pPr>
          </w:p>
        </w:tc>
        <w:tc>
          <w:tcPr>
            <w:tcW w:w="1179" w:type="dxa"/>
            <w:noWrap w:val="0"/>
            <w:vAlign w:val="center"/>
          </w:tcPr>
          <w:p w14:paraId="0690D76E">
            <w:pPr>
              <w:adjustRightInd w:val="0"/>
              <w:snapToGrid w:val="0"/>
              <w:ind w:right="34"/>
              <w:jc w:val="center"/>
              <w:rPr>
                <w:rFonts w:ascii="宋体" w:hAnsi="宋体"/>
                <w:sz w:val="18"/>
                <w:szCs w:val="18"/>
              </w:rPr>
            </w:pPr>
          </w:p>
        </w:tc>
      </w:tr>
      <w:tr w14:paraId="53532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637EEBD2">
            <w:pPr>
              <w:adjustRightInd w:val="0"/>
              <w:snapToGrid w:val="0"/>
              <w:spacing w:line="240" w:lineRule="atLeast"/>
              <w:jc w:val="center"/>
              <w:rPr>
                <w:rFonts w:hint="default" w:ascii="宋体" w:hAnsi="宋体" w:eastAsia="宋体"/>
                <w:sz w:val="18"/>
                <w:szCs w:val="18"/>
                <w:lang w:val="en-US" w:eastAsia="zh-CN"/>
              </w:rPr>
            </w:pPr>
            <w:r>
              <w:rPr>
                <w:rFonts w:hint="eastAsia" w:ascii="宋体" w:hAnsi="宋体"/>
                <w:sz w:val="18"/>
                <w:szCs w:val="18"/>
              </w:rPr>
              <w:t>7.</w:t>
            </w:r>
            <w:r>
              <w:rPr>
                <w:rFonts w:hint="eastAsia" w:ascii="宋体" w:hAnsi="宋体"/>
                <w:sz w:val="18"/>
                <w:szCs w:val="18"/>
                <w:lang w:val="en-US" w:eastAsia="zh-CN"/>
              </w:rPr>
              <w:t>5.2</w:t>
            </w:r>
          </w:p>
        </w:tc>
        <w:tc>
          <w:tcPr>
            <w:tcW w:w="6627" w:type="dxa"/>
            <w:noWrap w:val="0"/>
            <w:vAlign w:val="center"/>
          </w:tcPr>
          <w:p w14:paraId="0FD580C1">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消防水泵房应符合下列要求：</w:t>
            </w:r>
          </w:p>
          <w:p w14:paraId="59C0B17E">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a）单独建造的消防水泵房，其耐火等级不应低于二级；附设在建筑内的消防水泵房应采用耐火极限不低于2 h的隔墙和1.5 h的楼板与其他部位隔开，开向疏散走道的门应采用甲级防火门；</w:t>
            </w:r>
          </w:p>
          <w:p w14:paraId="2BA73981">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b）不应设置在建筑的地下三层及以下楼层；</w:t>
            </w:r>
          </w:p>
          <w:p w14:paraId="50C48850">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c）疏散门应直通室外或安全出口；</w:t>
            </w:r>
          </w:p>
          <w:p w14:paraId="60F6D594">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d）应采取防水淹没的技术措施；</w:t>
            </w:r>
          </w:p>
          <w:p w14:paraId="541632CA">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e）主要通道宽度不应小于1.2 m；</w:t>
            </w:r>
          </w:p>
          <w:p w14:paraId="31B9182F">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f）应设置消防专用电话分机；</w:t>
            </w:r>
          </w:p>
          <w:p w14:paraId="05D97F56">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g）消防水泵房内的架空水管道，不应阻碍通道和跨越电气设备，当应跨越时，应采取保证通道畅通和保护电气设备的措施；</w:t>
            </w:r>
          </w:p>
          <w:p w14:paraId="395FA20A">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h）消防水泵控制柜应位于消防水泵控制室或消防水泵房内，并性能应符合下列规定：</w:t>
            </w:r>
          </w:p>
          <w:p w14:paraId="30688290">
            <w:pPr>
              <w:pStyle w:val="36"/>
              <w:adjustRightInd w:val="0"/>
              <w:snapToGrid w:val="0"/>
              <w:spacing w:line="240" w:lineRule="atLeast"/>
              <w:ind w:firstLine="360" w:firstLineChars="200"/>
              <w:jc w:val="left"/>
              <w:rPr>
                <w:rFonts w:hint="eastAsia" w:hAnsi="宋体"/>
                <w:kern w:val="2"/>
                <w:sz w:val="18"/>
                <w:szCs w:val="18"/>
              </w:rPr>
            </w:pPr>
            <w:r>
              <w:rPr>
                <w:rFonts w:hint="eastAsia" w:hAnsi="宋体"/>
                <w:kern w:val="2"/>
                <w:sz w:val="18"/>
                <w:szCs w:val="18"/>
              </w:rPr>
              <w:t>1）消防水泵控制柜位于消防水泵控制室内时，其防护等级不应低于IP30；位于消防水泵房内时，其防护等级不应低于IP55；</w:t>
            </w:r>
          </w:p>
          <w:p w14:paraId="6AA67FBD">
            <w:pPr>
              <w:pStyle w:val="36"/>
              <w:adjustRightInd w:val="0"/>
              <w:snapToGrid w:val="0"/>
              <w:spacing w:line="240" w:lineRule="atLeast"/>
              <w:ind w:firstLine="360" w:firstLineChars="200"/>
              <w:jc w:val="left"/>
              <w:rPr>
                <w:rFonts w:hint="eastAsia" w:hAnsi="宋体"/>
                <w:kern w:val="2"/>
                <w:sz w:val="18"/>
                <w:szCs w:val="18"/>
              </w:rPr>
            </w:pPr>
            <w:r>
              <w:rPr>
                <w:rFonts w:hint="eastAsia" w:hAnsi="宋体"/>
                <w:kern w:val="2"/>
                <w:sz w:val="18"/>
                <w:szCs w:val="18"/>
              </w:rPr>
              <w:t>2）消防水泵控制柜在平时应使消防水泵处于自动启泵状态；</w:t>
            </w:r>
          </w:p>
          <w:p w14:paraId="678A402E">
            <w:pPr>
              <w:pStyle w:val="36"/>
              <w:adjustRightInd w:val="0"/>
              <w:snapToGrid w:val="0"/>
              <w:spacing w:line="240" w:lineRule="atLeast"/>
              <w:ind w:firstLine="360" w:firstLineChars="200"/>
              <w:jc w:val="left"/>
              <w:rPr>
                <w:rFonts w:hint="eastAsia" w:hAnsi="宋体"/>
                <w:kern w:val="2"/>
                <w:sz w:val="18"/>
                <w:szCs w:val="18"/>
              </w:rPr>
            </w:pPr>
            <w:r>
              <w:rPr>
                <w:rFonts w:hint="eastAsia" w:hAnsi="宋体"/>
                <w:kern w:val="2"/>
                <w:sz w:val="18"/>
                <w:szCs w:val="18"/>
              </w:rPr>
              <w:t>3）消防水泵控制柜应具有机械应急启泵功能，且机械应急启泵时，消防水泵应能在接受火警后5min内进入正常运行状态；</w:t>
            </w:r>
          </w:p>
          <w:p w14:paraId="5FDDB720">
            <w:pPr>
              <w:pStyle w:val="36"/>
              <w:adjustRightInd w:val="0"/>
              <w:snapToGrid w:val="0"/>
              <w:spacing w:line="240" w:lineRule="atLeast"/>
              <w:ind w:firstLine="360" w:firstLineChars="200"/>
              <w:jc w:val="left"/>
              <w:rPr>
                <w:rFonts w:hint="eastAsia" w:hAnsi="宋体"/>
                <w:kern w:val="2"/>
                <w:sz w:val="18"/>
                <w:szCs w:val="18"/>
              </w:rPr>
            </w:pPr>
            <w:r>
              <w:rPr>
                <w:rFonts w:hint="eastAsia" w:hAnsi="宋体"/>
                <w:kern w:val="2"/>
                <w:sz w:val="18"/>
                <w:szCs w:val="18"/>
              </w:rPr>
              <w:t>4）当自动水灭火系统为开式系统，且设置自动启动确有困难时，应采用手动控制，并应确保24h有人工值班；</w:t>
            </w:r>
          </w:p>
        </w:tc>
        <w:tc>
          <w:tcPr>
            <w:tcW w:w="741" w:type="dxa"/>
            <w:noWrap w:val="0"/>
            <w:vAlign w:val="center"/>
          </w:tcPr>
          <w:p w14:paraId="7A02D7A3">
            <w:pPr>
              <w:adjustRightInd w:val="0"/>
              <w:snapToGrid w:val="0"/>
              <w:jc w:val="center"/>
              <w:rPr>
                <w:rFonts w:ascii="宋体" w:hAnsi="宋体" w:cs="宋体"/>
                <w:sz w:val="18"/>
                <w:szCs w:val="18"/>
              </w:rPr>
            </w:pPr>
          </w:p>
        </w:tc>
        <w:tc>
          <w:tcPr>
            <w:tcW w:w="634" w:type="dxa"/>
            <w:noWrap w:val="0"/>
            <w:vAlign w:val="center"/>
          </w:tcPr>
          <w:p w14:paraId="74935E65">
            <w:pPr>
              <w:adjustRightInd w:val="0"/>
              <w:snapToGrid w:val="0"/>
              <w:ind w:right="34"/>
              <w:jc w:val="center"/>
              <w:rPr>
                <w:rFonts w:ascii="宋体" w:hAnsi="宋体"/>
                <w:sz w:val="18"/>
                <w:szCs w:val="18"/>
              </w:rPr>
            </w:pPr>
          </w:p>
        </w:tc>
        <w:tc>
          <w:tcPr>
            <w:tcW w:w="633" w:type="dxa"/>
            <w:noWrap w:val="0"/>
            <w:vAlign w:val="center"/>
          </w:tcPr>
          <w:p w14:paraId="5BBC722E">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8</w:t>
            </w:r>
          </w:p>
        </w:tc>
        <w:tc>
          <w:tcPr>
            <w:tcW w:w="2570" w:type="dxa"/>
            <w:tcBorders>
              <w:right w:val="single" w:color="auto" w:sz="4" w:space="0"/>
            </w:tcBorders>
            <w:noWrap w:val="0"/>
            <w:vAlign w:val="center"/>
          </w:tcPr>
          <w:p w14:paraId="49FF6118">
            <w:pPr>
              <w:adjustRightInd w:val="0"/>
              <w:snapToGrid w:val="0"/>
              <w:ind w:right="34" w:rightChars="0"/>
              <w:rPr>
                <w:rFonts w:hint="eastAsia" w:ascii="宋体" w:hAnsi="宋体"/>
                <w:bCs/>
                <w:sz w:val="18"/>
                <w:szCs w:val="18"/>
                <w:lang w:eastAsia="zh-CN"/>
              </w:rPr>
            </w:pPr>
            <w:r>
              <w:rPr>
                <w:rFonts w:hint="eastAsia" w:ascii="宋体" w:hAnsi="宋体"/>
                <w:bCs/>
                <w:sz w:val="18"/>
                <w:szCs w:val="18"/>
                <w:lang w:val="en-US" w:eastAsia="zh-CN"/>
              </w:rPr>
              <w:t>1）消防水泵房设置位置、耐火等级、疏散门</w:t>
            </w:r>
            <w:r>
              <w:rPr>
                <w:rFonts w:hint="eastAsia" w:ascii="宋体" w:hAnsi="宋体"/>
                <w:bCs/>
                <w:sz w:val="18"/>
                <w:szCs w:val="18"/>
              </w:rPr>
              <w:t>不符合</w:t>
            </w:r>
            <w:r>
              <w:rPr>
                <w:rFonts w:hint="eastAsia" w:ascii="宋体" w:hAnsi="宋体"/>
                <w:bCs/>
                <w:sz w:val="18"/>
                <w:szCs w:val="18"/>
                <w:lang w:val="en-US" w:eastAsia="zh-CN"/>
              </w:rPr>
              <w:t>的</w:t>
            </w:r>
            <w:r>
              <w:rPr>
                <w:rFonts w:hint="eastAsia" w:ascii="宋体" w:hAnsi="宋体"/>
                <w:bCs/>
                <w:sz w:val="18"/>
                <w:szCs w:val="18"/>
              </w:rPr>
              <w:t>，</w:t>
            </w:r>
            <w:r>
              <w:rPr>
                <w:rFonts w:hint="eastAsia" w:ascii="宋体" w:hAnsi="宋体"/>
                <w:bCs/>
                <w:sz w:val="18"/>
                <w:szCs w:val="18"/>
                <w:lang w:val="en-US" w:eastAsia="zh-CN"/>
              </w:rPr>
              <w:t>不得分</w:t>
            </w:r>
            <w:r>
              <w:rPr>
                <w:rFonts w:hint="eastAsia" w:ascii="宋体" w:hAnsi="宋体"/>
                <w:bCs/>
                <w:sz w:val="18"/>
                <w:szCs w:val="18"/>
                <w:lang w:eastAsia="zh-CN"/>
              </w:rPr>
              <w:t>；</w:t>
            </w:r>
          </w:p>
          <w:p w14:paraId="3B9F053B">
            <w:pPr>
              <w:numPr>
                <w:ilvl w:val="0"/>
                <w:numId w:val="75"/>
              </w:numPr>
              <w:adjustRightInd w:val="0"/>
              <w:snapToGrid w:val="0"/>
              <w:ind w:right="34" w:rightChars="0"/>
              <w:rPr>
                <w:rFonts w:hint="eastAsia" w:ascii="宋体" w:hAnsi="宋体"/>
                <w:bCs/>
                <w:sz w:val="18"/>
                <w:szCs w:val="18"/>
                <w:lang w:val="en-US" w:eastAsia="zh-CN"/>
              </w:rPr>
            </w:pPr>
            <w:r>
              <w:rPr>
                <w:rFonts w:hint="eastAsia" w:ascii="宋体" w:hAnsi="宋体"/>
                <w:bCs/>
                <w:sz w:val="18"/>
                <w:szCs w:val="18"/>
                <w:lang w:val="en-US" w:eastAsia="zh-CN"/>
              </w:rPr>
              <w:t>未设置备用泵的，不得分；</w:t>
            </w:r>
          </w:p>
          <w:p w14:paraId="5DB595B1">
            <w:pPr>
              <w:numPr>
                <w:ilvl w:val="0"/>
                <w:numId w:val="75"/>
              </w:numPr>
              <w:adjustRightInd w:val="0"/>
              <w:snapToGrid w:val="0"/>
              <w:ind w:right="34" w:rightChars="0"/>
              <w:rPr>
                <w:rFonts w:hint="default" w:ascii="宋体" w:hAnsi="宋体"/>
                <w:bCs/>
                <w:sz w:val="18"/>
                <w:szCs w:val="18"/>
                <w:lang w:val="en-US" w:eastAsia="zh-CN"/>
              </w:rPr>
            </w:pPr>
            <w:r>
              <w:rPr>
                <w:rFonts w:hint="eastAsia" w:ascii="宋体" w:hAnsi="宋体"/>
                <w:bCs/>
                <w:sz w:val="18"/>
                <w:szCs w:val="18"/>
                <w:lang w:val="en-US" w:eastAsia="zh-CN"/>
              </w:rPr>
              <w:t>其他一处不符合扣2分。</w:t>
            </w:r>
          </w:p>
          <w:p w14:paraId="5E95C57C">
            <w:pPr>
              <w:numPr>
                <w:ilvl w:val="0"/>
                <w:numId w:val="75"/>
              </w:numPr>
              <w:adjustRightInd w:val="0"/>
              <w:snapToGrid w:val="0"/>
              <w:ind w:right="34" w:rightChars="0"/>
              <w:rPr>
                <w:rFonts w:hint="default" w:ascii="宋体" w:hAnsi="宋体"/>
                <w:bCs/>
                <w:sz w:val="18"/>
                <w:szCs w:val="18"/>
                <w:lang w:val="en-US" w:eastAsia="zh-CN"/>
              </w:rPr>
            </w:pPr>
            <w:r>
              <w:rPr>
                <w:rFonts w:hint="eastAsia" w:ascii="宋体" w:hAnsi="宋体"/>
                <w:bCs/>
                <w:sz w:val="18"/>
                <w:szCs w:val="18"/>
                <w:lang w:val="en-US" w:eastAsia="zh-CN"/>
              </w:rPr>
              <w:t>标点符号，逗号</w:t>
            </w:r>
          </w:p>
        </w:tc>
        <w:tc>
          <w:tcPr>
            <w:tcW w:w="712" w:type="dxa"/>
            <w:tcBorders>
              <w:left w:val="single" w:color="auto" w:sz="4" w:space="0"/>
            </w:tcBorders>
            <w:noWrap w:val="0"/>
            <w:vAlign w:val="top"/>
          </w:tcPr>
          <w:p w14:paraId="4DECE098">
            <w:pPr>
              <w:adjustRightInd w:val="0"/>
              <w:snapToGrid w:val="0"/>
              <w:rPr>
                <w:rFonts w:ascii="宋体" w:hAnsi="宋体" w:cs="宋体"/>
                <w:sz w:val="18"/>
                <w:szCs w:val="18"/>
              </w:rPr>
            </w:pPr>
          </w:p>
        </w:tc>
        <w:tc>
          <w:tcPr>
            <w:tcW w:w="1280" w:type="dxa"/>
            <w:noWrap w:val="0"/>
            <w:vAlign w:val="top"/>
          </w:tcPr>
          <w:p w14:paraId="4F243E55">
            <w:pPr>
              <w:adjustRightInd w:val="0"/>
              <w:snapToGrid w:val="0"/>
              <w:rPr>
                <w:rFonts w:ascii="宋体" w:hAnsi="宋体" w:cs="宋体"/>
                <w:sz w:val="18"/>
                <w:szCs w:val="18"/>
              </w:rPr>
            </w:pPr>
          </w:p>
        </w:tc>
        <w:tc>
          <w:tcPr>
            <w:tcW w:w="1179" w:type="dxa"/>
            <w:noWrap w:val="0"/>
            <w:vAlign w:val="center"/>
          </w:tcPr>
          <w:p w14:paraId="45320E36">
            <w:pPr>
              <w:adjustRightInd w:val="0"/>
              <w:snapToGrid w:val="0"/>
              <w:ind w:right="34"/>
              <w:jc w:val="center"/>
              <w:rPr>
                <w:rFonts w:hint="eastAsia" w:ascii="宋体" w:hAnsi="宋体" w:eastAsia="宋体" w:cs="宋体"/>
                <w:kern w:val="0"/>
                <w:sz w:val="18"/>
                <w:szCs w:val="18"/>
                <w:lang w:eastAsia="zh-CN"/>
              </w:rPr>
            </w:pPr>
            <w:r>
              <w:rPr>
                <w:rFonts w:hint="eastAsia" w:ascii="宋体" w:hAnsi="宋体" w:cs="宋体"/>
                <w:kern w:val="0"/>
                <w:sz w:val="18"/>
                <w:szCs w:val="18"/>
                <w:lang w:eastAsia="zh-CN"/>
              </w:rPr>
              <w:t>4.7</w:t>
            </w:r>
            <w:r>
              <w:rPr>
                <w:rFonts w:ascii="宋体" w:hAnsi="宋体" w:cs="宋体"/>
                <w:kern w:val="0"/>
                <w:sz w:val="18"/>
                <w:szCs w:val="18"/>
              </w:rPr>
              <w:t>.</w:t>
            </w:r>
            <w:r>
              <w:rPr>
                <w:rFonts w:hint="eastAsia" w:ascii="宋体" w:hAnsi="宋体" w:cs="宋体"/>
                <w:kern w:val="0"/>
                <w:sz w:val="18"/>
                <w:szCs w:val="18"/>
                <w:lang w:val="en-US" w:eastAsia="zh-CN"/>
              </w:rPr>
              <w:t>5</w:t>
            </w:r>
          </w:p>
        </w:tc>
      </w:tr>
    </w:tbl>
    <w:p w14:paraId="549D90E0">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6682"/>
        <w:gridCol w:w="737"/>
        <w:gridCol w:w="633"/>
        <w:gridCol w:w="633"/>
        <w:gridCol w:w="2573"/>
        <w:gridCol w:w="712"/>
        <w:gridCol w:w="1284"/>
        <w:gridCol w:w="1176"/>
      </w:tblGrid>
      <w:tr w14:paraId="6247E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5F36C6C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82" w:type="dxa"/>
            <w:noWrap w:val="0"/>
            <w:vAlign w:val="center"/>
          </w:tcPr>
          <w:p w14:paraId="0E7D6E7C">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7" w:type="dxa"/>
            <w:noWrap w:val="0"/>
            <w:vAlign w:val="center"/>
          </w:tcPr>
          <w:p w14:paraId="3A4D79F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3" w:type="dxa"/>
            <w:noWrap w:val="0"/>
            <w:vAlign w:val="top"/>
          </w:tcPr>
          <w:p w14:paraId="3DB0A7D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noWrap w:val="0"/>
            <w:vAlign w:val="top"/>
          </w:tcPr>
          <w:p w14:paraId="4E94403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573" w:type="dxa"/>
            <w:tcBorders>
              <w:right w:val="single" w:color="auto" w:sz="4" w:space="0"/>
            </w:tcBorders>
            <w:noWrap w:val="0"/>
            <w:vAlign w:val="center"/>
          </w:tcPr>
          <w:p w14:paraId="646B75A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712" w:type="dxa"/>
            <w:tcBorders>
              <w:left w:val="single" w:color="auto" w:sz="4" w:space="0"/>
            </w:tcBorders>
            <w:noWrap w:val="0"/>
            <w:vAlign w:val="center"/>
          </w:tcPr>
          <w:p w14:paraId="1DE2EB0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284" w:type="dxa"/>
            <w:noWrap w:val="0"/>
            <w:vAlign w:val="center"/>
          </w:tcPr>
          <w:p w14:paraId="7FEEAD8E">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6" w:type="dxa"/>
            <w:noWrap w:val="0"/>
            <w:vAlign w:val="center"/>
          </w:tcPr>
          <w:p w14:paraId="53A7B9A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2DBCF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blHeader/>
          <w:jc w:val="center"/>
        </w:trPr>
        <w:tc>
          <w:tcPr>
            <w:tcW w:w="923" w:type="dxa"/>
            <w:tcBorders>
              <w:top w:val="single" w:color="000000" w:sz="4" w:space="0"/>
              <w:left w:val="single" w:color="000000" w:sz="4" w:space="0"/>
              <w:bottom w:val="single" w:color="000000" w:sz="4" w:space="0"/>
              <w:right w:val="single" w:color="000000" w:sz="4" w:space="0"/>
            </w:tcBorders>
            <w:noWrap w:val="0"/>
            <w:vAlign w:val="center"/>
          </w:tcPr>
          <w:p w14:paraId="2EB9E757">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6682" w:type="dxa"/>
            <w:tcBorders>
              <w:top w:val="single" w:color="000000" w:sz="4" w:space="0"/>
              <w:left w:val="single" w:color="000000" w:sz="4" w:space="0"/>
              <w:right w:val="single" w:color="auto" w:sz="4" w:space="0"/>
            </w:tcBorders>
            <w:noWrap w:val="0"/>
            <w:vAlign w:val="center"/>
          </w:tcPr>
          <w:p w14:paraId="402CA8AE">
            <w:pPr>
              <w:pStyle w:val="36"/>
              <w:adjustRightInd w:val="0"/>
              <w:snapToGrid w:val="0"/>
              <w:spacing w:line="240" w:lineRule="atLeast"/>
              <w:ind w:firstLine="0" w:firstLineChars="0"/>
              <w:jc w:val="left"/>
              <w:rPr>
                <w:rFonts w:hint="eastAsia" w:hAnsi="宋体"/>
                <w:kern w:val="2"/>
                <w:sz w:val="18"/>
                <w:szCs w:val="18"/>
              </w:rPr>
            </w:pPr>
            <w:r>
              <w:rPr>
                <w:rFonts w:hint="eastAsia" w:hAnsi="宋体"/>
                <w:kern w:val="2"/>
                <w:sz w:val="18"/>
                <w:szCs w:val="18"/>
              </w:rPr>
              <w:t>i）系统上所有的控制阀门均应采用铅封或锁链固定在开启或规定的状态；</w:t>
            </w:r>
          </w:p>
          <w:p w14:paraId="5C2F8429">
            <w:pPr>
              <w:pStyle w:val="188"/>
              <w:adjustRightInd w:val="0"/>
              <w:snapToGrid w:val="0"/>
              <w:ind w:firstLine="0" w:firstLineChars="0"/>
              <w:jc w:val="left"/>
              <w:rPr>
                <w:rFonts w:hint="eastAsia" w:ascii="宋体" w:hAnsi="宋体" w:eastAsia="宋体" w:cs="Times New Roman"/>
                <w:kern w:val="2"/>
                <w:sz w:val="18"/>
                <w:szCs w:val="18"/>
                <w:lang w:val="en-US" w:eastAsia="zh-CN" w:bidi="ar-SA"/>
              </w:rPr>
            </w:pPr>
            <w:r>
              <w:rPr>
                <w:rFonts w:hint="eastAsia" w:hAnsi="宋体"/>
                <w:kern w:val="2"/>
                <w:sz w:val="18"/>
                <w:szCs w:val="18"/>
              </w:rPr>
              <w:t>j）消防水泵和稳压泵应设置备用泵。</w:t>
            </w:r>
          </w:p>
        </w:tc>
        <w:tc>
          <w:tcPr>
            <w:tcW w:w="737" w:type="dxa"/>
            <w:tcBorders>
              <w:top w:val="single" w:color="000000" w:sz="4" w:space="0"/>
              <w:left w:val="single" w:color="auto" w:sz="4" w:space="0"/>
              <w:right w:val="single" w:color="auto" w:sz="4" w:space="0"/>
            </w:tcBorders>
            <w:noWrap w:val="0"/>
            <w:vAlign w:val="center"/>
          </w:tcPr>
          <w:p w14:paraId="57B86F6D">
            <w:pPr>
              <w:adjustRightInd w:val="0"/>
              <w:snapToGrid w:val="0"/>
              <w:jc w:val="center"/>
              <w:rPr>
                <w:rFonts w:hint="eastAsia" w:ascii="宋体" w:hAnsi="宋体" w:eastAsia="宋体" w:cs="宋体"/>
                <w:kern w:val="2"/>
                <w:sz w:val="18"/>
                <w:szCs w:val="18"/>
                <w:lang w:val="en-US" w:eastAsia="zh-CN" w:bidi="ar-SA"/>
              </w:rPr>
            </w:pPr>
          </w:p>
        </w:tc>
        <w:tc>
          <w:tcPr>
            <w:tcW w:w="633" w:type="dxa"/>
            <w:tcBorders>
              <w:top w:val="single" w:color="000000" w:sz="4" w:space="0"/>
              <w:left w:val="single" w:color="auto" w:sz="4" w:space="0"/>
              <w:right w:val="single" w:color="auto" w:sz="4" w:space="0"/>
            </w:tcBorders>
            <w:noWrap w:val="0"/>
            <w:vAlign w:val="center"/>
          </w:tcPr>
          <w:p w14:paraId="67235DD7">
            <w:pPr>
              <w:adjustRightInd w:val="0"/>
              <w:snapToGrid w:val="0"/>
              <w:ind w:right="34" w:rightChars="0"/>
              <w:jc w:val="center"/>
              <w:rPr>
                <w:rFonts w:hint="default" w:ascii="宋体" w:hAnsi="宋体" w:eastAsia="宋体" w:cs="Times New Roman"/>
                <w:kern w:val="2"/>
                <w:sz w:val="18"/>
                <w:szCs w:val="18"/>
                <w:lang w:val="en-US" w:eastAsia="zh-CN" w:bidi="ar-SA"/>
              </w:rPr>
            </w:pPr>
          </w:p>
        </w:tc>
        <w:tc>
          <w:tcPr>
            <w:tcW w:w="633" w:type="dxa"/>
            <w:tcBorders>
              <w:top w:val="single" w:color="000000" w:sz="4" w:space="0"/>
              <w:left w:val="single" w:color="auto" w:sz="4" w:space="0"/>
              <w:right w:val="single" w:color="auto" w:sz="4" w:space="0"/>
            </w:tcBorders>
            <w:noWrap w:val="0"/>
            <w:vAlign w:val="center"/>
          </w:tcPr>
          <w:p w14:paraId="683FFA7B">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2573" w:type="dxa"/>
            <w:tcBorders>
              <w:top w:val="single" w:color="000000" w:sz="4" w:space="0"/>
              <w:left w:val="single" w:color="auto" w:sz="4" w:space="0"/>
              <w:right w:val="single" w:color="auto" w:sz="4" w:space="0"/>
            </w:tcBorders>
            <w:noWrap w:val="0"/>
            <w:vAlign w:val="center"/>
          </w:tcPr>
          <w:p w14:paraId="0062F095">
            <w:pPr>
              <w:rPr>
                <w:rFonts w:hint="eastAsia" w:ascii="宋体" w:hAnsi="宋体" w:eastAsia="宋体" w:cs="宋体"/>
                <w:kern w:val="2"/>
                <w:sz w:val="18"/>
                <w:szCs w:val="18"/>
                <w:lang w:val="en-US" w:eastAsia="zh-CN" w:bidi="ar-SA"/>
              </w:rPr>
            </w:pPr>
          </w:p>
        </w:tc>
        <w:tc>
          <w:tcPr>
            <w:tcW w:w="712" w:type="dxa"/>
            <w:tcBorders>
              <w:top w:val="single" w:color="000000" w:sz="4" w:space="0"/>
              <w:left w:val="single" w:color="auto" w:sz="4" w:space="0"/>
              <w:right w:val="single" w:color="auto" w:sz="4" w:space="0"/>
            </w:tcBorders>
            <w:noWrap w:val="0"/>
            <w:vAlign w:val="center"/>
          </w:tcPr>
          <w:p w14:paraId="3E053CCE">
            <w:pPr>
              <w:adjustRightInd w:val="0"/>
              <w:snapToGrid w:val="0"/>
              <w:rPr>
                <w:rFonts w:ascii="宋体" w:hAnsi="宋体" w:eastAsia="宋体" w:cs="宋体"/>
                <w:kern w:val="2"/>
                <w:sz w:val="18"/>
                <w:szCs w:val="18"/>
                <w:lang w:val="en-US" w:eastAsia="zh-CN" w:bidi="ar-SA"/>
              </w:rPr>
            </w:pPr>
          </w:p>
        </w:tc>
        <w:tc>
          <w:tcPr>
            <w:tcW w:w="1284" w:type="dxa"/>
            <w:tcBorders>
              <w:top w:val="single" w:color="000000" w:sz="4" w:space="0"/>
              <w:left w:val="single" w:color="auto" w:sz="4" w:space="0"/>
              <w:right w:val="single" w:color="auto" w:sz="4" w:space="0"/>
            </w:tcBorders>
            <w:noWrap w:val="0"/>
            <w:vAlign w:val="center"/>
          </w:tcPr>
          <w:p w14:paraId="0B7089B0">
            <w:pPr>
              <w:adjustRightInd w:val="0"/>
              <w:snapToGrid w:val="0"/>
              <w:rPr>
                <w:rFonts w:ascii="宋体" w:hAnsi="宋体" w:eastAsia="宋体" w:cs="宋体"/>
                <w:kern w:val="2"/>
                <w:sz w:val="18"/>
                <w:szCs w:val="18"/>
                <w:lang w:val="en-US" w:eastAsia="zh-CN" w:bidi="ar-SA"/>
              </w:rPr>
            </w:pPr>
          </w:p>
        </w:tc>
        <w:tc>
          <w:tcPr>
            <w:tcW w:w="1176" w:type="dxa"/>
            <w:tcBorders>
              <w:top w:val="single" w:color="000000" w:sz="4" w:space="0"/>
              <w:left w:val="single" w:color="auto" w:sz="4" w:space="0"/>
              <w:right w:val="single" w:color="000000" w:sz="4" w:space="0"/>
            </w:tcBorders>
            <w:noWrap w:val="0"/>
            <w:vAlign w:val="center"/>
          </w:tcPr>
          <w:p w14:paraId="6EA24F50">
            <w:pPr>
              <w:adjustRightInd w:val="0"/>
              <w:snapToGrid w:val="0"/>
              <w:ind w:right="34" w:rightChars="0"/>
              <w:jc w:val="center"/>
              <w:rPr>
                <w:rFonts w:hint="eastAsia" w:ascii="宋体" w:hAnsi="宋体" w:eastAsia="宋体" w:cs="Times New Roman"/>
                <w:kern w:val="2"/>
                <w:sz w:val="18"/>
                <w:szCs w:val="18"/>
                <w:lang w:val="en-US" w:eastAsia="zh-CN" w:bidi="ar-SA"/>
              </w:rPr>
            </w:pPr>
          </w:p>
        </w:tc>
      </w:tr>
      <w:tr w14:paraId="14CF5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blHeader/>
          <w:jc w:val="center"/>
        </w:trPr>
        <w:tc>
          <w:tcPr>
            <w:tcW w:w="923" w:type="dxa"/>
            <w:tcBorders>
              <w:top w:val="single" w:color="000000" w:sz="4" w:space="0"/>
              <w:left w:val="single" w:color="000000" w:sz="4" w:space="0"/>
              <w:bottom w:val="single" w:color="000000" w:sz="4" w:space="0"/>
              <w:right w:val="single" w:color="000000" w:sz="4" w:space="0"/>
            </w:tcBorders>
            <w:noWrap w:val="0"/>
            <w:vAlign w:val="center"/>
          </w:tcPr>
          <w:p w14:paraId="34C1140C">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7.</w:t>
            </w:r>
            <w:r>
              <w:rPr>
                <w:rFonts w:hint="eastAsia" w:ascii="宋体" w:hAnsi="宋体" w:cs="宋体"/>
                <w:snapToGrid w:val="0"/>
                <w:kern w:val="21"/>
                <w:sz w:val="18"/>
                <w:szCs w:val="18"/>
                <w:lang w:val="en-US" w:eastAsia="zh-CN"/>
              </w:rPr>
              <w:t>5.3</w:t>
            </w:r>
          </w:p>
        </w:tc>
        <w:tc>
          <w:tcPr>
            <w:tcW w:w="6682" w:type="dxa"/>
            <w:tcBorders>
              <w:top w:val="single" w:color="000000" w:sz="4" w:space="0"/>
              <w:left w:val="single" w:color="000000" w:sz="4" w:space="0"/>
              <w:right w:val="single" w:color="auto" w:sz="4" w:space="0"/>
            </w:tcBorders>
            <w:noWrap w:val="0"/>
            <w:vAlign w:val="center"/>
          </w:tcPr>
          <w:p w14:paraId="4FAEB326">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消防水泵房管理应符合下列要求：</w:t>
            </w:r>
          </w:p>
          <w:p w14:paraId="1C75B05A">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a）</w:t>
            </w:r>
            <w:r>
              <w:rPr>
                <w:rFonts w:hint="eastAsia" w:ascii="宋体" w:hAnsi="宋体"/>
                <w:sz w:val="18"/>
                <w:szCs w:val="18"/>
              </w:rPr>
              <w:t>消防水泵房门应设置标识，标明消防重点部位闲人免进</w:t>
            </w:r>
            <w:r>
              <w:rPr>
                <w:rFonts w:hint="eastAsia" w:ascii="宋体" w:hAnsi="宋体"/>
                <w:sz w:val="18"/>
                <w:szCs w:val="18"/>
                <w:lang w:eastAsia="zh-CN"/>
              </w:rPr>
              <w:t>；</w:t>
            </w:r>
          </w:p>
          <w:p w14:paraId="431EF6BD">
            <w:pPr>
              <w:adjustRightInd w:val="0"/>
              <w:snapToGrid w:val="0"/>
              <w:jc w:val="left"/>
              <w:rPr>
                <w:rFonts w:hint="eastAsia" w:ascii="宋体" w:hAnsi="宋体"/>
                <w:bCs/>
                <w:sz w:val="18"/>
                <w:szCs w:val="18"/>
              </w:rPr>
            </w:pPr>
            <w:r>
              <w:rPr>
                <w:rFonts w:hint="eastAsia" w:ascii="宋体" w:hAnsi="宋体"/>
                <w:sz w:val="18"/>
                <w:szCs w:val="18"/>
                <w:lang w:val="en-US" w:eastAsia="zh-CN"/>
              </w:rPr>
              <w:t>b)</w:t>
            </w:r>
            <w:r>
              <w:rPr>
                <w:rFonts w:hint="eastAsia" w:ascii="宋体" w:hAnsi="宋体"/>
                <w:sz w:val="18"/>
                <w:szCs w:val="18"/>
              </w:rPr>
              <w:t>消防水泵房墙上应设置消防安全管理制度、操作规程等。消防水泵、水泵控制柜上应标明类别、编号、控制区域和系统、维护保养责任人、维护保养时间</w:t>
            </w:r>
            <w:r>
              <w:rPr>
                <w:rFonts w:hint="eastAsia" w:ascii="宋体" w:hAnsi="宋体"/>
                <w:sz w:val="18"/>
                <w:szCs w:val="18"/>
                <w:lang w:eastAsia="zh-CN"/>
              </w:rPr>
              <w:t>；</w:t>
            </w:r>
          </w:p>
          <w:p w14:paraId="49926629">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sz w:val="18"/>
                <w:szCs w:val="18"/>
                <w:lang w:val="en-US" w:eastAsia="zh-CN"/>
              </w:rPr>
              <w:t>c)</w:t>
            </w:r>
            <w:r>
              <w:rPr>
                <w:rFonts w:hint="eastAsia" w:ascii="宋体" w:hAnsi="宋体"/>
                <w:sz w:val="18"/>
                <w:szCs w:val="18"/>
              </w:rPr>
              <w:t>应由专人负责监控，定期检查保养、维护及清洁清扫，并保存记录。</w:t>
            </w:r>
          </w:p>
        </w:tc>
        <w:tc>
          <w:tcPr>
            <w:tcW w:w="737" w:type="dxa"/>
            <w:tcBorders>
              <w:top w:val="single" w:color="000000" w:sz="4" w:space="0"/>
              <w:left w:val="single" w:color="auto" w:sz="4" w:space="0"/>
              <w:right w:val="single" w:color="auto" w:sz="4" w:space="0"/>
            </w:tcBorders>
            <w:noWrap w:val="0"/>
            <w:vAlign w:val="center"/>
          </w:tcPr>
          <w:p w14:paraId="27096CFA">
            <w:pPr>
              <w:adjustRightInd w:val="0"/>
              <w:snapToGrid w:val="0"/>
              <w:jc w:val="center"/>
              <w:rPr>
                <w:rFonts w:hint="eastAsia" w:ascii="宋体" w:hAnsi="宋体" w:eastAsia="宋体" w:cs="宋体"/>
                <w:snapToGrid w:val="0"/>
                <w:kern w:val="21"/>
                <w:sz w:val="18"/>
                <w:szCs w:val="18"/>
                <w:lang w:val="en-US" w:eastAsia="zh-CN" w:bidi="ar-SA"/>
              </w:rPr>
            </w:pPr>
          </w:p>
        </w:tc>
        <w:tc>
          <w:tcPr>
            <w:tcW w:w="633" w:type="dxa"/>
            <w:tcBorders>
              <w:top w:val="single" w:color="000000" w:sz="4" w:space="0"/>
              <w:left w:val="single" w:color="auto" w:sz="4" w:space="0"/>
              <w:right w:val="single" w:color="auto" w:sz="4" w:space="0"/>
            </w:tcBorders>
            <w:noWrap w:val="0"/>
            <w:vAlign w:val="center"/>
          </w:tcPr>
          <w:p w14:paraId="61239057">
            <w:pPr>
              <w:adjustRightInd w:val="0"/>
              <w:snapToGrid w:val="0"/>
              <w:jc w:val="center"/>
              <w:rPr>
                <w:rFonts w:hint="default" w:ascii="宋体" w:hAnsi="宋体" w:eastAsia="宋体" w:cs="宋体"/>
                <w:snapToGrid w:val="0"/>
                <w:kern w:val="21"/>
                <w:sz w:val="18"/>
                <w:szCs w:val="18"/>
                <w:lang w:val="en-US" w:eastAsia="zh-CN" w:bidi="ar-SA"/>
              </w:rPr>
            </w:pPr>
          </w:p>
        </w:tc>
        <w:tc>
          <w:tcPr>
            <w:tcW w:w="633" w:type="dxa"/>
            <w:tcBorders>
              <w:top w:val="single" w:color="000000" w:sz="4" w:space="0"/>
              <w:left w:val="single" w:color="auto" w:sz="4" w:space="0"/>
              <w:right w:val="single" w:color="auto" w:sz="4" w:space="0"/>
            </w:tcBorders>
            <w:noWrap w:val="0"/>
            <w:vAlign w:val="center"/>
          </w:tcPr>
          <w:p w14:paraId="68CBFBC3">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val="en-US" w:eastAsia="zh-CN"/>
              </w:rPr>
              <w:t>2</w:t>
            </w:r>
          </w:p>
        </w:tc>
        <w:tc>
          <w:tcPr>
            <w:tcW w:w="2573" w:type="dxa"/>
            <w:tcBorders>
              <w:top w:val="single" w:color="000000" w:sz="4" w:space="0"/>
              <w:left w:val="single" w:color="auto" w:sz="4" w:space="0"/>
              <w:right w:val="single" w:color="auto" w:sz="4" w:space="0"/>
            </w:tcBorders>
            <w:noWrap w:val="0"/>
            <w:vAlign w:val="center"/>
          </w:tcPr>
          <w:p w14:paraId="13CC0286">
            <w:pPr>
              <w:adjustRightInd w:val="0"/>
              <w:snapToGrid w:val="0"/>
              <w:jc w:val="left"/>
              <w:rPr>
                <w:rFonts w:hint="eastAsia" w:ascii="宋体" w:hAnsi="宋体" w:eastAsia="宋体" w:cs="Times New Roman"/>
                <w:bCs/>
                <w:kern w:val="2"/>
                <w:sz w:val="18"/>
                <w:szCs w:val="18"/>
                <w:lang w:val="en-US" w:eastAsia="zh-CN" w:bidi="ar-SA"/>
              </w:rPr>
            </w:pPr>
            <w:r>
              <w:rPr>
                <w:rFonts w:hint="eastAsia" w:ascii="宋体" w:hAnsi="宋体"/>
                <w:bCs/>
                <w:sz w:val="18"/>
                <w:szCs w:val="18"/>
              </w:rPr>
              <w:t>一处不符合</w:t>
            </w:r>
            <w:r>
              <w:rPr>
                <w:rFonts w:hint="eastAsia" w:ascii="宋体" w:hAnsi="宋体"/>
                <w:bCs/>
                <w:sz w:val="18"/>
                <w:szCs w:val="18"/>
                <w:lang w:val="en-US" w:eastAsia="zh-CN"/>
              </w:rPr>
              <w:t>不得分</w:t>
            </w:r>
            <w:r>
              <w:rPr>
                <w:rFonts w:hint="eastAsia" w:ascii="宋体" w:hAnsi="宋体"/>
                <w:bCs/>
                <w:sz w:val="18"/>
                <w:szCs w:val="18"/>
              </w:rPr>
              <w:t>。</w:t>
            </w:r>
          </w:p>
        </w:tc>
        <w:tc>
          <w:tcPr>
            <w:tcW w:w="712" w:type="dxa"/>
            <w:tcBorders>
              <w:top w:val="single" w:color="000000" w:sz="4" w:space="0"/>
              <w:left w:val="single" w:color="auto" w:sz="4" w:space="0"/>
              <w:right w:val="single" w:color="auto" w:sz="4" w:space="0"/>
            </w:tcBorders>
            <w:noWrap w:val="0"/>
            <w:vAlign w:val="top"/>
          </w:tcPr>
          <w:p w14:paraId="716EF6B0">
            <w:pPr>
              <w:adjustRightInd w:val="0"/>
              <w:snapToGrid w:val="0"/>
              <w:rPr>
                <w:rFonts w:ascii="宋体" w:hAnsi="宋体" w:eastAsia="宋体" w:cs="宋体"/>
                <w:kern w:val="2"/>
                <w:sz w:val="18"/>
                <w:szCs w:val="18"/>
                <w:lang w:val="en-US" w:eastAsia="zh-CN" w:bidi="ar-SA"/>
              </w:rPr>
            </w:pPr>
          </w:p>
        </w:tc>
        <w:tc>
          <w:tcPr>
            <w:tcW w:w="1284" w:type="dxa"/>
            <w:tcBorders>
              <w:top w:val="single" w:color="000000" w:sz="4" w:space="0"/>
              <w:left w:val="single" w:color="auto" w:sz="4" w:space="0"/>
              <w:right w:val="single" w:color="auto" w:sz="4" w:space="0"/>
            </w:tcBorders>
            <w:noWrap w:val="0"/>
            <w:vAlign w:val="top"/>
          </w:tcPr>
          <w:p w14:paraId="09ACEDC6">
            <w:pPr>
              <w:adjustRightInd w:val="0"/>
              <w:snapToGrid w:val="0"/>
              <w:rPr>
                <w:rFonts w:ascii="宋体" w:hAnsi="宋体" w:eastAsia="宋体" w:cs="宋体"/>
                <w:kern w:val="2"/>
                <w:sz w:val="18"/>
                <w:szCs w:val="18"/>
                <w:lang w:val="en-US" w:eastAsia="zh-CN" w:bidi="ar-SA"/>
              </w:rPr>
            </w:pPr>
          </w:p>
        </w:tc>
        <w:tc>
          <w:tcPr>
            <w:tcW w:w="1176" w:type="dxa"/>
            <w:tcBorders>
              <w:top w:val="single" w:color="000000" w:sz="4" w:space="0"/>
              <w:left w:val="single" w:color="auto" w:sz="4" w:space="0"/>
              <w:right w:val="single" w:color="000000" w:sz="4" w:space="0"/>
            </w:tcBorders>
            <w:noWrap w:val="0"/>
            <w:vAlign w:val="center"/>
          </w:tcPr>
          <w:p w14:paraId="2B7CD839">
            <w:pPr>
              <w:adjustRightInd w:val="0"/>
              <w:snapToGrid w:val="0"/>
              <w:ind w:right="34" w:rightChars="0"/>
              <w:jc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bidi="ar-SA"/>
              </w:rPr>
              <w:t>4.7.5</w:t>
            </w:r>
          </w:p>
        </w:tc>
      </w:tr>
      <w:tr w14:paraId="21F02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blHeader/>
          <w:jc w:val="center"/>
        </w:trPr>
        <w:tc>
          <w:tcPr>
            <w:tcW w:w="923" w:type="dxa"/>
            <w:tcBorders>
              <w:top w:val="single" w:color="000000" w:sz="4" w:space="0"/>
              <w:left w:val="single" w:color="000000" w:sz="4" w:space="0"/>
              <w:bottom w:val="single" w:color="000000" w:sz="4" w:space="0"/>
              <w:right w:val="single" w:color="000000" w:sz="4" w:space="0"/>
            </w:tcBorders>
            <w:noWrap w:val="0"/>
            <w:vAlign w:val="center"/>
          </w:tcPr>
          <w:p w14:paraId="16EF5F9C">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6</w:t>
            </w:r>
          </w:p>
        </w:tc>
        <w:tc>
          <w:tcPr>
            <w:tcW w:w="6682" w:type="dxa"/>
            <w:tcBorders>
              <w:top w:val="single" w:color="000000" w:sz="4" w:space="0"/>
              <w:left w:val="single" w:color="000000" w:sz="4" w:space="0"/>
              <w:right w:val="single" w:color="auto" w:sz="4" w:space="0"/>
            </w:tcBorders>
            <w:noWrap w:val="0"/>
            <w:vAlign w:val="center"/>
          </w:tcPr>
          <w:p w14:paraId="0CB75C99">
            <w:pPr>
              <w:pStyle w:val="188"/>
              <w:adjustRightInd w:val="0"/>
              <w:snapToGrid w:val="0"/>
              <w:ind w:firstLine="0" w:firstLineChars="0"/>
              <w:jc w:val="left"/>
              <w:rPr>
                <w:rFonts w:hint="eastAsia" w:ascii="宋体" w:hAnsi="宋体" w:eastAsia="宋体" w:cs="Times New Roman"/>
                <w:kern w:val="2"/>
                <w:sz w:val="18"/>
                <w:szCs w:val="18"/>
                <w:lang w:val="en-US" w:eastAsia="zh-CN" w:bidi="ar-SA"/>
              </w:rPr>
            </w:pPr>
            <w:r>
              <w:rPr>
                <w:rFonts w:hint="eastAsia" w:hAnsi="宋体"/>
                <w:szCs w:val="18"/>
              </w:rPr>
              <w:t>安全出口、消防车道和</w:t>
            </w:r>
            <w:r>
              <w:rPr>
                <w:rFonts w:hint="eastAsia" w:hAnsi="宋体"/>
                <w:szCs w:val="18"/>
                <w:lang w:eastAsia="zh-CN"/>
              </w:rPr>
              <w:t>疏散通道</w:t>
            </w:r>
          </w:p>
        </w:tc>
        <w:tc>
          <w:tcPr>
            <w:tcW w:w="737" w:type="dxa"/>
            <w:tcBorders>
              <w:top w:val="single" w:color="000000" w:sz="4" w:space="0"/>
              <w:left w:val="single" w:color="auto" w:sz="4" w:space="0"/>
              <w:right w:val="single" w:color="auto" w:sz="4" w:space="0"/>
            </w:tcBorders>
            <w:noWrap w:val="0"/>
            <w:vAlign w:val="center"/>
          </w:tcPr>
          <w:p w14:paraId="00C72AD5">
            <w:pPr>
              <w:adjustRightInd w:val="0"/>
              <w:snapToGrid w:val="0"/>
              <w:jc w:val="center"/>
              <w:rPr>
                <w:rFonts w:hint="eastAsia" w:ascii="宋体" w:hAnsi="宋体" w:eastAsia="宋体" w:cs="宋体"/>
                <w:kern w:val="2"/>
                <w:sz w:val="18"/>
                <w:szCs w:val="18"/>
                <w:lang w:val="en-US" w:eastAsia="zh-CN" w:bidi="ar-SA"/>
              </w:rPr>
            </w:pPr>
          </w:p>
        </w:tc>
        <w:tc>
          <w:tcPr>
            <w:tcW w:w="633" w:type="dxa"/>
            <w:tcBorders>
              <w:top w:val="single" w:color="000000" w:sz="4" w:space="0"/>
              <w:left w:val="single" w:color="auto" w:sz="4" w:space="0"/>
              <w:right w:val="single" w:color="auto" w:sz="4" w:space="0"/>
            </w:tcBorders>
            <w:noWrap w:val="0"/>
            <w:vAlign w:val="center"/>
          </w:tcPr>
          <w:p w14:paraId="5B1EE370">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kern w:val="0"/>
                <w:sz w:val="18"/>
                <w:szCs w:val="18"/>
                <w:lang w:val="en-US" w:eastAsia="zh-CN"/>
              </w:rPr>
              <w:t>15</w:t>
            </w:r>
          </w:p>
        </w:tc>
        <w:tc>
          <w:tcPr>
            <w:tcW w:w="633" w:type="dxa"/>
            <w:tcBorders>
              <w:top w:val="single" w:color="000000" w:sz="4" w:space="0"/>
              <w:left w:val="single" w:color="auto" w:sz="4" w:space="0"/>
              <w:right w:val="single" w:color="auto" w:sz="4" w:space="0"/>
            </w:tcBorders>
            <w:noWrap w:val="0"/>
            <w:vAlign w:val="center"/>
          </w:tcPr>
          <w:p w14:paraId="18661254">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2573" w:type="dxa"/>
            <w:tcBorders>
              <w:top w:val="single" w:color="000000" w:sz="4" w:space="0"/>
              <w:left w:val="single" w:color="auto" w:sz="4" w:space="0"/>
              <w:right w:val="single" w:color="auto" w:sz="4" w:space="0"/>
            </w:tcBorders>
            <w:noWrap w:val="0"/>
            <w:vAlign w:val="center"/>
          </w:tcPr>
          <w:p w14:paraId="0BC446E6">
            <w:pPr>
              <w:rPr>
                <w:rFonts w:hint="eastAsia" w:ascii="宋体" w:hAnsi="宋体" w:eastAsia="宋体" w:cs="宋体"/>
                <w:kern w:val="2"/>
                <w:sz w:val="18"/>
                <w:szCs w:val="18"/>
                <w:lang w:val="en-US" w:eastAsia="zh-CN" w:bidi="ar-SA"/>
              </w:rPr>
            </w:pPr>
          </w:p>
        </w:tc>
        <w:tc>
          <w:tcPr>
            <w:tcW w:w="712" w:type="dxa"/>
            <w:tcBorders>
              <w:top w:val="single" w:color="000000" w:sz="4" w:space="0"/>
              <w:left w:val="single" w:color="auto" w:sz="4" w:space="0"/>
              <w:right w:val="single" w:color="auto" w:sz="4" w:space="0"/>
            </w:tcBorders>
            <w:noWrap w:val="0"/>
            <w:vAlign w:val="center"/>
          </w:tcPr>
          <w:p w14:paraId="71974EB0">
            <w:pPr>
              <w:adjustRightInd w:val="0"/>
              <w:snapToGrid w:val="0"/>
              <w:rPr>
                <w:rFonts w:ascii="宋体" w:hAnsi="宋体" w:eastAsia="宋体" w:cs="宋体"/>
                <w:kern w:val="2"/>
                <w:sz w:val="18"/>
                <w:szCs w:val="18"/>
                <w:lang w:val="en-US" w:eastAsia="zh-CN" w:bidi="ar-SA"/>
              </w:rPr>
            </w:pPr>
          </w:p>
        </w:tc>
        <w:tc>
          <w:tcPr>
            <w:tcW w:w="1284" w:type="dxa"/>
            <w:tcBorders>
              <w:top w:val="single" w:color="000000" w:sz="4" w:space="0"/>
              <w:left w:val="single" w:color="auto" w:sz="4" w:space="0"/>
              <w:right w:val="single" w:color="auto" w:sz="4" w:space="0"/>
            </w:tcBorders>
            <w:noWrap w:val="0"/>
            <w:vAlign w:val="center"/>
          </w:tcPr>
          <w:p w14:paraId="28BA1CC1">
            <w:pPr>
              <w:adjustRightInd w:val="0"/>
              <w:snapToGrid w:val="0"/>
              <w:rPr>
                <w:rFonts w:ascii="宋体" w:hAnsi="宋体" w:eastAsia="宋体" w:cs="宋体"/>
                <w:kern w:val="2"/>
                <w:sz w:val="18"/>
                <w:szCs w:val="18"/>
                <w:lang w:val="en-US" w:eastAsia="zh-CN" w:bidi="ar-SA"/>
              </w:rPr>
            </w:pPr>
          </w:p>
        </w:tc>
        <w:tc>
          <w:tcPr>
            <w:tcW w:w="1176" w:type="dxa"/>
            <w:tcBorders>
              <w:top w:val="single" w:color="000000" w:sz="4" w:space="0"/>
              <w:left w:val="single" w:color="auto" w:sz="4" w:space="0"/>
              <w:right w:val="single" w:color="000000" w:sz="4" w:space="0"/>
            </w:tcBorders>
            <w:noWrap w:val="0"/>
            <w:vAlign w:val="center"/>
          </w:tcPr>
          <w:p w14:paraId="1BB39DFA">
            <w:pPr>
              <w:adjustRightInd w:val="0"/>
              <w:snapToGrid w:val="0"/>
              <w:ind w:right="34" w:rightChars="0"/>
              <w:jc w:val="center"/>
              <w:rPr>
                <w:rFonts w:hint="default" w:ascii="宋体" w:hAnsi="宋体" w:eastAsia="宋体" w:cs="Times New Roman"/>
                <w:kern w:val="2"/>
                <w:sz w:val="18"/>
                <w:szCs w:val="18"/>
                <w:lang w:val="en-US" w:eastAsia="zh-CN" w:bidi="ar-SA"/>
              </w:rPr>
            </w:pPr>
            <w:r>
              <w:rPr>
                <w:rFonts w:hint="eastAsia" w:ascii="宋体" w:hAnsi="宋体" w:cs="Times New Roman"/>
                <w:kern w:val="2"/>
                <w:sz w:val="18"/>
                <w:szCs w:val="18"/>
                <w:lang w:val="en-US" w:eastAsia="zh-CN" w:bidi="ar-SA"/>
              </w:rPr>
              <w:t>4.7.6</w:t>
            </w:r>
          </w:p>
        </w:tc>
      </w:tr>
      <w:tr w14:paraId="69500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0" w:hRule="atLeast"/>
          <w:tblHeader/>
          <w:jc w:val="center"/>
        </w:trPr>
        <w:tc>
          <w:tcPr>
            <w:tcW w:w="923" w:type="dxa"/>
            <w:vAlign w:val="center"/>
          </w:tcPr>
          <w:p w14:paraId="5AB12482">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6</w:t>
            </w:r>
            <w:r>
              <w:rPr>
                <w:rFonts w:hint="eastAsia" w:ascii="宋体" w:hAnsi="宋体"/>
                <w:sz w:val="18"/>
                <w:szCs w:val="18"/>
              </w:rPr>
              <w:t>.1</w:t>
            </w:r>
          </w:p>
        </w:tc>
        <w:tc>
          <w:tcPr>
            <w:tcW w:w="6682" w:type="dxa"/>
            <w:vAlign w:val="center"/>
          </w:tcPr>
          <w:p w14:paraId="31AE2FF2">
            <w:pPr>
              <w:adjustRightInd w:val="0"/>
              <w:snapToGrid w:val="0"/>
              <w:rPr>
                <w:rFonts w:hint="eastAsia" w:ascii="宋体" w:hAnsi="宋体"/>
                <w:sz w:val="18"/>
                <w:szCs w:val="18"/>
              </w:rPr>
            </w:pPr>
            <w:r>
              <w:rPr>
                <w:rFonts w:hint="eastAsia" w:ascii="宋体" w:hAnsi="宋体"/>
                <w:sz w:val="18"/>
                <w:szCs w:val="18"/>
              </w:rPr>
              <w:t>安全出口、消防车道和和</w:t>
            </w:r>
            <w:r>
              <w:rPr>
                <w:rFonts w:hint="eastAsia" w:ascii="宋体" w:hAnsi="宋体"/>
                <w:sz w:val="18"/>
                <w:szCs w:val="18"/>
                <w:lang w:eastAsia="zh-CN"/>
              </w:rPr>
              <w:t>疏散通道</w:t>
            </w:r>
            <w:r>
              <w:rPr>
                <w:rFonts w:hint="eastAsia" w:ascii="宋体" w:hAnsi="宋体"/>
                <w:sz w:val="18"/>
                <w:szCs w:val="18"/>
              </w:rPr>
              <w:t>设置应符合下列要求：</w:t>
            </w:r>
          </w:p>
          <w:p w14:paraId="66656DFD">
            <w:pPr>
              <w:adjustRightInd w:val="0"/>
              <w:snapToGrid w:val="0"/>
              <w:rPr>
                <w:rFonts w:hint="eastAsia" w:ascii="宋体" w:hAnsi="宋体"/>
                <w:sz w:val="18"/>
                <w:szCs w:val="18"/>
              </w:rPr>
            </w:pPr>
            <w:r>
              <w:rPr>
                <w:rFonts w:hint="eastAsia" w:ascii="宋体" w:hAnsi="宋体"/>
                <w:sz w:val="18"/>
                <w:szCs w:val="18"/>
              </w:rPr>
              <w:t>a）疏散门不应设置门槛或其他影响疏散的障碍物，且在其1.4m范围内不应设置台阶；</w:t>
            </w:r>
          </w:p>
          <w:p w14:paraId="55686FEC">
            <w:pPr>
              <w:adjustRightInd w:val="0"/>
              <w:snapToGrid w:val="0"/>
              <w:rPr>
                <w:rFonts w:hint="eastAsia" w:ascii="宋体" w:hAnsi="宋体" w:eastAsia="宋体"/>
                <w:sz w:val="18"/>
                <w:szCs w:val="18"/>
                <w:lang w:eastAsia="zh-CN"/>
              </w:rPr>
            </w:pPr>
            <w:r>
              <w:rPr>
                <w:rFonts w:hint="eastAsia" w:ascii="宋体" w:hAnsi="宋体"/>
                <w:sz w:val="18"/>
                <w:szCs w:val="18"/>
              </w:rPr>
              <w:t>b）疏散出口门、室外疏散楼梯的净宽度均不应小于0.80m，</w:t>
            </w:r>
            <w:r>
              <w:rPr>
                <w:rFonts w:hint="eastAsia" w:ascii="宋体" w:hAnsi="宋体"/>
                <w:sz w:val="18"/>
                <w:szCs w:val="18"/>
                <w:lang w:eastAsia="zh-CN"/>
              </w:rPr>
              <w:t>疏散通道</w:t>
            </w:r>
            <w:r>
              <w:rPr>
                <w:rFonts w:hint="eastAsia" w:ascii="宋体" w:hAnsi="宋体"/>
                <w:sz w:val="18"/>
                <w:szCs w:val="18"/>
              </w:rPr>
              <w:t>、首层疏散外门净宽度均不应小于1.1m</w:t>
            </w:r>
            <w:r>
              <w:rPr>
                <w:rFonts w:hint="eastAsia" w:ascii="宋体" w:hAnsi="宋体"/>
                <w:sz w:val="18"/>
                <w:szCs w:val="18"/>
                <w:lang w:eastAsia="zh-CN"/>
              </w:rPr>
              <w:t>；</w:t>
            </w:r>
          </w:p>
          <w:p w14:paraId="0D38C8ED">
            <w:pPr>
              <w:adjustRightInd w:val="0"/>
              <w:snapToGrid w:val="0"/>
              <w:rPr>
                <w:rFonts w:hint="eastAsia" w:ascii="宋体" w:hAnsi="宋体"/>
                <w:sz w:val="18"/>
                <w:szCs w:val="18"/>
                <w:lang w:eastAsia="zh-CN"/>
              </w:rPr>
            </w:pPr>
            <w:r>
              <w:rPr>
                <w:rFonts w:hint="eastAsia" w:ascii="宋体" w:hAnsi="宋体"/>
                <w:sz w:val="18"/>
                <w:szCs w:val="18"/>
              </w:rPr>
              <w:t>c）疏散出口门应采用平开门或在火灾时具有平开功能的门，且建筑中使用人数大于60人的房间或每樘门的平均疏散人数大于30人的房间、疏散楼梯间及其前室的门、室内通向室外疏散楼梯的门应向疏散方向开启</w:t>
            </w:r>
            <w:r>
              <w:rPr>
                <w:rFonts w:hint="eastAsia" w:ascii="宋体" w:hAnsi="宋体"/>
                <w:sz w:val="18"/>
                <w:szCs w:val="18"/>
                <w:lang w:eastAsia="zh-CN"/>
              </w:rPr>
              <w:t>；</w:t>
            </w:r>
          </w:p>
          <w:p w14:paraId="726E0413">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d</w:t>
            </w:r>
            <w:r>
              <w:rPr>
                <w:rFonts w:hint="eastAsia" w:ascii="宋体" w:hAnsi="宋体"/>
                <w:sz w:val="18"/>
                <w:szCs w:val="18"/>
              </w:rPr>
              <w:t>）</w:t>
            </w:r>
            <w:r>
              <w:rPr>
                <w:rFonts w:hint="eastAsia" w:ascii="宋体" w:hAnsi="宋体"/>
                <w:sz w:val="18"/>
                <w:szCs w:val="18"/>
                <w:lang w:val="en-US" w:eastAsia="zh-CN"/>
              </w:rPr>
              <w:t>消防车道</w:t>
            </w:r>
            <w:r>
              <w:rPr>
                <w:rFonts w:hint="eastAsia" w:ascii="宋体" w:hAnsi="宋体"/>
                <w:sz w:val="18"/>
                <w:szCs w:val="18"/>
              </w:rPr>
              <w:t>净宽度和净空高度应满足消防车安全、快速通行的要求</w:t>
            </w:r>
            <w:r>
              <w:rPr>
                <w:rFonts w:hint="eastAsia" w:ascii="宋体" w:hAnsi="宋体"/>
                <w:sz w:val="18"/>
                <w:szCs w:val="18"/>
                <w:lang w:eastAsia="zh-CN"/>
              </w:rPr>
              <w:t>，</w:t>
            </w:r>
            <w:r>
              <w:rPr>
                <w:rFonts w:hint="eastAsia" w:ascii="宋体" w:hAnsi="宋体"/>
                <w:sz w:val="18"/>
                <w:szCs w:val="18"/>
              </w:rPr>
              <w:t>转弯半径应满足消防车转弯的要求</w:t>
            </w:r>
            <w:r>
              <w:rPr>
                <w:rFonts w:hint="eastAsia" w:ascii="宋体" w:hAnsi="宋体"/>
                <w:sz w:val="18"/>
                <w:szCs w:val="18"/>
                <w:lang w:eastAsia="zh-CN"/>
              </w:rPr>
              <w:t>。</w:t>
            </w:r>
          </w:p>
        </w:tc>
        <w:tc>
          <w:tcPr>
            <w:tcW w:w="737" w:type="dxa"/>
            <w:vAlign w:val="center"/>
          </w:tcPr>
          <w:p w14:paraId="486D97C3">
            <w:pPr>
              <w:adjustRightInd w:val="0"/>
              <w:snapToGrid w:val="0"/>
              <w:jc w:val="center"/>
              <w:rPr>
                <w:rFonts w:hint="eastAsia" w:ascii="宋体" w:hAnsi="宋体" w:eastAsia="宋体" w:cs="宋体"/>
                <w:kern w:val="2"/>
                <w:sz w:val="18"/>
                <w:szCs w:val="18"/>
                <w:lang w:val="en-US" w:eastAsia="zh-CN" w:bidi="ar-SA"/>
              </w:rPr>
            </w:pPr>
          </w:p>
        </w:tc>
        <w:tc>
          <w:tcPr>
            <w:tcW w:w="633" w:type="dxa"/>
            <w:vAlign w:val="center"/>
          </w:tcPr>
          <w:p w14:paraId="54C83ADF">
            <w:pPr>
              <w:adjustRightInd w:val="0"/>
              <w:snapToGrid w:val="0"/>
              <w:ind w:right="34" w:rightChars="0"/>
              <w:jc w:val="center"/>
              <w:rPr>
                <w:rFonts w:ascii="宋体" w:hAnsi="宋体" w:eastAsia="宋体" w:cs="Times New Roman"/>
                <w:kern w:val="2"/>
                <w:sz w:val="18"/>
                <w:szCs w:val="18"/>
                <w:lang w:val="en-US" w:eastAsia="zh-CN" w:bidi="ar-SA"/>
              </w:rPr>
            </w:pPr>
          </w:p>
        </w:tc>
        <w:tc>
          <w:tcPr>
            <w:tcW w:w="633" w:type="dxa"/>
            <w:vAlign w:val="center"/>
          </w:tcPr>
          <w:p w14:paraId="5948BFBE">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cs="宋体"/>
                <w:sz w:val="18"/>
                <w:szCs w:val="18"/>
                <w:lang w:val="en-US" w:eastAsia="zh-CN"/>
              </w:rPr>
              <w:t>5</w:t>
            </w:r>
          </w:p>
        </w:tc>
        <w:tc>
          <w:tcPr>
            <w:tcW w:w="2573" w:type="dxa"/>
            <w:vAlign w:val="center"/>
          </w:tcPr>
          <w:p w14:paraId="077BEAD5">
            <w:pPr>
              <w:rPr>
                <w:rFonts w:hint="eastAsia" w:ascii="宋体" w:hAnsi="宋体" w:eastAsia="宋体" w:cs="宋体"/>
                <w:kern w:val="2"/>
                <w:sz w:val="18"/>
                <w:szCs w:val="18"/>
                <w:lang w:val="en-US" w:eastAsia="zh-CN" w:bidi="ar-SA"/>
              </w:rPr>
            </w:pPr>
            <w:r>
              <w:rPr>
                <w:rFonts w:hint="eastAsia" w:ascii="宋体" w:hAnsi="宋体" w:cs="宋体"/>
                <w:sz w:val="18"/>
                <w:szCs w:val="18"/>
              </w:rPr>
              <w:t>一处不符合扣2分。</w:t>
            </w:r>
          </w:p>
        </w:tc>
        <w:tc>
          <w:tcPr>
            <w:tcW w:w="712" w:type="dxa"/>
            <w:vAlign w:val="center"/>
          </w:tcPr>
          <w:p w14:paraId="5BA3B458">
            <w:pPr>
              <w:adjustRightInd w:val="0"/>
              <w:snapToGrid w:val="0"/>
              <w:rPr>
                <w:rFonts w:ascii="宋体" w:hAnsi="宋体" w:eastAsia="宋体" w:cs="宋体"/>
                <w:kern w:val="2"/>
                <w:sz w:val="18"/>
                <w:szCs w:val="18"/>
                <w:lang w:val="en-US" w:eastAsia="zh-CN" w:bidi="ar-SA"/>
              </w:rPr>
            </w:pPr>
          </w:p>
        </w:tc>
        <w:tc>
          <w:tcPr>
            <w:tcW w:w="1284" w:type="dxa"/>
            <w:vAlign w:val="center"/>
          </w:tcPr>
          <w:p w14:paraId="2C835C9F">
            <w:pPr>
              <w:adjustRightInd w:val="0"/>
              <w:snapToGrid w:val="0"/>
              <w:rPr>
                <w:rFonts w:ascii="宋体" w:hAnsi="宋体" w:eastAsia="宋体" w:cs="宋体"/>
                <w:kern w:val="2"/>
                <w:sz w:val="18"/>
                <w:szCs w:val="18"/>
                <w:lang w:val="en-US" w:eastAsia="zh-CN" w:bidi="ar-SA"/>
              </w:rPr>
            </w:pPr>
          </w:p>
        </w:tc>
        <w:tc>
          <w:tcPr>
            <w:tcW w:w="1176" w:type="dxa"/>
            <w:vAlign w:val="center"/>
          </w:tcPr>
          <w:p w14:paraId="3EF4C606">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6</w:t>
            </w:r>
          </w:p>
        </w:tc>
      </w:tr>
      <w:tr w14:paraId="21725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78FF5271">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6</w:t>
            </w:r>
            <w:r>
              <w:rPr>
                <w:rFonts w:hint="eastAsia" w:ascii="宋体" w:hAnsi="宋体"/>
                <w:sz w:val="18"/>
                <w:szCs w:val="18"/>
              </w:rPr>
              <w:t>.2</w:t>
            </w:r>
          </w:p>
        </w:tc>
        <w:tc>
          <w:tcPr>
            <w:tcW w:w="6682" w:type="dxa"/>
            <w:noWrap w:val="0"/>
            <w:vAlign w:val="center"/>
          </w:tcPr>
          <w:p w14:paraId="4CE2879F">
            <w:pPr>
              <w:adjustRightInd w:val="0"/>
              <w:snapToGrid w:val="0"/>
              <w:rPr>
                <w:rFonts w:ascii="宋体" w:hAnsi="宋体"/>
                <w:sz w:val="18"/>
                <w:szCs w:val="18"/>
              </w:rPr>
            </w:pPr>
            <w:r>
              <w:rPr>
                <w:rFonts w:hint="eastAsia" w:ascii="宋体" w:hAnsi="宋体"/>
                <w:sz w:val="18"/>
                <w:szCs w:val="18"/>
              </w:rPr>
              <w:t>安全出口、消防车道和</w:t>
            </w:r>
            <w:r>
              <w:rPr>
                <w:rFonts w:hint="eastAsia" w:ascii="宋体" w:hAnsi="宋体"/>
                <w:sz w:val="18"/>
                <w:szCs w:val="18"/>
                <w:lang w:eastAsia="zh-CN"/>
              </w:rPr>
              <w:t>疏散通道</w:t>
            </w:r>
            <w:r>
              <w:rPr>
                <w:rFonts w:hint="eastAsia" w:ascii="宋体" w:hAnsi="宋体"/>
                <w:sz w:val="18"/>
                <w:szCs w:val="18"/>
              </w:rPr>
              <w:t>管理应符合下列要求：</w:t>
            </w:r>
          </w:p>
          <w:p w14:paraId="4F54170B">
            <w:pPr>
              <w:adjustRightInd w:val="0"/>
              <w:snapToGrid w:val="0"/>
              <w:rPr>
                <w:rFonts w:hint="eastAsia" w:ascii="宋体" w:hAnsi="宋体"/>
                <w:sz w:val="18"/>
                <w:szCs w:val="18"/>
              </w:rPr>
            </w:pPr>
            <w:r>
              <w:rPr>
                <w:rFonts w:hint="eastAsia" w:ascii="宋体" w:hAnsi="宋体"/>
                <w:sz w:val="18"/>
                <w:szCs w:val="18"/>
              </w:rPr>
              <w:t>a）应保持畅通，不应占用、堵塞、封闭安全出口、消防车道和</w:t>
            </w:r>
            <w:r>
              <w:rPr>
                <w:rFonts w:hint="eastAsia" w:ascii="宋体" w:hAnsi="宋体"/>
                <w:sz w:val="18"/>
                <w:szCs w:val="18"/>
                <w:lang w:eastAsia="zh-CN"/>
              </w:rPr>
              <w:t>疏散通道</w:t>
            </w:r>
            <w:r>
              <w:rPr>
                <w:rFonts w:hint="eastAsia" w:ascii="宋体" w:hAnsi="宋体"/>
                <w:sz w:val="18"/>
                <w:szCs w:val="18"/>
              </w:rPr>
              <w:t>或者有其他妨碍安全疏散的行为；</w:t>
            </w:r>
          </w:p>
          <w:p w14:paraId="6623874B">
            <w:pPr>
              <w:adjustRightInd w:val="0"/>
              <w:snapToGrid w:val="0"/>
              <w:rPr>
                <w:rFonts w:hint="eastAsia" w:ascii="宋体" w:hAnsi="宋体"/>
                <w:sz w:val="18"/>
                <w:szCs w:val="18"/>
              </w:rPr>
            </w:pPr>
            <w:r>
              <w:rPr>
                <w:rFonts w:hint="eastAsia" w:ascii="宋体" w:hAnsi="宋体"/>
                <w:sz w:val="18"/>
                <w:szCs w:val="18"/>
              </w:rPr>
              <w:t>b）</w:t>
            </w:r>
            <w:r>
              <w:rPr>
                <w:rFonts w:hint="eastAsia" w:hAnsi="宋体"/>
                <w:sz w:val="18"/>
                <w:szCs w:val="18"/>
              </w:rPr>
              <w:t>在使用和营业期间，不应锁闭疏散出口、安全出口的门，或采取火灾时不需使用钥匙等任何工具即能从内部易于打开的措施，并应在明显位置设置含有使用提示的标识</w:t>
            </w:r>
            <w:r>
              <w:rPr>
                <w:rFonts w:hint="eastAsia" w:ascii="宋体" w:hAnsi="宋体"/>
                <w:sz w:val="18"/>
                <w:szCs w:val="18"/>
              </w:rPr>
              <w:t>；</w:t>
            </w:r>
          </w:p>
          <w:p w14:paraId="0850FC2D">
            <w:pPr>
              <w:pStyle w:val="36"/>
              <w:adjustRightInd w:val="0"/>
              <w:snapToGrid w:val="0"/>
              <w:ind w:firstLine="0" w:firstLineChars="0"/>
              <w:jc w:val="left"/>
              <w:rPr>
                <w:rFonts w:hint="eastAsia" w:ascii="宋体" w:hAnsi="宋体" w:eastAsia="宋体" w:cs="Times New Roman"/>
                <w:sz w:val="18"/>
                <w:szCs w:val="18"/>
                <w:lang w:val="en-US" w:eastAsia="zh-CN" w:bidi="ar-SA"/>
              </w:rPr>
            </w:pPr>
            <w:r>
              <w:rPr>
                <w:rFonts w:hint="eastAsia" w:hAnsi="宋体"/>
                <w:kern w:val="2"/>
                <w:sz w:val="18"/>
                <w:szCs w:val="18"/>
              </w:rPr>
              <w:t>c）</w:t>
            </w:r>
            <w:r>
              <w:rPr>
                <w:rFonts w:hint="eastAsia" w:hAnsi="宋体"/>
                <w:sz w:val="18"/>
                <w:szCs w:val="18"/>
              </w:rPr>
              <w:t>消防车道或消防车登高操作场地的醒目处应设置禁止阻塞标志</w:t>
            </w:r>
            <w:r>
              <w:rPr>
                <w:rFonts w:hint="eastAsia" w:hAnsi="宋体"/>
                <w:sz w:val="18"/>
                <w:szCs w:val="18"/>
                <w:lang w:eastAsia="zh-CN"/>
              </w:rPr>
              <w:t>，划设消防车道标志标线</w:t>
            </w:r>
            <w:r>
              <w:rPr>
                <w:rFonts w:hint="eastAsia" w:hAnsi="宋体"/>
                <w:kern w:val="2"/>
                <w:sz w:val="18"/>
                <w:szCs w:val="18"/>
              </w:rPr>
              <w:t>。</w:t>
            </w:r>
          </w:p>
        </w:tc>
        <w:tc>
          <w:tcPr>
            <w:tcW w:w="737" w:type="dxa"/>
            <w:noWrap w:val="0"/>
            <w:vAlign w:val="center"/>
          </w:tcPr>
          <w:p w14:paraId="03D6C1C1">
            <w:pPr>
              <w:adjustRightInd w:val="0"/>
              <w:snapToGrid w:val="0"/>
              <w:jc w:val="center"/>
              <w:rPr>
                <w:rFonts w:ascii="宋体" w:hAnsi="宋体" w:eastAsia="宋体" w:cs="宋体"/>
                <w:kern w:val="2"/>
                <w:sz w:val="18"/>
                <w:szCs w:val="18"/>
                <w:lang w:val="en-US" w:eastAsia="zh-CN" w:bidi="ar-SA"/>
              </w:rPr>
            </w:pPr>
          </w:p>
        </w:tc>
        <w:tc>
          <w:tcPr>
            <w:tcW w:w="633" w:type="dxa"/>
            <w:noWrap w:val="0"/>
            <w:vAlign w:val="center"/>
          </w:tcPr>
          <w:p w14:paraId="6B68A87F">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633" w:type="dxa"/>
            <w:noWrap w:val="0"/>
            <w:vAlign w:val="center"/>
          </w:tcPr>
          <w:p w14:paraId="2D7B3E32">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cs="宋体"/>
                <w:sz w:val="18"/>
                <w:szCs w:val="18"/>
                <w:lang w:val="en-US" w:eastAsia="zh-CN"/>
              </w:rPr>
              <w:t>5</w:t>
            </w:r>
          </w:p>
        </w:tc>
        <w:tc>
          <w:tcPr>
            <w:tcW w:w="2573" w:type="dxa"/>
            <w:tcBorders>
              <w:right w:val="single" w:color="auto" w:sz="4" w:space="0"/>
            </w:tcBorders>
            <w:noWrap w:val="0"/>
            <w:vAlign w:val="center"/>
          </w:tcPr>
          <w:p w14:paraId="0A61AAC6">
            <w:pPr>
              <w:rPr>
                <w:rFonts w:ascii="宋体" w:hAnsi="宋体" w:eastAsia="宋体" w:cs="宋体"/>
                <w:kern w:val="2"/>
                <w:sz w:val="18"/>
                <w:szCs w:val="18"/>
                <w:lang w:val="en-US" w:eastAsia="zh-CN" w:bidi="ar-SA"/>
              </w:rPr>
            </w:pPr>
            <w:r>
              <w:rPr>
                <w:rFonts w:hint="eastAsia" w:ascii="宋体" w:hAnsi="宋体" w:cs="宋体"/>
                <w:sz w:val="18"/>
                <w:szCs w:val="18"/>
              </w:rPr>
              <w:t>一处不符合扣2分。</w:t>
            </w:r>
          </w:p>
        </w:tc>
        <w:tc>
          <w:tcPr>
            <w:tcW w:w="712" w:type="dxa"/>
            <w:tcBorders>
              <w:left w:val="single" w:color="auto" w:sz="4" w:space="0"/>
            </w:tcBorders>
            <w:noWrap w:val="0"/>
            <w:vAlign w:val="center"/>
          </w:tcPr>
          <w:p w14:paraId="234F8707">
            <w:pPr>
              <w:adjustRightInd w:val="0"/>
              <w:snapToGrid w:val="0"/>
              <w:rPr>
                <w:rFonts w:ascii="宋体" w:hAnsi="宋体" w:eastAsia="宋体" w:cs="宋体"/>
                <w:kern w:val="2"/>
                <w:sz w:val="18"/>
                <w:szCs w:val="18"/>
                <w:lang w:val="en-US" w:eastAsia="zh-CN" w:bidi="ar-SA"/>
              </w:rPr>
            </w:pPr>
          </w:p>
        </w:tc>
        <w:tc>
          <w:tcPr>
            <w:tcW w:w="1284" w:type="dxa"/>
            <w:noWrap w:val="0"/>
            <w:vAlign w:val="center"/>
          </w:tcPr>
          <w:p w14:paraId="511DC24C">
            <w:pPr>
              <w:adjustRightInd w:val="0"/>
              <w:snapToGrid w:val="0"/>
              <w:rPr>
                <w:rFonts w:ascii="宋体" w:hAnsi="宋体" w:eastAsia="宋体" w:cs="宋体"/>
                <w:kern w:val="2"/>
                <w:sz w:val="18"/>
                <w:szCs w:val="18"/>
                <w:lang w:val="en-US" w:eastAsia="zh-CN" w:bidi="ar-SA"/>
              </w:rPr>
            </w:pPr>
          </w:p>
        </w:tc>
        <w:tc>
          <w:tcPr>
            <w:tcW w:w="1176" w:type="dxa"/>
            <w:noWrap w:val="0"/>
            <w:vAlign w:val="center"/>
          </w:tcPr>
          <w:p w14:paraId="1F12CCD6">
            <w:pPr>
              <w:adjustRightInd w:val="0"/>
              <w:snapToGrid w:val="0"/>
              <w:ind w:right="34"/>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6</w:t>
            </w:r>
          </w:p>
        </w:tc>
      </w:tr>
      <w:tr w14:paraId="4542F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23" w:type="dxa"/>
            <w:noWrap w:val="0"/>
            <w:vAlign w:val="center"/>
          </w:tcPr>
          <w:p w14:paraId="65E354B5">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6</w:t>
            </w:r>
            <w:r>
              <w:rPr>
                <w:rFonts w:hint="eastAsia" w:ascii="宋体" w:hAnsi="宋体"/>
                <w:sz w:val="18"/>
                <w:szCs w:val="18"/>
              </w:rPr>
              <w:t>.3</w:t>
            </w:r>
          </w:p>
        </w:tc>
        <w:tc>
          <w:tcPr>
            <w:tcW w:w="6682" w:type="dxa"/>
            <w:noWrap w:val="0"/>
            <w:vAlign w:val="center"/>
          </w:tcPr>
          <w:p w14:paraId="4B9AA8AB">
            <w:pPr>
              <w:adjustRightInd w:val="0"/>
              <w:snapToGrid w:val="0"/>
              <w:jc w:val="left"/>
              <w:rPr>
                <w:rFonts w:ascii="宋体" w:hAnsi="宋体"/>
                <w:bCs/>
                <w:sz w:val="18"/>
                <w:szCs w:val="18"/>
              </w:rPr>
            </w:pPr>
            <w:r>
              <w:rPr>
                <w:rFonts w:hint="eastAsia" w:ascii="宋体" w:hAnsi="宋体"/>
                <w:bCs/>
                <w:sz w:val="18"/>
                <w:szCs w:val="18"/>
              </w:rPr>
              <w:t>防火分区和防火门</w:t>
            </w:r>
            <w:r>
              <w:rPr>
                <w:rFonts w:hint="eastAsia" w:ascii="宋体" w:hAnsi="宋体"/>
                <w:bCs/>
                <w:sz w:val="18"/>
                <w:szCs w:val="18"/>
                <w:lang w:val="en-US" w:eastAsia="zh-CN"/>
              </w:rPr>
              <w:t>管理</w:t>
            </w:r>
            <w:r>
              <w:rPr>
                <w:rFonts w:hint="eastAsia" w:ascii="宋体" w:hAnsi="宋体"/>
                <w:bCs/>
                <w:sz w:val="18"/>
                <w:szCs w:val="18"/>
              </w:rPr>
              <w:t>应符合下列要求：</w:t>
            </w:r>
          </w:p>
          <w:p w14:paraId="6846354F">
            <w:pPr>
              <w:adjustRightInd w:val="0"/>
              <w:snapToGrid w:val="0"/>
              <w:jc w:val="left"/>
              <w:rPr>
                <w:rFonts w:hint="eastAsia" w:ascii="宋体" w:hAnsi="宋体"/>
                <w:bCs/>
                <w:sz w:val="18"/>
                <w:szCs w:val="18"/>
              </w:rPr>
            </w:pPr>
            <w:r>
              <w:rPr>
                <w:rFonts w:hint="eastAsia" w:ascii="宋体" w:hAnsi="宋体"/>
                <w:bCs/>
                <w:sz w:val="18"/>
                <w:szCs w:val="18"/>
              </w:rPr>
              <w:t>a）不应擅自改变防火分区，不应擅自停用、改变防火分隔设施和消防设施；</w:t>
            </w:r>
          </w:p>
          <w:p w14:paraId="0BD383E7">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bCs/>
                <w:sz w:val="18"/>
                <w:szCs w:val="18"/>
              </w:rPr>
              <w:t>b）封闭楼梯间、防烟楼梯间及其前室的门应保持完好，门上明显位置应设置提示正确启闭状态的标识；</w:t>
            </w:r>
          </w:p>
        </w:tc>
        <w:tc>
          <w:tcPr>
            <w:tcW w:w="737" w:type="dxa"/>
            <w:noWrap w:val="0"/>
            <w:vAlign w:val="center"/>
          </w:tcPr>
          <w:p w14:paraId="29FFAAF6">
            <w:pPr>
              <w:adjustRightInd w:val="0"/>
              <w:snapToGrid w:val="0"/>
              <w:jc w:val="center"/>
              <w:rPr>
                <w:rFonts w:ascii="宋体" w:hAnsi="宋体" w:eastAsia="宋体" w:cs="宋体"/>
                <w:kern w:val="2"/>
                <w:sz w:val="18"/>
                <w:szCs w:val="18"/>
                <w:lang w:val="en-US" w:eastAsia="zh-CN" w:bidi="ar-SA"/>
              </w:rPr>
            </w:pPr>
          </w:p>
        </w:tc>
        <w:tc>
          <w:tcPr>
            <w:tcW w:w="633" w:type="dxa"/>
            <w:noWrap w:val="0"/>
            <w:vAlign w:val="center"/>
          </w:tcPr>
          <w:p w14:paraId="000950E0">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633" w:type="dxa"/>
            <w:noWrap w:val="0"/>
            <w:vAlign w:val="center"/>
          </w:tcPr>
          <w:p w14:paraId="15C2CC50">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cs="宋体"/>
                <w:sz w:val="18"/>
                <w:szCs w:val="18"/>
                <w:lang w:val="en-US" w:eastAsia="zh-CN"/>
              </w:rPr>
              <w:t>5</w:t>
            </w:r>
          </w:p>
        </w:tc>
        <w:tc>
          <w:tcPr>
            <w:tcW w:w="2573" w:type="dxa"/>
            <w:tcBorders>
              <w:right w:val="single" w:color="auto" w:sz="4" w:space="0"/>
            </w:tcBorders>
            <w:noWrap w:val="0"/>
            <w:vAlign w:val="center"/>
          </w:tcPr>
          <w:p w14:paraId="24728C0E">
            <w:pPr>
              <w:rPr>
                <w:rFonts w:hint="eastAsia" w:ascii="宋体" w:hAnsi="宋体" w:eastAsia="宋体" w:cs="Times New Roman"/>
                <w:kern w:val="2"/>
                <w:sz w:val="18"/>
                <w:szCs w:val="18"/>
                <w:lang w:val="en-US" w:eastAsia="zh-CN" w:bidi="ar-SA"/>
              </w:rPr>
            </w:pPr>
            <w:r>
              <w:rPr>
                <w:rFonts w:hint="eastAsia" w:ascii="宋体" w:hAnsi="宋体" w:cs="宋体"/>
                <w:sz w:val="18"/>
                <w:szCs w:val="18"/>
              </w:rPr>
              <w:t>一处不符合扣2分。</w:t>
            </w:r>
          </w:p>
        </w:tc>
        <w:tc>
          <w:tcPr>
            <w:tcW w:w="712" w:type="dxa"/>
            <w:tcBorders>
              <w:left w:val="single" w:color="auto" w:sz="4" w:space="0"/>
            </w:tcBorders>
            <w:noWrap w:val="0"/>
            <w:vAlign w:val="center"/>
          </w:tcPr>
          <w:p w14:paraId="100A9661">
            <w:pPr>
              <w:adjustRightInd w:val="0"/>
              <w:snapToGrid w:val="0"/>
              <w:rPr>
                <w:rFonts w:ascii="宋体" w:hAnsi="宋体" w:eastAsia="宋体" w:cs="宋体"/>
                <w:kern w:val="2"/>
                <w:sz w:val="18"/>
                <w:szCs w:val="18"/>
                <w:lang w:val="en-US" w:eastAsia="zh-CN" w:bidi="ar-SA"/>
              </w:rPr>
            </w:pPr>
          </w:p>
        </w:tc>
        <w:tc>
          <w:tcPr>
            <w:tcW w:w="1284" w:type="dxa"/>
            <w:noWrap w:val="0"/>
            <w:vAlign w:val="center"/>
          </w:tcPr>
          <w:p w14:paraId="36CF30CB">
            <w:pPr>
              <w:adjustRightInd w:val="0"/>
              <w:snapToGrid w:val="0"/>
              <w:rPr>
                <w:rFonts w:ascii="宋体" w:hAnsi="宋体" w:eastAsia="宋体" w:cs="宋体"/>
                <w:kern w:val="2"/>
                <w:sz w:val="18"/>
                <w:szCs w:val="18"/>
                <w:lang w:val="en-US" w:eastAsia="zh-CN" w:bidi="ar-SA"/>
              </w:rPr>
            </w:pPr>
          </w:p>
        </w:tc>
        <w:tc>
          <w:tcPr>
            <w:tcW w:w="1176" w:type="dxa"/>
            <w:noWrap w:val="0"/>
            <w:vAlign w:val="center"/>
          </w:tcPr>
          <w:p w14:paraId="2AD6A021">
            <w:pPr>
              <w:adjustRightInd w:val="0"/>
              <w:snapToGrid w:val="0"/>
              <w:ind w:right="34" w:rightChars="0"/>
              <w:jc w:val="center"/>
              <w:rPr>
                <w:rFonts w:hint="eastAsia" w:ascii="宋体" w:hAnsi="宋体" w:eastAsia="宋体" w:cs="宋体"/>
                <w:kern w:val="0"/>
                <w:sz w:val="18"/>
                <w:szCs w:val="18"/>
                <w:lang w:val="en-US" w:eastAsia="zh-CN" w:bidi="ar-SA"/>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6</w:t>
            </w:r>
          </w:p>
        </w:tc>
      </w:tr>
    </w:tbl>
    <w:p w14:paraId="629C29E6">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6627"/>
        <w:gridCol w:w="741"/>
        <w:gridCol w:w="634"/>
        <w:gridCol w:w="633"/>
        <w:gridCol w:w="2570"/>
        <w:gridCol w:w="712"/>
        <w:gridCol w:w="1280"/>
        <w:gridCol w:w="1179"/>
      </w:tblGrid>
      <w:tr w14:paraId="51C3D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6C4ACF2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627" w:type="dxa"/>
            <w:noWrap w:val="0"/>
            <w:vAlign w:val="center"/>
          </w:tcPr>
          <w:p w14:paraId="2B585C2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41" w:type="dxa"/>
            <w:noWrap w:val="0"/>
            <w:vAlign w:val="center"/>
          </w:tcPr>
          <w:p w14:paraId="36B2A84F">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34" w:type="dxa"/>
            <w:noWrap w:val="0"/>
            <w:vAlign w:val="top"/>
          </w:tcPr>
          <w:p w14:paraId="355CADE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33" w:type="dxa"/>
            <w:noWrap w:val="0"/>
            <w:vAlign w:val="top"/>
          </w:tcPr>
          <w:p w14:paraId="45ECBD9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570" w:type="dxa"/>
            <w:tcBorders>
              <w:right w:val="single" w:color="auto" w:sz="4" w:space="0"/>
            </w:tcBorders>
            <w:noWrap w:val="0"/>
            <w:vAlign w:val="center"/>
          </w:tcPr>
          <w:p w14:paraId="66FE5487">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712" w:type="dxa"/>
            <w:tcBorders>
              <w:left w:val="single" w:color="auto" w:sz="4" w:space="0"/>
            </w:tcBorders>
            <w:noWrap w:val="0"/>
            <w:vAlign w:val="center"/>
          </w:tcPr>
          <w:p w14:paraId="3AEBD63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280" w:type="dxa"/>
            <w:noWrap w:val="0"/>
            <w:vAlign w:val="center"/>
          </w:tcPr>
          <w:p w14:paraId="23CB4769">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179" w:type="dxa"/>
            <w:noWrap w:val="0"/>
            <w:vAlign w:val="center"/>
          </w:tcPr>
          <w:p w14:paraId="1BC4630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0B703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3BE6D05F">
            <w:pPr>
              <w:adjustRightInd w:val="0"/>
              <w:snapToGrid w:val="0"/>
              <w:ind w:right="34"/>
              <w:jc w:val="center"/>
              <w:rPr>
                <w:rFonts w:hint="eastAsia" w:ascii="宋体" w:hAnsi="宋体" w:eastAsia="宋体"/>
                <w:sz w:val="18"/>
                <w:szCs w:val="18"/>
                <w:lang w:eastAsia="zh-CN"/>
              </w:rPr>
            </w:pPr>
          </w:p>
        </w:tc>
        <w:tc>
          <w:tcPr>
            <w:tcW w:w="6627" w:type="dxa"/>
            <w:noWrap w:val="0"/>
            <w:vAlign w:val="center"/>
          </w:tcPr>
          <w:p w14:paraId="77EBF5A3">
            <w:pPr>
              <w:pStyle w:val="36"/>
              <w:adjustRightInd w:val="0"/>
              <w:snapToGrid w:val="0"/>
              <w:ind w:firstLine="0" w:firstLineChars="0"/>
              <w:jc w:val="left"/>
              <w:rPr>
                <w:rFonts w:hint="eastAsia" w:hAnsi="宋体"/>
                <w:sz w:val="18"/>
                <w:szCs w:val="18"/>
              </w:rPr>
            </w:pPr>
            <w:r>
              <w:rPr>
                <w:rFonts w:hint="eastAsia" w:ascii="宋体" w:hAnsi="宋体"/>
                <w:bCs/>
                <w:sz w:val="18"/>
                <w:szCs w:val="18"/>
              </w:rPr>
              <w:t>c）应保持常闭式防火门处于关闭状态，常开防火门应能在火灾时自行关闭，并应具有信号反馈的功能</w:t>
            </w:r>
            <w:r>
              <w:rPr>
                <w:rFonts w:hint="eastAsia" w:ascii="宋体" w:hAnsi="宋体"/>
                <w:bCs/>
                <w:sz w:val="18"/>
                <w:szCs w:val="18"/>
                <w:lang w:eastAsia="zh-CN"/>
              </w:rPr>
              <w:t>。</w:t>
            </w:r>
          </w:p>
        </w:tc>
        <w:tc>
          <w:tcPr>
            <w:tcW w:w="741" w:type="dxa"/>
            <w:noWrap w:val="0"/>
            <w:vAlign w:val="center"/>
          </w:tcPr>
          <w:p w14:paraId="075FDE3B">
            <w:pPr>
              <w:adjustRightInd w:val="0"/>
              <w:snapToGrid w:val="0"/>
              <w:jc w:val="center"/>
              <w:rPr>
                <w:rFonts w:ascii="宋体" w:hAnsi="宋体" w:cs="宋体"/>
                <w:sz w:val="18"/>
                <w:szCs w:val="18"/>
              </w:rPr>
            </w:pPr>
          </w:p>
        </w:tc>
        <w:tc>
          <w:tcPr>
            <w:tcW w:w="634" w:type="dxa"/>
            <w:noWrap w:val="0"/>
            <w:vAlign w:val="center"/>
          </w:tcPr>
          <w:p w14:paraId="50F31AE7">
            <w:pPr>
              <w:adjustRightInd w:val="0"/>
              <w:snapToGrid w:val="0"/>
              <w:ind w:right="34"/>
              <w:jc w:val="center"/>
              <w:rPr>
                <w:rFonts w:hint="default" w:ascii="宋体" w:hAnsi="宋体" w:eastAsia="宋体"/>
                <w:sz w:val="18"/>
                <w:szCs w:val="18"/>
                <w:lang w:val="en-US" w:eastAsia="zh-CN"/>
              </w:rPr>
            </w:pPr>
          </w:p>
        </w:tc>
        <w:tc>
          <w:tcPr>
            <w:tcW w:w="633" w:type="dxa"/>
            <w:noWrap w:val="0"/>
            <w:vAlign w:val="center"/>
          </w:tcPr>
          <w:p w14:paraId="6CD589F2">
            <w:pPr>
              <w:adjustRightInd w:val="0"/>
              <w:snapToGrid w:val="0"/>
              <w:ind w:right="34"/>
              <w:jc w:val="center"/>
              <w:rPr>
                <w:rFonts w:hint="eastAsia" w:ascii="宋体" w:hAnsi="宋体"/>
                <w:sz w:val="18"/>
                <w:szCs w:val="18"/>
              </w:rPr>
            </w:pPr>
          </w:p>
        </w:tc>
        <w:tc>
          <w:tcPr>
            <w:tcW w:w="2570" w:type="dxa"/>
            <w:tcBorders>
              <w:right w:val="single" w:color="auto" w:sz="4" w:space="0"/>
            </w:tcBorders>
            <w:noWrap w:val="0"/>
            <w:vAlign w:val="center"/>
          </w:tcPr>
          <w:p w14:paraId="4E8CBB9C">
            <w:pPr>
              <w:rPr>
                <w:rFonts w:hint="eastAsia" w:ascii="宋体" w:hAnsi="宋体"/>
                <w:sz w:val="18"/>
                <w:szCs w:val="18"/>
              </w:rPr>
            </w:pPr>
          </w:p>
        </w:tc>
        <w:tc>
          <w:tcPr>
            <w:tcW w:w="712" w:type="dxa"/>
            <w:tcBorders>
              <w:left w:val="single" w:color="auto" w:sz="4" w:space="0"/>
            </w:tcBorders>
            <w:noWrap w:val="0"/>
            <w:vAlign w:val="top"/>
          </w:tcPr>
          <w:p w14:paraId="79021FC4">
            <w:pPr>
              <w:adjustRightInd w:val="0"/>
              <w:snapToGrid w:val="0"/>
              <w:rPr>
                <w:rFonts w:ascii="宋体" w:hAnsi="宋体" w:cs="宋体"/>
                <w:sz w:val="18"/>
                <w:szCs w:val="18"/>
              </w:rPr>
            </w:pPr>
          </w:p>
        </w:tc>
        <w:tc>
          <w:tcPr>
            <w:tcW w:w="1280" w:type="dxa"/>
            <w:noWrap w:val="0"/>
            <w:vAlign w:val="top"/>
          </w:tcPr>
          <w:p w14:paraId="15B96099">
            <w:pPr>
              <w:adjustRightInd w:val="0"/>
              <w:snapToGrid w:val="0"/>
              <w:rPr>
                <w:rFonts w:ascii="宋体" w:hAnsi="宋体" w:cs="宋体"/>
                <w:sz w:val="18"/>
                <w:szCs w:val="18"/>
              </w:rPr>
            </w:pPr>
          </w:p>
        </w:tc>
        <w:tc>
          <w:tcPr>
            <w:tcW w:w="1179" w:type="dxa"/>
            <w:noWrap w:val="0"/>
            <w:vAlign w:val="center"/>
          </w:tcPr>
          <w:p w14:paraId="3AA4CF72">
            <w:pPr>
              <w:adjustRightInd w:val="0"/>
              <w:snapToGrid w:val="0"/>
              <w:ind w:right="34"/>
              <w:jc w:val="center"/>
              <w:rPr>
                <w:rFonts w:hint="eastAsia" w:ascii="宋体" w:hAnsi="宋体" w:cs="宋体"/>
                <w:kern w:val="0"/>
                <w:sz w:val="18"/>
                <w:szCs w:val="18"/>
              </w:rPr>
            </w:pPr>
          </w:p>
        </w:tc>
      </w:tr>
      <w:tr w14:paraId="17ECD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shd w:val="clear"/>
            <w:noWrap w:val="0"/>
            <w:vAlign w:val="center"/>
          </w:tcPr>
          <w:p w14:paraId="46D5A01A">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rPr>
              <w:t>7.</w:t>
            </w:r>
            <w:r>
              <w:rPr>
                <w:rFonts w:hint="eastAsia" w:ascii="宋体" w:hAnsi="宋体"/>
                <w:sz w:val="18"/>
                <w:szCs w:val="18"/>
                <w:lang w:val="en-US" w:eastAsia="zh-CN"/>
              </w:rPr>
              <w:t>7</w:t>
            </w:r>
          </w:p>
        </w:tc>
        <w:tc>
          <w:tcPr>
            <w:tcW w:w="6627" w:type="dxa"/>
            <w:shd w:val="clear"/>
            <w:noWrap w:val="0"/>
            <w:vAlign w:val="center"/>
          </w:tcPr>
          <w:p w14:paraId="592F118E">
            <w:pPr>
              <w:pStyle w:val="36"/>
              <w:adjustRightInd w:val="0"/>
              <w:snapToGrid w:val="0"/>
              <w:ind w:firstLine="0" w:firstLineChars="0"/>
              <w:jc w:val="left"/>
              <w:rPr>
                <w:rFonts w:hint="eastAsia" w:ascii="宋体" w:hAnsi="宋体" w:eastAsia="宋体" w:cs="Times New Roman"/>
                <w:sz w:val="18"/>
                <w:szCs w:val="18"/>
                <w:lang w:val="en-US" w:eastAsia="zh-CN" w:bidi="ar-SA"/>
              </w:rPr>
            </w:pPr>
            <w:r>
              <w:rPr>
                <w:rFonts w:hint="eastAsia" w:hAnsi="宋体"/>
                <w:sz w:val="18"/>
                <w:szCs w:val="18"/>
              </w:rPr>
              <w:t>消防控制室</w:t>
            </w:r>
          </w:p>
        </w:tc>
        <w:tc>
          <w:tcPr>
            <w:tcW w:w="741" w:type="dxa"/>
            <w:shd w:val="clear"/>
            <w:noWrap w:val="0"/>
            <w:vAlign w:val="center"/>
          </w:tcPr>
          <w:p w14:paraId="7D229F3F">
            <w:pPr>
              <w:adjustRightInd w:val="0"/>
              <w:snapToGrid w:val="0"/>
              <w:jc w:val="center"/>
              <w:rPr>
                <w:rFonts w:ascii="宋体" w:hAnsi="宋体" w:eastAsia="宋体" w:cs="宋体"/>
                <w:kern w:val="2"/>
                <w:sz w:val="18"/>
                <w:szCs w:val="18"/>
                <w:lang w:val="en-US" w:eastAsia="zh-CN" w:bidi="ar-SA"/>
              </w:rPr>
            </w:pPr>
          </w:p>
        </w:tc>
        <w:tc>
          <w:tcPr>
            <w:tcW w:w="634" w:type="dxa"/>
            <w:shd w:val="clear"/>
            <w:noWrap w:val="0"/>
            <w:vAlign w:val="center"/>
          </w:tcPr>
          <w:p w14:paraId="088CA4AD">
            <w:pPr>
              <w:adjustRightInd w:val="0"/>
              <w:snapToGrid w:val="0"/>
              <w:ind w:right="34" w:rightChars="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20</w:t>
            </w:r>
          </w:p>
        </w:tc>
        <w:tc>
          <w:tcPr>
            <w:tcW w:w="633" w:type="dxa"/>
            <w:shd w:val="clear"/>
            <w:noWrap w:val="0"/>
            <w:vAlign w:val="center"/>
          </w:tcPr>
          <w:p w14:paraId="18FB1A72">
            <w:pPr>
              <w:adjustRightInd w:val="0"/>
              <w:snapToGrid w:val="0"/>
              <w:ind w:right="34" w:rightChars="0"/>
              <w:jc w:val="center"/>
              <w:rPr>
                <w:rFonts w:hint="eastAsia" w:ascii="宋体" w:hAnsi="宋体" w:eastAsia="宋体" w:cs="Times New Roman"/>
                <w:kern w:val="2"/>
                <w:sz w:val="18"/>
                <w:szCs w:val="18"/>
                <w:lang w:val="en-US" w:eastAsia="zh-CN" w:bidi="ar-SA"/>
              </w:rPr>
            </w:pPr>
          </w:p>
        </w:tc>
        <w:tc>
          <w:tcPr>
            <w:tcW w:w="2570" w:type="dxa"/>
            <w:tcBorders>
              <w:right w:val="single" w:color="auto" w:sz="4" w:space="0"/>
            </w:tcBorders>
            <w:shd w:val="clear"/>
            <w:noWrap w:val="0"/>
            <w:vAlign w:val="center"/>
          </w:tcPr>
          <w:p w14:paraId="4FCBA02E">
            <w:pPr>
              <w:rPr>
                <w:rFonts w:hint="eastAsia" w:ascii="宋体" w:hAnsi="宋体" w:eastAsia="宋体" w:cs="Times New Roman"/>
                <w:kern w:val="2"/>
                <w:sz w:val="18"/>
                <w:szCs w:val="18"/>
                <w:lang w:val="en-US" w:eastAsia="zh-CN" w:bidi="ar-SA"/>
              </w:rPr>
            </w:pPr>
          </w:p>
        </w:tc>
        <w:tc>
          <w:tcPr>
            <w:tcW w:w="712" w:type="dxa"/>
            <w:tcBorders>
              <w:left w:val="single" w:color="auto" w:sz="4" w:space="0"/>
            </w:tcBorders>
            <w:shd w:val="clear"/>
            <w:noWrap w:val="0"/>
            <w:vAlign w:val="top"/>
          </w:tcPr>
          <w:p w14:paraId="58686F4D">
            <w:pPr>
              <w:adjustRightInd w:val="0"/>
              <w:snapToGrid w:val="0"/>
              <w:rPr>
                <w:rFonts w:ascii="宋体" w:hAnsi="宋体" w:eastAsia="宋体" w:cs="宋体"/>
                <w:kern w:val="2"/>
                <w:sz w:val="18"/>
                <w:szCs w:val="18"/>
                <w:lang w:val="en-US" w:eastAsia="zh-CN" w:bidi="ar-SA"/>
              </w:rPr>
            </w:pPr>
          </w:p>
        </w:tc>
        <w:tc>
          <w:tcPr>
            <w:tcW w:w="1280" w:type="dxa"/>
            <w:shd w:val="clear"/>
            <w:noWrap w:val="0"/>
            <w:vAlign w:val="top"/>
          </w:tcPr>
          <w:p w14:paraId="2D2C8828">
            <w:pPr>
              <w:adjustRightInd w:val="0"/>
              <w:snapToGrid w:val="0"/>
              <w:rPr>
                <w:rFonts w:ascii="宋体" w:hAnsi="宋体" w:eastAsia="宋体" w:cs="宋体"/>
                <w:kern w:val="2"/>
                <w:sz w:val="18"/>
                <w:szCs w:val="18"/>
                <w:lang w:val="en-US" w:eastAsia="zh-CN" w:bidi="ar-SA"/>
              </w:rPr>
            </w:pPr>
          </w:p>
        </w:tc>
        <w:tc>
          <w:tcPr>
            <w:tcW w:w="1179" w:type="dxa"/>
            <w:shd w:val="clear"/>
            <w:noWrap w:val="0"/>
            <w:vAlign w:val="center"/>
          </w:tcPr>
          <w:p w14:paraId="30F9E332">
            <w:pPr>
              <w:adjustRightInd w:val="0"/>
              <w:snapToGrid w:val="0"/>
              <w:ind w:right="34" w:rightChars="0"/>
              <w:jc w:val="center"/>
              <w:rPr>
                <w:rFonts w:hint="eastAsia" w:ascii="宋体" w:hAnsi="宋体" w:eastAsia="宋体" w:cs="宋体"/>
                <w:kern w:val="0"/>
                <w:sz w:val="18"/>
                <w:szCs w:val="18"/>
                <w:lang w:val="en-US" w:eastAsia="zh-CN" w:bidi="ar-SA"/>
              </w:rPr>
            </w:pPr>
            <w:r>
              <w:rPr>
                <w:rFonts w:hint="eastAsia" w:ascii="宋体" w:hAnsi="宋体"/>
                <w:sz w:val="18"/>
                <w:szCs w:val="18"/>
                <w:lang w:eastAsia="zh-CN"/>
              </w:rPr>
              <w:t>4.7</w:t>
            </w:r>
            <w:r>
              <w:rPr>
                <w:rFonts w:ascii="宋体" w:hAnsi="宋体"/>
                <w:sz w:val="18"/>
                <w:szCs w:val="18"/>
              </w:rPr>
              <w:t>.</w:t>
            </w:r>
            <w:r>
              <w:rPr>
                <w:rFonts w:hint="eastAsia" w:ascii="宋体" w:hAnsi="宋体"/>
                <w:sz w:val="18"/>
                <w:szCs w:val="18"/>
              </w:rPr>
              <w:t>1</w:t>
            </w:r>
          </w:p>
        </w:tc>
      </w:tr>
      <w:tr w14:paraId="1D36F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7" w:type="dxa"/>
            <w:noWrap w:val="0"/>
            <w:vAlign w:val="center"/>
          </w:tcPr>
          <w:p w14:paraId="61438442">
            <w:pPr>
              <w:adjustRightInd w:val="0"/>
              <w:snapToGrid w:val="0"/>
              <w:ind w:right="34"/>
              <w:jc w:val="center"/>
              <w:rPr>
                <w:rFonts w:hint="eastAsia" w:ascii="宋体" w:hAnsi="宋体"/>
                <w:sz w:val="18"/>
                <w:szCs w:val="18"/>
              </w:rPr>
            </w:pPr>
            <w:r>
              <w:rPr>
                <w:rFonts w:hint="eastAsia" w:ascii="宋体" w:hAnsi="宋体"/>
                <w:sz w:val="18"/>
                <w:szCs w:val="18"/>
              </w:rPr>
              <w:t>7.</w:t>
            </w:r>
            <w:r>
              <w:rPr>
                <w:rFonts w:hint="eastAsia" w:ascii="宋体" w:hAnsi="宋体"/>
                <w:sz w:val="18"/>
                <w:szCs w:val="18"/>
                <w:lang w:val="en-US" w:eastAsia="zh-CN"/>
              </w:rPr>
              <w:t>7</w:t>
            </w:r>
            <w:r>
              <w:rPr>
                <w:rFonts w:hint="eastAsia" w:ascii="宋体" w:hAnsi="宋体"/>
                <w:sz w:val="18"/>
                <w:szCs w:val="18"/>
              </w:rPr>
              <w:t>.1</w:t>
            </w:r>
          </w:p>
        </w:tc>
        <w:tc>
          <w:tcPr>
            <w:tcW w:w="6627" w:type="dxa"/>
            <w:noWrap w:val="0"/>
            <w:vAlign w:val="top"/>
          </w:tcPr>
          <w:p w14:paraId="3F466453">
            <w:pPr>
              <w:adjustRightInd w:val="0"/>
              <w:snapToGrid w:val="0"/>
              <w:rPr>
                <w:rFonts w:hint="eastAsia" w:ascii="宋体" w:hAnsi="宋体"/>
                <w:sz w:val="18"/>
                <w:szCs w:val="18"/>
              </w:rPr>
            </w:pPr>
            <w:r>
              <w:rPr>
                <w:rFonts w:hint="eastAsia" w:ascii="宋体" w:hAnsi="宋体"/>
                <w:sz w:val="18"/>
                <w:szCs w:val="18"/>
              </w:rPr>
              <w:t>消防控制室应符合下列要求：</w:t>
            </w:r>
          </w:p>
          <w:p w14:paraId="5EF32D8B">
            <w:pPr>
              <w:adjustRightInd w:val="0"/>
              <w:snapToGrid w:val="0"/>
              <w:rPr>
                <w:rFonts w:hint="eastAsia" w:ascii="宋体" w:hAnsi="宋体"/>
                <w:sz w:val="18"/>
                <w:szCs w:val="18"/>
              </w:rPr>
            </w:pPr>
            <w:r>
              <w:rPr>
                <w:rFonts w:hint="eastAsia" w:ascii="宋体" w:hAnsi="宋体"/>
                <w:sz w:val="18"/>
                <w:szCs w:val="18"/>
              </w:rPr>
              <w:t>a）单独建造的消防控制室，其耐火等级不应低于二级；</w:t>
            </w:r>
          </w:p>
          <w:p w14:paraId="741BEB66">
            <w:pPr>
              <w:adjustRightInd w:val="0"/>
              <w:snapToGrid w:val="0"/>
              <w:rPr>
                <w:rFonts w:hint="eastAsia" w:ascii="宋体" w:hAnsi="宋体"/>
                <w:sz w:val="18"/>
                <w:szCs w:val="18"/>
              </w:rPr>
            </w:pPr>
            <w:r>
              <w:rPr>
                <w:rFonts w:hint="eastAsia" w:ascii="宋体" w:hAnsi="宋体"/>
                <w:sz w:val="18"/>
                <w:szCs w:val="18"/>
              </w:rPr>
              <w:t>b）附设在建筑内的消防控制室应采用防火门、防火窗、耐火极限不低于2.00 h的防火隔墙和1.50 h的楼板与其他部位分隔；</w:t>
            </w:r>
          </w:p>
          <w:p w14:paraId="1ED40181">
            <w:pPr>
              <w:adjustRightInd w:val="0"/>
              <w:snapToGrid w:val="0"/>
              <w:rPr>
                <w:rFonts w:hint="eastAsia" w:ascii="宋体" w:hAnsi="宋体"/>
                <w:sz w:val="18"/>
                <w:szCs w:val="18"/>
              </w:rPr>
            </w:pPr>
            <w:r>
              <w:rPr>
                <w:rFonts w:hint="eastAsia" w:ascii="宋体" w:hAnsi="宋体"/>
                <w:sz w:val="18"/>
                <w:szCs w:val="18"/>
              </w:rPr>
              <w:t>c）应设置在建筑内首层或地下一层，疏散门应直通室外或安全出口；</w:t>
            </w:r>
          </w:p>
          <w:p w14:paraId="3F9AE8A7">
            <w:pPr>
              <w:adjustRightInd w:val="0"/>
              <w:snapToGrid w:val="0"/>
              <w:rPr>
                <w:rFonts w:hint="eastAsia" w:ascii="宋体" w:hAnsi="宋体"/>
                <w:sz w:val="18"/>
                <w:szCs w:val="18"/>
              </w:rPr>
            </w:pPr>
            <w:r>
              <w:rPr>
                <w:rFonts w:hint="eastAsia" w:ascii="宋体" w:hAnsi="宋体"/>
                <w:sz w:val="18"/>
                <w:szCs w:val="18"/>
              </w:rPr>
              <w:t>d）应采取防水淹、防潮的技术措施；</w:t>
            </w:r>
          </w:p>
          <w:p w14:paraId="4A2AEFA1">
            <w:pPr>
              <w:adjustRightInd w:val="0"/>
              <w:snapToGrid w:val="0"/>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）应确保火灾自动报警系统、灭火系统和其他联动控制设备处于正常工作状态，不得将应处于自动状态的设在手动状态；</w:t>
            </w:r>
          </w:p>
          <w:p w14:paraId="572C849A">
            <w:pPr>
              <w:adjustRightInd w:val="0"/>
              <w:snapToGrid w:val="0"/>
              <w:rPr>
                <w:rFonts w:hint="eastAsia" w:ascii="宋体" w:hAnsi="宋体"/>
                <w:sz w:val="18"/>
                <w:szCs w:val="18"/>
              </w:rPr>
            </w:pPr>
            <w:r>
              <w:rPr>
                <w:rFonts w:hint="eastAsia" w:ascii="宋体" w:hAnsi="宋体"/>
                <w:sz w:val="18"/>
                <w:szCs w:val="18"/>
              </w:rPr>
              <w:t>f）确保高位消防水箱、消防水池、气压水罐等消防储水设施水量充足，确保消防泵出水管阀门、自动喷水灭火系统管道上的阀门常开；消防水泵、防排烟风机、防火卷帘等消防用电设备的配电柜开关应处于自动位置（通电状态）；</w:t>
            </w:r>
          </w:p>
          <w:p w14:paraId="238E6F1D">
            <w:pPr>
              <w:adjustRightInd w:val="0"/>
              <w:snapToGrid w:val="0"/>
              <w:rPr>
                <w:rFonts w:hint="eastAsia" w:ascii="宋体" w:hAnsi="宋体"/>
                <w:sz w:val="18"/>
                <w:szCs w:val="18"/>
              </w:rPr>
            </w:pPr>
            <w:r>
              <w:rPr>
                <w:rFonts w:hint="eastAsia" w:ascii="宋体" w:hAnsi="宋体"/>
                <w:sz w:val="18"/>
                <w:szCs w:val="18"/>
              </w:rPr>
              <w:t>g）不应有与消防控制室无关的电气线路和管路穿过；</w:t>
            </w:r>
          </w:p>
          <w:p w14:paraId="7723A96D">
            <w:pPr>
              <w:adjustRightInd w:val="0"/>
              <w:snapToGrid w:val="0"/>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）应设置消防专用电话总机和可直接报警的外线电话；</w:t>
            </w:r>
          </w:p>
          <w:p w14:paraId="17946D77">
            <w:pPr>
              <w:adjustRightInd w:val="0"/>
              <w:snapToGrid w:val="0"/>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）室内不应堆放杂物；</w:t>
            </w:r>
          </w:p>
          <w:p w14:paraId="1003F991">
            <w:pPr>
              <w:adjustRightInd w:val="0"/>
              <w:snapToGrid w:val="0"/>
              <w:rPr>
                <w:rFonts w:hint="eastAsia" w:ascii="宋体" w:hAnsi="宋体"/>
                <w:sz w:val="18"/>
                <w:szCs w:val="18"/>
              </w:rPr>
            </w:pPr>
            <w:r>
              <w:rPr>
                <w:rFonts w:hint="eastAsia" w:ascii="宋体" w:hAnsi="宋体"/>
                <w:sz w:val="18"/>
                <w:szCs w:val="18"/>
                <w:lang w:val="en-US" w:eastAsia="zh-CN"/>
              </w:rPr>
              <w:t>j</w:t>
            </w:r>
            <w:r>
              <w:rPr>
                <w:rFonts w:hint="eastAsia" w:ascii="宋体" w:hAnsi="宋体"/>
                <w:sz w:val="18"/>
                <w:szCs w:val="18"/>
              </w:rPr>
              <w:t>）不得将消防控制室的消防电话、消防应急广播、消防记录打印机等设备挪作他用。消防图形显示装置中专用于报警显示的计算机，不得安装游戏、办公等其他无关软件；</w:t>
            </w:r>
          </w:p>
          <w:p w14:paraId="67E0E097">
            <w:pPr>
              <w:adjustRightInd w:val="0"/>
              <w:snapToGrid w:val="0"/>
              <w:rPr>
                <w:rFonts w:hint="eastAsia" w:ascii="宋体" w:hAnsi="宋体"/>
                <w:sz w:val="18"/>
                <w:szCs w:val="18"/>
              </w:rPr>
            </w:pPr>
            <w:r>
              <w:rPr>
                <w:rFonts w:hint="eastAsia" w:ascii="宋体" w:hAnsi="宋体"/>
                <w:sz w:val="18"/>
                <w:szCs w:val="18"/>
                <w:lang w:val="en-US" w:eastAsia="zh-CN"/>
              </w:rPr>
              <w:t>k</w:t>
            </w:r>
            <w:r>
              <w:rPr>
                <w:rFonts w:hint="eastAsia" w:ascii="宋体" w:hAnsi="宋体"/>
                <w:sz w:val="18"/>
                <w:szCs w:val="18"/>
              </w:rPr>
              <w:t>）在消防控制室内，应置备一定数量的灭火器、消防过滤式自救呼吸器、空气呼吸器、手持扩音器、手电筒、对讲机、消防梯、消防斧、辅助逃生装置等消防紧急备用物品、工具仪表；</w:t>
            </w:r>
          </w:p>
          <w:p w14:paraId="2D92FC51">
            <w:pPr>
              <w:adjustRightInd w:val="0"/>
              <w:snapToGrid w:val="0"/>
              <w:rPr>
                <w:rFonts w:hint="eastAsia" w:ascii="宋体" w:hAnsi="宋体"/>
                <w:sz w:val="18"/>
                <w:szCs w:val="18"/>
              </w:rPr>
            </w:pPr>
            <w:r>
              <w:rPr>
                <w:rFonts w:hint="eastAsia" w:ascii="宋体" w:hAnsi="宋体"/>
                <w:sz w:val="18"/>
                <w:szCs w:val="18"/>
                <w:lang w:val="en-US" w:eastAsia="zh-CN"/>
              </w:rPr>
              <w:t>l</w:t>
            </w:r>
            <w:r>
              <w:rPr>
                <w:rFonts w:hint="eastAsia" w:ascii="宋体" w:hAnsi="宋体"/>
                <w:sz w:val="18"/>
                <w:szCs w:val="18"/>
              </w:rPr>
              <w:t>）在消防控制室内，应置备有关消防设备用房、通往屋顶和地下室等消防设施的通道门锁钥匙、手动报警按钮恢复钥匙等，并分类标志悬挂；置备有关消防电源、控制箱（柜）、开关专用钥匙及手提插孔消防电话、安全工作帽等消防专用工具、器材；</w:t>
            </w:r>
          </w:p>
          <w:p w14:paraId="5B7A275F">
            <w:pPr>
              <w:adjustRightInd w:val="0"/>
              <w:snapToGrid w:val="0"/>
              <w:rPr>
                <w:rFonts w:hint="eastAsia" w:ascii="宋体" w:hAnsi="宋体"/>
                <w:sz w:val="18"/>
                <w:szCs w:val="18"/>
              </w:rPr>
            </w:pPr>
            <w:r>
              <w:rPr>
                <w:rFonts w:hint="eastAsia" w:ascii="宋体" w:hAnsi="宋体"/>
                <w:sz w:val="18"/>
                <w:szCs w:val="18"/>
                <w:lang w:val="en-US" w:eastAsia="zh-CN"/>
              </w:rPr>
              <w:t>m</w:t>
            </w:r>
            <w:r>
              <w:rPr>
                <w:rFonts w:hint="eastAsia" w:ascii="宋体" w:hAnsi="宋体"/>
                <w:sz w:val="18"/>
                <w:szCs w:val="18"/>
              </w:rPr>
              <w:t>）消防控制室入口处应设置标识，标明消防控制室闲人免进。</w:t>
            </w:r>
          </w:p>
        </w:tc>
        <w:tc>
          <w:tcPr>
            <w:tcW w:w="741" w:type="dxa"/>
            <w:noWrap w:val="0"/>
            <w:vAlign w:val="center"/>
          </w:tcPr>
          <w:p w14:paraId="31F14F97">
            <w:pPr>
              <w:adjustRightInd w:val="0"/>
              <w:snapToGrid w:val="0"/>
              <w:jc w:val="center"/>
              <w:rPr>
                <w:rFonts w:ascii="宋体" w:hAnsi="宋体" w:cs="宋体"/>
                <w:sz w:val="18"/>
                <w:szCs w:val="18"/>
              </w:rPr>
            </w:pPr>
          </w:p>
        </w:tc>
        <w:tc>
          <w:tcPr>
            <w:tcW w:w="634" w:type="dxa"/>
            <w:noWrap w:val="0"/>
            <w:vAlign w:val="center"/>
          </w:tcPr>
          <w:p w14:paraId="3CCAD98B">
            <w:pPr>
              <w:adjustRightInd w:val="0"/>
              <w:snapToGrid w:val="0"/>
              <w:ind w:right="34"/>
              <w:jc w:val="center"/>
              <w:rPr>
                <w:rFonts w:ascii="宋体" w:hAnsi="宋体"/>
                <w:sz w:val="18"/>
                <w:szCs w:val="18"/>
              </w:rPr>
            </w:pPr>
          </w:p>
        </w:tc>
        <w:tc>
          <w:tcPr>
            <w:tcW w:w="633" w:type="dxa"/>
            <w:noWrap w:val="0"/>
            <w:vAlign w:val="center"/>
          </w:tcPr>
          <w:p w14:paraId="1FAF9676">
            <w:pPr>
              <w:adjustRightInd w:val="0"/>
              <w:snapToGrid w:val="0"/>
              <w:ind w:right="34"/>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w:t>
            </w:r>
          </w:p>
        </w:tc>
        <w:tc>
          <w:tcPr>
            <w:tcW w:w="2570" w:type="dxa"/>
            <w:tcBorders>
              <w:right w:val="single" w:color="auto" w:sz="4" w:space="0"/>
            </w:tcBorders>
            <w:noWrap w:val="0"/>
            <w:vAlign w:val="center"/>
          </w:tcPr>
          <w:p w14:paraId="4C37DE34">
            <w:pPr>
              <w:adjustRightInd w:val="0"/>
              <w:snapToGrid w:val="0"/>
              <w:ind w:right="34"/>
              <w:rPr>
                <w:rFonts w:ascii="宋体" w:hAnsi="宋体" w:cs="宋体"/>
                <w:sz w:val="18"/>
                <w:szCs w:val="18"/>
              </w:rPr>
            </w:pPr>
            <w:r>
              <w:rPr>
                <w:rFonts w:hint="eastAsia" w:ascii="宋体" w:hAnsi="宋体" w:cs="宋体"/>
                <w:sz w:val="18"/>
                <w:szCs w:val="18"/>
              </w:rPr>
              <w:t>1）消防控制室耐火等级不符合要求的扣</w:t>
            </w:r>
            <w:r>
              <w:rPr>
                <w:rFonts w:hint="eastAsia" w:ascii="宋体" w:hAnsi="宋体" w:cs="宋体"/>
                <w:sz w:val="18"/>
                <w:szCs w:val="18"/>
                <w:lang w:val="en-US" w:eastAsia="zh-CN"/>
              </w:rPr>
              <w:t>5</w:t>
            </w:r>
            <w:r>
              <w:rPr>
                <w:rFonts w:hint="eastAsia" w:ascii="宋体" w:hAnsi="宋体" w:cs="宋体"/>
                <w:sz w:val="18"/>
                <w:szCs w:val="18"/>
              </w:rPr>
              <w:t>分，位置设置不符合要求的扣</w:t>
            </w:r>
            <w:r>
              <w:rPr>
                <w:rFonts w:hint="eastAsia" w:ascii="宋体" w:hAnsi="宋体" w:cs="宋体"/>
                <w:sz w:val="18"/>
                <w:szCs w:val="18"/>
                <w:lang w:val="en-US" w:eastAsia="zh-CN"/>
              </w:rPr>
              <w:t>5</w:t>
            </w:r>
            <w:r>
              <w:rPr>
                <w:rFonts w:hint="eastAsia" w:ascii="宋体" w:hAnsi="宋体" w:cs="宋体"/>
                <w:sz w:val="18"/>
                <w:szCs w:val="18"/>
              </w:rPr>
              <w:t>分；</w:t>
            </w:r>
          </w:p>
          <w:p w14:paraId="5B34CECF">
            <w:pPr>
              <w:adjustRightInd w:val="0"/>
              <w:snapToGrid w:val="0"/>
              <w:ind w:right="34"/>
              <w:rPr>
                <w:rFonts w:ascii="宋体" w:hAnsi="宋体" w:cs="宋体"/>
                <w:sz w:val="18"/>
                <w:szCs w:val="18"/>
              </w:rPr>
            </w:pPr>
            <w:r>
              <w:rPr>
                <w:rFonts w:hint="eastAsia" w:ascii="宋体" w:hAnsi="宋体" w:cs="宋体"/>
                <w:sz w:val="18"/>
                <w:szCs w:val="18"/>
              </w:rPr>
              <w:t>2）发现联动控制设备处于非正常工作状态，扣</w:t>
            </w:r>
            <w:r>
              <w:rPr>
                <w:rFonts w:hint="eastAsia" w:ascii="宋体" w:hAnsi="宋体" w:cs="宋体"/>
                <w:sz w:val="18"/>
                <w:szCs w:val="18"/>
                <w:lang w:val="en-US" w:eastAsia="zh-CN"/>
              </w:rPr>
              <w:t>5</w:t>
            </w:r>
            <w:r>
              <w:rPr>
                <w:rFonts w:hint="eastAsia" w:ascii="宋体" w:hAnsi="宋体" w:cs="宋体"/>
                <w:sz w:val="18"/>
                <w:szCs w:val="18"/>
              </w:rPr>
              <w:t>分；</w:t>
            </w:r>
          </w:p>
          <w:p w14:paraId="386CBB49">
            <w:pPr>
              <w:adjustRightInd w:val="0"/>
              <w:snapToGrid w:val="0"/>
              <w:ind w:right="34"/>
              <w:rPr>
                <w:rFonts w:ascii="宋体" w:hAnsi="宋体" w:cs="宋体"/>
                <w:sz w:val="18"/>
                <w:szCs w:val="18"/>
              </w:rPr>
            </w:pPr>
            <w:r>
              <w:rPr>
                <w:rFonts w:hint="eastAsia" w:ascii="宋体" w:hAnsi="宋体" w:cs="宋体"/>
                <w:sz w:val="18"/>
                <w:szCs w:val="18"/>
              </w:rPr>
              <w:t>3）控制设备处在手动状态，扣</w:t>
            </w:r>
            <w:r>
              <w:rPr>
                <w:rFonts w:hint="eastAsia" w:ascii="宋体" w:hAnsi="宋体" w:cs="宋体"/>
                <w:sz w:val="18"/>
                <w:szCs w:val="18"/>
                <w:lang w:val="en-US" w:eastAsia="zh-CN"/>
              </w:rPr>
              <w:t>5</w:t>
            </w:r>
            <w:r>
              <w:rPr>
                <w:rFonts w:hint="eastAsia" w:ascii="宋体" w:hAnsi="宋体" w:cs="宋体"/>
                <w:sz w:val="18"/>
                <w:szCs w:val="18"/>
              </w:rPr>
              <w:t>分；</w:t>
            </w:r>
          </w:p>
          <w:p w14:paraId="06CF3FEA">
            <w:pPr>
              <w:adjustRightInd w:val="0"/>
              <w:snapToGrid w:val="0"/>
              <w:ind w:right="34"/>
              <w:rPr>
                <w:rFonts w:hint="eastAsia" w:ascii="宋体" w:hAnsi="宋体" w:cs="宋体"/>
                <w:sz w:val="18"/>
                <w:szCs w:val="18"/>
              </w:rPr>
            </w:pPr>
            <w:r>
              <w:rPr>
                <w:rFonts w:hint="eastAsia" w:ascii="宋体" w:hAnsi="宋体" w:cs="宋体"/>
                <w:sz w:val="18"/>
                <w:szCs w:val="18"/>
              </w:rPr>
              <w:t>4）其他一处不符合扣2分。</w:t>
            </w:r>
          </w:p>
        </w:tc>
        <w:tc>
          <w:tcPr>
            <w:tcW w:w="712" w:type="dxa"/>
            <w:tcBorders>
              <w:left w:val="single" w:color="auto" w:sz="4" w:space="0"/>
            </w:tcBorders>
            <w:noWrap w:val="0"/>
            <w:vAlign w:val="top"/>
          </w:tcPr>
          <w:p w14:paraId="1DBD8C55">
            <w:pPr>
              <w:adjustRightInd w:val="0"/>
              <w:snapToGrid w:val="0"/>
              <w:rPr>
                <w:rFonts w:hint="eastAsia" w:ascii="宋体" w:hAnsi="宋体" w:cs="宋体"/>
                <w:kern w:val="0"/>
                <w:sz w:val="18"/>
                <w:szCs w:val="18"/>
              </w:rPr>
            </w:pPr>
          </w:p>
        </w:tc>
        <w:tc>
          <w:tcPr>
            <w:tcW w:w="1280" w:type="dxa"/>
            <w:noWrap w:val="0"/>
            <w:vAlign w:val="top"/>
          </w:tcPr>
          <w:p w14:paraId="195ECABF">
            <w:pPr>
              <w:adjustRightInd w:val="0"/>
              <w:snapToGrid w:val="0"/>
              <w:rPr>
                <w:rFonts w:hint="eastAsia" w:ascii="宋体" w:hAnsi="宋体" w:cs="宋体"/>
                <w:kern w:val="0"/>
                <w:sz w:val="18"/>
                <w:szCs w:val="18"/>
              </w:rPr>
            </w:pPr>
          </w:p>
        </w:tc>
        <w:tc>
          <w:tcPr>
            <w:tcW w:w="1179" w:type="dxa"/>
            <w:noWrap w:val="0"/>
            <w:vAlign w:val="center"/>
          </w:tcPr>
          <w:p w14:paraId="7C706388">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7</w:t>
            </w:r>
          </w:p>
        </w:tc>
      </w:tr>
    </w:tbl>
    <w:p w14:paraId="0A903653">
      <w:pPr>
        <w:pStyle w:val="168"/>
        <w:widowControl/>
        <w:numPr>
          <w:ilvl w:val="0"/>
          <w:numId w:val="0"/>
        </w:numPr>
        <w:spacing w:before="156" w:after="156"/>
        <w:ind w:left="567" w:hanging="567"/>
      </w:pPr>
      <w:r>
        <w:br w:type="page"/>
      </w:r>
      <w:r>
        <w:rPr>
          <w:rFonts w:hint="eastAsia"/>
        </w:rPr>
        <w:t>表H.1  消防要素的安全生产等级评定细则</w:t>
      </w:r>
      <w:r>
        <w:rPr>
          <w:rFonts w:hint="eastAsia" w:ascii="宋体" w:hAnsi="宋体" w:eastAsia="宋体"/>
        </w:rPr>
        <w:t>（续）</w:t>
      </w:r>
    </w:p>
    <w:tbl>
      <w:tblPr>
        <w:tblStyle w:val="4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0"/>
        <w:gridCol w:w="6593"/>
        <w:gridCol w:w="734"/>
        <w:gridCol w:w="629"/>
        <w:gridCol w:w="629"/>
        <w:gridCol w:w="2788"/>
        <w:gridCol w:w="676"/>
        <w:gridCol w:w="1124"/>
        <w:gridCol w:w="1210"/>
      </w:tblGrid>
      <w:tr w14:paraId="70CA3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0" w:type="dxa"/>
            <w:noWrap w:val="0"/>
            <w:vAlign w:val="center"/>
          </w:tcPr>
          <w:p w14:paraId="05B1F678">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序号</w:t>
            </w:r>
          </w:p>
        </w:tc>
        <w:tc>
          <w:tcPr>
            <w:tcW w:w="6593" w:type="dxa"/>
            <w:noWrap w:val="0"/>
            <w:vAlign w:val="center"/>
          </w:tcPr>
          <w:p w14:paraId="5839876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评定内容</w:t>
            </w:r>
          </w:p>
        </w:tc>
        <w:tc>
          <w:tcPr>
            <w:tcW w:w="734" w:type="dxa"/>
            <w:noWrap w:val="0"/>
            <w:vAlign w:val="center"/>
          </w:tcPr>
          <w:p w14:paraId="19AB0A3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评定要素分值</w:t>
            </w:r>
          </w:p>
        </w:tc>
        <w:tc>
          <w:tcPr>
            <w:tcW w:w="629" w:type="dxa"/>
            <w:noWrap w:val="0"/>
            <w:vAlign w:val="top"/>
          </w:tcPr>
          <w:p w14:paraId="08A65F80">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评定细项分值</w:t>
            </w:r>
          </w:p>
        </w:tc>
        <w:tc>
          <w:tcPr>
            <w:tcW w:w="629" w:type="dxa"/>
            <w:noWrap w:val="0"/>
            <w:vAlign w:val="top"/>
          </w:tcPr>
          <w:p w14:paraId="2B90D66C">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评定条款分值</w:t>
            </w:r>
          </w:p>
        </w:tc>
        <w:tc>
          <w:tcPr>
            <w:tcW w:w="2788" w:type="dxa"/>
            <w:tcBorders>
              <w:right w:val="single" w:color="auto" w:sz="4" w:space="0"/>
            </w:tcBorders>
            <w:noWrap w:val="0"/>
            <w:vAlign w:val="center"/>
          </w:tcPr>
          <w:p w14:paraId="73F3F6A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评分标准</w:t>
            </w:r>
          </w:p>
        </w:tc>
        <w:tc>
          <w:tcPr>
            <w:tcW w:w="676" w:type="dxa"/>
            <w:tcBorders>
              <w:left w:val="single" w:color="auto" w:sz="4" w:space="0"/>
            </w:tcBorders>
            <w:noWrap w:val="0"/>
            <w:vAlign w:val="center"/>
          </w:tcPr>
          <w:p w14:paraId="65455F1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评定得分</w:t>
            </w:r>
          </w:p>
        </w:tc>
        <w:tc>
          <w:tcPr>
            <w:tcW w:w="1124" w:type="dxa"/>
            <w:noWrap w:val="0"/>
            <w:vAlign w:val="center"/>
          </w:tcPr>
          <w:p w14:paraId="576181CB">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扣分说明</w:t>
            </w:r>
          </w:p>
        </w:tc>
        <w:tc>
          <w:tcPr>
            <w:tcW w:w="1210" w:type="dxa"/>
            <w:noWrap w:val="0"/>
            <w:vAlign w:val="center"/>
          </w:tcPr>
          <w:p w14:paraId="28A36C5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对应条款编号</w:t>
            </w:r>
          </w:p>
        </w:tc>
      </w:tr>
      <w:tr w14:paraId="7F7BA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70" w:type="dxa"/>
            <w:noWrap w:val="0"/>
            <w:vAlign w:val="center"/>
          </w:tcPr>
          <w:p w14:paraId="4F6108AA">
            <w:pPr>
              <w:adjustRightInd w:val="0"/>
              <w:snapToGrid w:val="0"/>
              <w:spacing w:line="240" w:lineRule="atLeast"/>
              <w:jc w:val="center"/>
              <w:rPr>
                <w:rFonts w:ascii="宋体" w:hAnsi="宋体"/>
                <w:sz w:val="18"/>
                <w:szCs w:val="18"/>
              </w:rPr>
            </w:pPr>
            <w:r>
              <w:rPr>
                <w:rFonts w:hint="eastAsia" w:ascii="宋体" w:hAnsi="宋体"/>
                <w:sz w:val="18"/>
                <w:szCs w:val="18"/>
              </w:rPr>
              <w:t>7.</w:t>
            </w:r>
            <w:r>
              <w:rPr>
                <w:rFonts w:hint="eastAsia" w:ascii="宋体" w:hAnsi="宋体"/>
                <w:sz w:val="18"/>
                <w:szCs w:val="18"/>
                <w:lang w:val="en-US" w:eastAsia="zh-CN"/>
              </w:rPr>
              <w:t>7.</w:t>
            </w:r>
            <w:r>
              <w:rPr>
                <w:rFonts w:hint="eastAsia" w:ascii="宋体" w:hAnsi="宋体"/>
                <w:sz w:val="18"/>
                <w:szCs w:val="18"/>
              </w:rPr>
              <w:t>2</w:t>
            </w:r>
          </w:p>
        </w:tc>
        <w:tc>
          <w:tcPr>
            <w:tcW w:w="6593" w:type="dxa"/>
            <w:noWrap w:val="0"/>
            <w:vAlign w:val="top"/>
          </w:tcPr>
          <w:p w14:paraId="796401A5">
            <w:pPr>
              <w:adjustRightInd w:val="0"/>
              <w:snapToGrid w:val="0"/>
              <w:rPr>
                <w:rFonts w:ascii="宋体" w:hAnsi="宋体"/>
                <w:sz w:val="18"/>
                <w:szCs w:val="18"/>
              </w:rPr>
            </w:pPr>
            <w:r>
              <w:rPr>
                <w:rFonts w:hint="eastAsia" w:ascii="宋体" w:hAnsi="宋体"/>
                <w:sz w:val="18"/>
                <w:szCs w:val="18"/>
              </w:rPr>
              <w:t>消防控制室应至少保存下列资料：</w:t>
            </w:r>
          </w:p>
          <w:p w14:paraId="0C259192">
            <w:pPr>
              <w:adjustRightInd w:val="0"/>
              <w:snapToGrid w:val="0"/>
              <w:rPr>
                <w:rFonts w:ascii="宋体" w:hAnsi="宋体"/>
                <w:sz w:val="18"/>
                <w:szCs w:val="18"/>
              </w:rPr>
            </w:pPr>
            <w:r>
              <w:rPr>
                <w:rFonts w:hint="eastAsia" w:ascii="宋体" w:hAnsi="宋体"/>
                <w:sz w:val="18"/>
                <w:szCs w:val="18"/>
              </w:rPr>
              <w:t>a）建（构）筑物竣工后的总平面布局图、建筑消防设施平面布置图、建筑消防设施系统图及安全出口布置图、重点部位位置图等；</w:t>
            </w:r>
          </w:p>
          <w:p w14:paraId="4DADD36C">
            <w:pPr>
              <w:adjustRightInd w:val="0"/>
              <w:snapToGrid w:val="0"/>
              <w:rPr>
                <w:rFonts w:ascii="宋体" w:hAnsi="宋体"/>
                <w:sz w:val="18"/>
                <w:szCs w:val="18"/>
              </w:rPr>
            </w:pPr>
            <w:r>
              <w:rPr>
                <w:rFonts w:hint="eastAsia" w:ascii="宋体" w:hAnsi="宋体"/>
                <w:sz w:val="18"/>
                <w:szCs w:val="18"/>
              </w:rPr>
              <w:t>b）消防安全管理规章制度、应急灭火预案、应急疏散预案等；</w:t>
            </w:r>
          </w:p>
          <w:p w14:paraId="70B49677">
            <w:pPr>
              <w:adjustRightInd w:val="0"/>
              <w:snapToGrid w:val="0"/>
              <w:rPr>
                <w:rFonts w:ascii="宋体" w:hAnsi="宋体"/>
                <w:sz w:val="18"/>
                <w:szCs w:val="18"/>
              </w:rPr>
            </w:pPr>
            <w:r>
              <w:rPr>
                <w:rFonts w:hint="eastAsia" w:ascii="宋体" w:hAnsi="宋体"/>
                <w:sz w:val="18"/>
                <w:szCs w:val="18"/>
              </w:rPr>
              <w:t>c）消防安全组织结构图，包括消防安全责任人、管理人、专职、义务消防人员等内容；</w:t>
            </w:r>
          </w:p>
          <w:p w14:paraId="431777E7">
            <w:pPr>
              <w:adjustRightInd w:val="0"/>
              <w:snapToGrid w:val="0"/>
              <w:rPr>
                <w:rFonts w:ascii="宋体" w:hAnsi="宋体"/>
                <w:sz w:val="18"/>
                <w:szCs w:val="18"/>
              </w:rPr>
            </w:pPr>
            <w:r>
              <w:rPr>
                <w:rFonts w:hint="eastAsia" w:ascii="宋体" w:hAnsi="宋体"/>
                <w:sz w:val="18"/>
                <w:szCs w:val="18"/>
              </w:rPr>
              <w:t>d）消防安全培训记录、灭火和应急疏散预案的演练记录；</w:t>
            </w:r>
          </w:p>
          <w:p w14:paraId="457CD92B">
            <w:pPr>
              <w:adjustRightInd w:val="0"/>
              <w:snapToGrid w:val="0"/>
              <w:rPr>
                <w:rFonts w:ascii="宋体" w:hAnsi="宋体"/>
                <w:sz w:val="18"/>
                <w:szCs w:val="18"/>
              </w:rPr>
            </w:pPr>
            <w:r>
              <w:rPr>
                <w:rFonts w:hint="eastAsia" w:ascii="宋体" w:hAnsi="宋体"/>
                <w:sz w:val="18"/>
                <w:szCs w:val="18"/>
              </w:rPr>
              <w:t>e）值班情况、消防安全检查情况及巡查情况的记录；</w:t>
            </w:r>
          </w:p>
          <w:p w14:paraId="0B7AD6FE">
            <w:pPr>
              <w:adjustRightInd w:val="0"/>
              <w:snapToGrid w:val="0"/>
              <w:rPr>
                <w:rFonts w:ascii="宋体" w:hAnsi="宋体"/>
                <w:sz w:val="18"/>
                <w:szCs w:val="18"/>
              </w:rPr>
            </w:pPr>
            <w:r>
              <w:rPr>
                <w:rFonts w:hint="eastAsia" w:ascii="宋体" w:hAnsi="宋体"/>
                <w:sz w:val="18"/>
                <w:szCs w:val="18"/>
              </w:rPr>
              <w:t>f）消防设施一览表，包括消防设施的类型、数量、状态等内容；</w:t>
            </w:r>
          </w:p>
          <w:p w14:paraId="353D1FCF">
            <w:pPr>
              <w:adjustRightInd w:val="0"/>
              <w:snapToGrid w:val="0"/>
              <w:rPr>
                <w:rFonts w:ascii="宋体" w:hAnsi="宋体"/>
                <w:sz w:val="18"/>
                <w:szCs w:val="18"/>
              </w:rPr>
            </w:pPr>
            <w:r>
              <w:rPr>
                <w:rFonts w:hint="eastAsia" w:ascii="宋体" w:hAnsi="宋体"/>
                <w:sz w:val="18"/>
                <w:szCs w:val="18"/>
              </w:rPr>
              <w:t>g）消防系统控制逻辑关系说明、设备使用说明书、系统操作规程、系统和设备维护保养制度等；</w:t>
            </w:r>
          </w:p>
          <w:p w14:paraId="4890F55D">
            <w:pPr>
              <w:adjustRightInd w:val="0"/>
              <w:snapToGrid w:val="0"/>
              <w:jc w:val="left"/>
              <w:rPr>
                <w:rFonts w:ascii="宋体" w:hAnsi="宋体"/>
                <w:bCs/>
                <w:sz w:val="18"/>
                <w:szCs w:val="18"/>
              </w:rPr>
            </w:pPr>
            <w:r>
              <w:rPr>
                <w:rFonts w:hint="eastAsia" w:ascii="宋体" w:hAnsi="宋体"/>
                <w:sz w:val="18"/>
                <w:szCs w:val="18"/>
              </w:rPr>
              <w:t>h）设备运行状况、接报警记录、火灾处理情况、设备检修检测报告等资料。</w:t>
            </w:r>
          </w:p>
        </w:tc>
        <w:tc>
          <w:tcPr>
            <w:tcW w:w="734" w:type="dxa"/>
            <w:noWrap w:val="0"/>
            <w:vAlign w:val="center"/>
          </w:tcPr>
          <w:p w14:paraId="69AD7FA1">
            <w:pPr>
              <w:adjustRightInd w:val="0"/>
              <w:snapToGrid w:val="0"/>
              <w:jc w:val="center"/>
              <w:rPr>
                <w:rFonts w:ascii="宋体" w:hAnsi="宋体" w:cs="宋体"/>
                <w:sz w:val="18"/>
                <w:szCs w:val="18"/>
              </w:rPr>
            </w:pPr>
          </w:p>
        </w:tc>
        <w:tc>
          <w:tcPr>
            <w:tcW w:w="629" w:type="dxa"/>
            <w:noWrap w:val="0"/>
            <w:vAlign w:val="center"/>
          </w:tcPr>
          <w:p w14:paraId="057FB911">
            <w:pPr>
              <w:adjustRightInd w:val="0"/>
              <w:snapToGrid w:val="0"/>
              <w:ind w:right="34"/>
              <w:jc w:val="center"/>
              <w:rPr>
                <w:rFonts w:ascii="宋体" w:hAnsi="宋体"/>
                <w:sz w:val="18"/>
                <w:szCs w:val="18"/>
              </w:rPr>
            </w:pPr>
          </w:p>
        </w:tc>
        <w:tc>
          <w:tcPr>
            <w:tcW w:w="629" w:type="dxa"/>
            <w:noWrap w:val="0"/>
            <w:vAlign w:val="center"/>
          </w:tcPr>
          <w:p w14:paraId="34189002">
            <w:pPr>
              <w:adjustRightInd w:val="0"/>
              <w:snapToGrid w:val="0"/>
              <w:ind w:right="34"/>
              <w:jc w:val="center"/>
              <w:rPr>
                <w:rFonts w:hint="eastAsia" w:ascii="宋体" w:hAnsi="宋体"/>
                <w:sz w:val="18"/>
                <w:szCs w:val="18"/>
              </w:rPr>
            </w:pPr>
            <w:r>
              <w:rPr>
                <w:rFonts w:hint="eastAsia" w:ascii="宋体" w:hAnsi="宋体"/>
                <w:sz w:val="18"/>
                <w:szCs w:val="18"/>
              </w:rPr>
              <w:t>2</w:t>
            </w:r>
          </w:p>
        </w:tc>
        <w:tc>
          <w:tcPr>
            <w:tcW w:w="2788" w:type="dxa"/>
            <w:tcBorders>
              <w:right w:val="single" w:color="auto" w:sz="4" w:space="0"/>
            </w:tcBorders>
            <w:noWrap w:val="0"/>
            <w:vAlign w:val="center"/>
          </w:tcPr>
          <w:p w14:paraId="3615405E">
            <w:pPr>
              <w:adjustRightInd w:val="0"/>
              <w:snapToGrid w:val="0"/>
              <w:ind w:right="34"/>
              <w:rPr>
                <w:rFonts w:ascii="宋体" w:hAnsi="宋体"/>
                <w:sz w:val="18"/>
                <w:szCs w:val="18"/>
              </w:rPr>
            </w:pPr>
            <w:r>
              <w:rPr>
                <w:rFonts w:hint="eastAsia" w:ascii="宋体" w:hAnsi="宋体"/>
                <w:sz w:val="18"/>
                <w:szCs w:val="18"/>
              </w:rPr>
              <w:t>消防控制室资料，一处缺失扣1分。</w:t>
            </w:r>
          </w:p>
        </w:tc>
        <w:tc>
          <w:tcPr>
            <w:tcW w:w="676" w:type="dxa"/>
            <w:tcBorders>
              <w:left w:val="single" w:color="auto" w:sz="4" w:space="0"/>
            </w:tcBorders>
            <w:noWrap w:val="0"/>
            <w:vAlign w:val="top"/>
          </w:tcPr>
          <w:p w14:paraId="436FE292">
            <w:pPr>
              <w:adjustRightInd w:val="0"/>
              <w:snapToGrid w:val="0"/>
              <w:rPr>
                <w:rFonts w:ascii="宋体" w:hAnsi="宋体" w:cs="宋体"/>
                <w:sz w:val="18"/>
                <w:szCs w:val="18"/>
              </w:rPr>
            </w:pPr>
          </w:p>
        </w:tc>
        <w:tc>
          <w:tcPr>
            <w:tcW w:w="1124" w:type="dxa"/>
            <w:noWrap w:val="0"/>
            <w:vAlign w:val="top"/>
          </w:tcPr>
          <w:p w14:paraId="5F7A5036">
            <w:pPr>
              <w:adjustRightInd w:val="0"/>
              <w:snapToGrid w:val="0"/>
              <w:rPr>
                <w:rFonts w:ascii="宋体" w:hAnsi="宋体" w:cs="宋体"/>
                <w:sz w:val="18"/>
                <w:szCs w:val="18"/>
              </w:rPr>
            </w:pPr>
          </w:p>
        </w:tc>
        <w:tc>
          <w:tcPr>
            <w:tcW w:w="1210" w:type="dxa"/>
            <w:noWrap w:val="0"/>
            <w:vAlign w:val="center"/>
          </w:tcPr>
          <w:p w14:paraId="1D4F5422">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7</w:t>
            </w:r>
          </w:p>
        </w:tc>
      </w:tr>
      <w:tr w14:paraId="61FB8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jc w:val="center"/>
        </w:trPr>
        <w:tc>
          <w:tcPr>
            <w:tcW w:w="970" w:type="dxa"/>
            <w:noWrap w:val="0"/>
            <w:vAlign w:val="center"/>
          </w:tcPr>
          <w:p w14:paraId="3B56D488">
            <w:pPr>
              <w:adjustRightInd w:val="0"/>
              <w:snapToGrid w:val="0"/>
              <w:spacing w:line="240" w:lineRule="atLeast"/>
              <w:jc w:val="center"/>
              <w:rPr>
                <w:rFonts w:ascii="宋体" w:hAnsi="宋体"/>
                <w:sz w:val="18"/>
                <w:szCs w:val="18"/>
              </w:rPr>
            </w:pPr>
            <w:r>
              <w:rPr>
                <w:rFonts w:hint="eastAsia" w:ascii="宋体" w:hAnsi="宋体"/>
                <w:sz w:val="18"/>
                <w:szCs w:val="18"/>
              </w:rPr>
              <w:t>7.</w:t>
            </w:r>
            <w:r>
              <w:rPr>
                <w:rFonts w:hint="eastAsia" w:ascii="宋体" w:hAnsi="宋体"/>
                <w:sz w:val="18"/>
                <w:szCs w:val="18"/>
                <w:lang w:val="en-US" w:eastAsia="zh-CN"/>
              </w:rPr>
              <w:t>7</w:t>
            </w:r>
            <w:r>
              <w:rPr>
                <w:rFonts w:hint="eastAsia" w:ascii="宋体" w:hAnsi="宋体"/>
                <w:sz w:val="18"/>
                <w:szCs w:val="18"/>
              </w:rPr>
              <w:t>.3</w:t>
            </w:r>
          </w:p>
        </w:tc>
        <w:tc>
          <w:tcPr>
            <w:tcW w:w="6593" w:type="dxa"/>
            <w:noWrap w:val="0"/>
            <w:vAlign w:val="top"/>
          </w:tcPr>
          <w:p w14:paraId="7F008443">
            <w:pPr>
              <w:adjustRightInd w:val="0"/>
              <w:snapToGrid w:val="0"/>
              <w:rPr>
                <w:rFonts w:ascii="宋体" w:hAnsi="宋体"/>
                <w:sz w:val="18"/>
                <w:szCs w:val="18"/>
              </w:rPr>
            </w:pPr>
            <w:r>
              <w:rPr>
                <w:rFonts w:hint="eastAsia" w:ascii="宋体" w:hAnsi="宋体"/>
                <w:sz w:val="18"/>
                <w:szCs w:val="18"/>
              </w:rPr>
              <w:t>消防控制室值班和人员管理应符合下列要求：</w:t>
            </w:r>
          </w:p>
          <w:p w14:paraId="4D881BA1">
            <w:pPr>
              <w:adjustRightInd w:val="0"/>
              <w:snapToGrid w:val="0"/>
              <w:rPr>
                <w:rFonts w:ascii="宋体" w:hAnsi="宋体"/>
                <w:sz w:val="18"/>
                <w:szCs w:val="18"/>
              </w:rPr>
            </w:pPr>
            <w:r>
              <w:rPr>
                <w:rFonts w:hint="eastAsia" w:ascii="宋体" w:hAnsi="宋体"/>
                <w:bCs/>
                <w:sz w:val="18"/>
                <w:szCs w:val="18"/>
              </w:rPr>
              <w:t>★</w:t>
            </w:r>
            <w:r>
              <w:rPr>
                <w:rFonts w:hint="eastAsia" w:ascii="宋体" w:hAnsi="宋体"/>
                <w:sz w:val="18"/>
                <w:szCs w:val="18"/>
              </w:rPr>
              <w:t>a）消防控制室实行每日24 h专人值班制度，每班不应少于2人，值班人员应持有</w:t>
            </w:r>
            <w:r>
              <w:rPr>
                <w:rFonts w:hint="eastAsia" w:ascii="宋体" w:hAnsi="宋体" w:eastAsia="宋体" w:cs="宋体"/>
                <w:sz w:val="18"/>
                <w:szCs w:val="18"/>
              </w:rPr>
              <w:t>相应级别的</w:t>
            </w:r>
            <w:r>
              <w:rPr>
                <w:rFonts w:hint="eastAsia" w:ascii="宋体" w:hAnsi="宋体"/>
                <w:sz w:val="18"/>
                <w:szCs w:val="18"/>
              </w:rPr>
              <w:t>消防控制室操作职业资格证书；</w:t>
            </w:r>
          </w:p>
          <w:p w14:paraId="626081F8">
            <w:pPr>
              <w:adjustRightInd w:val="0"/>
              <w:snapToGrid w:val="0"/>
              <w:rPr>
                <w:rFonts w:ascii="宋体" w:hAnsi="宋体"/>
                <w:sz w:val="18"/>
                <w:szCs w:val="18"/>
              </w:rPr>
            </w:pPr>
            <w:r>
              <w:rPr>
                <w:rFonts w:hint="eastAsia" w:ascii="宋体" w:hAnsi="宋体"/>
                <w:sz w:val="18"/>
                <w:szCs w:val="18"/>
              </w:rPr>
              <w:t>b）消防控制室值班人员对火灾报警控制器进行检查、接班、交班时，应填写“消防控制室值班记录表”的相关内容。值班期间应每2 h记录1次消防控制室内消防设备的运行情况，及时记录消防控制室内消防设备的火警或故障情况；</w:t>
            </w:r>
          </w:p>
          <w:p w14:paraId="5FE58FDC">
            <w:pPr>
              <w:adjustRightInd w:val="0"/>
              <w:snapToGrid w:val="0"/>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）消防控制室管理单位应明确主班、副班值班人员；</w:t>
            </w:r>
          </w:p>
          <w:p w14:paraId="58CA6B3D">
            <w:pPr>
              <w:adjustRightInd w:val="0"/>
              <w:snapToGrid w:val="0"/>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）消防控制室内应存放灭火和应急疏散预案及联络通讯表；</w:t>
            </w:r>
          </w:p>
          <w:p w14:paraId="4F968B2E">
            <w:pPr>
              <w:adjustRightInd w:val="0"/>
              <w:snapToGrid w:val="0"/>
              <w:rPr>
                <w:rFonts w:ascii="宋体" w:hAnsi="宋体"/>
                <w:sz w:val="18"/>
                <w:szCs w:val="18"/>
              </w:rPr>
            </w:pPr>
            <w:r>
              <w:rPr>
                <w:rFonts w:hint="eastAsia" w:ascii="宋体" w:hAnsi="宋体"/>
                <w:sz w:val="18"/>
                <w:szCs w:val="18"/>
                <w:lang w:val="en-US" w:eastAsia="zh-CN"/>
              </w:rPr>
              <w:t>e</w:t>
            </w:r>
            <w:r>
              <w:rPr>
                <w:rFonts w:hint="eastAsia" w:ascii="宋体" w:hAnsi="宋体"/>
                <w:sz w:val="18"/>
                <w:szCs w:val="18"/>
              </w:rPr>
              <w:t>）消防控制室图形显示器、火灾报警控制器内储存显示的数据信息应与实际地址、楼层、点位保持一致</w:t>
            </w:r>
            <w:r>
              <w:rPr>
                <w:rFonts w:hint="eastAsia" w:ascii="宋体" w:hAnsi="宋体"/>
                <w:sz w:val="18"/>
                <w:szCs w:val="18"/>
                <w:lang w:eastAsia="zh-CN"/>
              </w:rPr>
              <w:t>。</w:t>
            </w:r>
          </w:p>
        </w:tc>
        <w:tc>
          <w:tcPr>
            <w:tcW w:w="734" w:type="dxa"/>
            <w:noWrap w:val="0"/>
            <w:vAlign w:val="center"/>
          </w:tcPr>
          <w:p w14:paraId="7075B22A">
            <w:pPr>
              <w:adjustRightInd w:val="0"/>
              <w:snapToGrid w:val="0"/>
              <w:jc w:val="center"/>
              <w:rPr>
                <w:rFonts w:ascii="宋体" w:hAnsi="宋体" w:cs="宋体"/>
                <w:sz w:val="18"/>
                <w:szCs w:val="18"/>
              </w:rPr>
            </w:pPr>
          </w:p>
        </w:tc>
        <w:tc>
          <w:tcPr>
            <w:tcW w:w="629" w:type="dxa"/>
            <w:noWrap w:val="0"/>
            <w:vAlign w:val="center"/>
          </w:tcPr>
          <w:p w14:paraId="592C05F8">
            <w:pPr>
              <w:adjustRightInd w:val="0"/>
              <w:snapToGrid w:val="0"/>
              <w:ind w:right="34"/>
              <w:jc w:val="center"/>
              <w:rPr>
                <w:rFonts w:ascii="宋体" w:hAnsi="宋体"/>
                <w:sz w:val="18"/>
                <w:szCs w:val="18"/>
              </w:rPr>
            </w:pPr>
          </w:p>
        </w:tc>
        <w:tc>
          <w:tcPr>
            <w:tcW w:w="629" w:type="dxa"/>
            <w:noWrap w:val="0"/>
            <w:vAlign w:val="center"/>
          </w:tcPr>
          <w:p w14:paraId="1E6359B4">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0ECA575E">
            <w:pPr>
              <w:adjustRightInd w:val="0"/>
              <w:snapToGrid w:val="0"/>
              <w:jc w:val="left"/>
              <w:rPr>
                <w:rFonts w:ascii="宋体" w:hAnsi="宋体"/>
                <w:bCs/>
                <w:sz w:val="18"/>
                <w:szCs w:val="18"/>
              </w:rPr>
            </w:pPr>
            <w:r>
              <w:rPr>
                <w:rFonts w:hint="eastAsia" w:ascii="宋体" w:hAnsi="宋体"/>
                <w:bCs/>
                <w:sz w:val="18"/>
                <w:szCs w:val="18"/>
              </w:rPr>
              <w:t>1）值班人员数量和值班时间不符合要求，“消防”评定要素不得分；</w:t>
            </w:r>
          </w:p>
          <w:p w14:paraId="472049A7">
            <w:pPr>
              <w:rPr>
                <w:rFonts w:ascii="宋体" w:hAnsi="宋体"/>
                <w:sz w:val="18"/>
                <w:szCs w:val="18"/>
              </w:rPr>
            </w:pPr>
            <w:r>
              <w:rPr>
                <w:rFonts w:hint="eastAsia" w:ascii="宋体" w:hAnsi="宋体"/>
                <w:bCs/>
                <w:sz w:val="18"/>
                <w:szCs w:val="18"/>
              </w:rPr>
              <w:t>2）</w:t>
            </w:r>
            <w:r>
              <w:rPr>
                <w:rFonts w:hint="eastAsia" w:ascii="宋体" w:hAnsi="宋体"/>
                <w:bCs/>
                <w:sz w:val="18"/>
                <w:szCs w:val="18"/>
                <w:lang w:val="en-US" w:eastAsia="zh-CN"/>
              </w:rPr>
              <w:t>其他</w:t>
            </w:r>
            <w:r>
              <w:rPr>
                <w:rFonts w:hint="eastAsia" w:ascii="宋体" w:hAnsi="宋体"/>
                <w:bCs/>
                <w:sz w:val="18"/>
                <w:szCs w:val="18"/>
              </w:rPr>
              <w:t>一处</w:t>
            </w:r>
            <w:r>
              <w:rPr>
                <w:rFonts w:hint="eastAsia" w:ascii="宋体" w:hAnsi="宋体"/>
                <w:bCs/>
                <w:sz w:val="18"/>
                <w:szCs w:val="18"/>
                <w:lang w:val="en-US" w:eastAsia="zh-CN"/>
              </w:rPr>
              <w:t>不符合</w:t>
            </w:r>
            <w:r>
              <w:rPr>
                <w:rFonts w:hint="eastAsia" w:ascii="宋体" w:hAnsi="宋体"/>
                <w:bCs/>
                <w:sz w:val="18"/>
                <w:szCs w:val="18"/>
              </w:rPr>
              <w:t>，扣2分。</w:t>
            </w:r>
          </w:p>
        </w:tc>
        <w:tc>
          <w:tcPr>
            <w:tcW w:w="676" w:type="dxa"/>
            <w:tcBorders>
              <w:left w:val="single" w:color="auto" w:sz="4" w:space="0"/>
            </w:tcBorders>
            <w:noWrap w:val="0"/>
            <w:vAlign w:val="top"/>
          </w:tcPr>
          <w:p w14:paraId="43614FA7">
            <w:pPr>
              <w:adjustRightInd w:val="0"/>
              <w:snapToGrid w:val="0"/>
              <w:rPr>
                <w:rFonts w:ascii="宋体" w:hAnsi="宋体" w:cs="宋体"/>
                <w:sz w:val="18"/>
                <w:szCs w:val="18"/>
              </w:rPr>
            </w:pPr>
          </w:p>
        </w:tc>
        <w:tc>
          <w:tcPr>
            <w:tcW w:w="1124" w:type="dxa"/>
            <w:noWrap w:val="0"/>
            <w:vAlign w:val="top"/>
          </w:tcPr>
          <w:p w14:paraId="77BC4328">
            <w:pPr>
              <w:adjustRightInd w:val="0"/>
              <w:snapToGrid w:val="0"/>
              <w:rPr>
                <w:rFonts w:ascii="宋体" w:hAnsi="宋体" w:cs="宋体"/>
                <w:sz w:val="18"/>
                <w:szCs w:val="18"/>
              </w:rPr>
            </w:pPr>
          </w:p>
        </w:tc>
        <w:tc>
          <w:tcPr>
            <w:tcW w:w="1210" w:type="dxa"/>
            <w:noWrap w:val="0"/>
            <w:vAlign w:val="center"/>
          </w:tcPr>
          <w:p w14:paraId="7233B586">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7</w:t>
            </w:r>
          </w:p>
        </w:tc>
      </w:tr>
      <w:tr w14:paraId="69E4B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jc w:val="center"/>
        </w:trPr>
        <w:tc>
          <w:tcPr>
            <w:tcW w:w="970" w:type="dxa"/>
            <w:noWrap w:val="0"/>
            <w:vAlign w:val="center"/>
          </w:tcPr>
          <w:p w14:paraId="740491AC">
            <w:pPr>
              <w:adjustRightInd w:val="0"/>
              <w:snapToGrid w:val="0"/>
              <w:spacing w:line="240" w:lineRule="atLeast"/>
              <w:jc w:val="center"/>
              <w:rPr>
                <w:rFonts w:hint="eastAsia" w:ascii="宋体" w:hAnsi="宋体"/>
                <w:sz w:val="18"/>
                <w:szCs w:val="18"/>
              </w:rPr>
            </w:pPr>
            <w:r>
              <w:rPr>
                <w:rFonts w:hint="eastAsia" w:ascii="宋体" w:hAnsi="宋体"/>
                <w:sz w:val="18"/>
                <w:szCs w:val="18"/>
              </w:rPr>
              <w:t>7.</w:t>
            </w:r>
            <w:r>
              <w:rPr>
                <w:rFonts w:hint="eastAsia" w:ascii="宋体" w:hAnsi="宋体"/>
                <w:sz w:val="18"/>
                <w:szCs w:val="18"/>
                <w:lang w:val="en-US" w:eastAsia="zh-CN"/>
              </w:rPr>
              <w:t>7</w:t>
            </w:r>
            <w:r>
              <w:rPr>
                <w:rFonts w:hint="eastAsia" w:ascii="宋体" w:hAnsi="宋体"/>
                <w:sz w:val="18"/>
                <w:szCs w:val="18"/>
              </w:rPr>
              <w:t>.4</w:t>
            </w:r>
          </w:p>
        </w:tc>
        <w:tc>
          <w:tcPr>
            <w:tcW w:w="6593" w:type="dxa"/>
            <w:noWrap w:val="0"/>
            <w:vAlign w:val="center"/>
          </w:tcPr>
          <w:p w14:paraId="754AC577">
            <w:pPr>
              <w:adjustRightInd w:val="0"/>
              <w:snapToGrid w:val="0"/>
              <w:rPr>
                <w:rFonts w:ascii="宋体" w:hAnsi="宋体"/>
                <w:sz w:val="18"/>
                <w:szCs w:val="18"/>
              </w:rPr>
            </w:pPr>
            <w:r>
              <w:rPr>
                <w:rFonts w:hint="eastAsia" w:ascii="宋体" w:hAnsi="宋体"/>
                <w:sz w:val="18"/>
                <w:szCs w:val="18"/>
              </w:rPr>
              <w:t>仅有消防报警功能的系统，火灾报警控制器应设置在有人值班的场所，可与其他值班室合并运行</w:t>
            </w:r>
            <w:r>
              <w:rPr>
                <w:rFonts w:hint="eastAsia" w:ascii="宋体" w:hAnsi="宋体"/>
                <w:sz w:val="18"/>
                <w:szCs w:val="18"/>
                <w:lang w:eastAsia="zh-CN"/>
              </w:rPr>
              <w:t>，</w:t>
            </w:r>
            <w:r>
              <w:rPr>
                <w:rFonts w:hint="eastAsia" w:ascii="宋体" w:hAnsi="宋体"/>
                <w:sz w:val="18"/>
                <w:szCs w:val="18"/>
              </w:rPr>
              <w:t>值班人员应持有相应级别的消防控制室操作职业资格证书。</w:t>
            </w:r>
          </w:p>
        </w:tc>
        <w:tc>
          <w:tcPr>
            <w:tcW w:w="734" w:type="dxa"/>
            <w:noWrap w:val="0"/>
            <w:vAlign w:val="center"/>
          </w:tcPr>
          <w:p w14:paraId="5EB7C633">
            <w:pPr>
              <w:adjustRightInd w:val="0"/>
              <w:snapToGrid w:val="0"/>
              <w:jc w:val="center"/>
              <w:rPr>
                <w:rFonts w:ascii="宋体" w:hAnsi="宋体" w:cs="宋体"/>
                <w:sz w:val="18"/>
                <w:szCs w:val="18"/>
              </w:rPr>
            </w:pPr>
          </w:p>
        </w:tc>
        <w:tc>
          <w:tcPr>
            <w:tcW w:w="629" w:type="dxa"/>
            <w:noWrap w:val="0"/>
            <w:vAlign w:val="center"/>
          </w:tcPr>
          <w:p w14:paraId="6BE8E940">
            <w:pPr>
              <w:adjustRightInd w:val="0"/>
              <w:snapToGrid w:val="0"/>
              <w:ind w:right="34"/>
              <w:jc w:val="center"/>
              <w:rPr>
                <w:rFonts w:ascii="宋体" w:hAnsi="宋体"/>
                <w:sz w:val="18"/>
                <w:szCs w:val="18"/>
              </w:rPr>
            </w:pPr>
          </w:p>
        </w:tc>
        <w:tc>
          <w:tcPr>
            <w:tcW w:w="629" w:type="dxa"/>
            <w:noWrap w:val="0"/>
            <w:vAlign w:val="center"/>
          </w:tcPr>
          <w:p w14:paraId="126D20FF">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val="en-US" w:eastAsia="zh-CN"/>
              </w:rPr>
              <w:t>5</w:t>
            </w:r>
          </w:p>
        </w:tc>
        <w:tc>
          <w:tcPr>
            <w:tcW w:w="2788" w:type="dxa"/>
            <w:tcBorders>
              <w:right w:val="single" w:color="auto" w:sz="4" w:space="0"/>
            </w:tcBorders>
            <w:noWrap w:val="0"/>
            <w:vAlign w:val="center"/>
          </w:tcPr>
          <w:p w14:paraId="5B127D82">
            <w:pPr>
              <w:adjustRightInd w:val="0"/>
              <w:snapToGrid w:val="0"/>
              <w:ind w:right="34"/>
              <w:rPr>
                <w:rFonts w:hint="eastAsia" w:ascii="宋体" w:hAnsi="宋体" w:cs="宋体"/>
                <w:sz w:val="18"/>
                <w:szCs w:val="18"/>
              </w:rPr>
            </w:pPr>
            <w:r>
              <w:rPr>
                <w:rFonts w:hint="eastAsia" w:ascii="宋体" w:hAnsi="宋体"/>
                <w:sz w:val="18"/>
                <w:szCs w:val="18"/>
              </w:rPr>
              <w:t>一处不符合</w:t>
            </w:r>
            <w:r>
              <w:rPr>
                <w:rFonts w:hint="eastAsia" w:ascii="宋体" w:hAnsi="宋体"/>
                <w:sz w:val="18"/>
                <w:szCs w:val="18"/>
                <w:lang w:val="en-US" w:eastAsia="zh-CN"/>
              </w:rPr>
              <w:t>不得</w:t>
            </w:r>
            <w:r>
              <w:rPr>
                <w:rFonts w:hint="eastAsia" w:ascii="宋体" w:hAnsi="宋体"/>
                <w:sz w:val="18"/>
                <w:szCs w:val="18"/>
              </w:rPr>
              <w:t>分。</w:t>
            </w:r>
          </w:p>
        </w:tc>
        <w:tc>
          <w:tcPr>
            <w:tcW w:w="676" w:type="dxa"/>
            <w:tcBorders>
              <w:left w:val="single" w:color="auto" w:sz="4" w:space="0"/>
            </w:tcBorders>
            <w:noWrap w:val="0"/>
            <w:vAlign w:val="top"/>
          </w:tcPr>
          <w:p w14:paraId="7F9686C7">
            <w:pPr>
              <w:adjustRightInd w:val="0"/>
              <w:snapToGrid w:val="0"/>
              <w:rPr>
                <w:rFonts w:ascii="宋体" w:hAnsi="宋体" w:cs="宋体"/>
                <w:sz w:val="18"/>
                <w:szCs w:val="18"/>
              </w:rPr>
            </w:pPr>
          </w:p>
        </w:tc>
        <w:tc>
          <w:tcPr>
            <w:tcW w:w="1124" w:type="dxa"/>
            <w:noWrap w:val="0"/>
            <w:vAlign w:val="top"/>
          </w:tcPr>
          <w:p w14:paraId="1DEF94E1">
            <w:pPr>
              <w:adjustRightInd w:val="0"/>
              <w:snapToGrid w:val="0"/>
              <w:rPr>
                <w:rFonts w:ascii="宋体" w:hAnsi="宋体" w:cs="宋体"/>
                <w:sz w:val="18"/>
                <w:szCs w:val="18"/>
              </w:rPr>
            </w:pPr>
          </w:p>
        </w:tc>
        <w:tc>
          <w:tcPr>
            <w:tcW w:w="1210" w:type="dxa"/>
            <w:noWrap w:val="0"/>
            <w:vAlign w:val="center"/>
          </w:tcPr>
          <w:p w14:paraId="5F13AFBD">
            <w:pPr>
              <w:adjustRightInd w:val="0"/>
              <w:snapToGrid w:val="0"/>
              <w:ind w:right="34"/>
              <w:jc w:val="center"/>
              <w:rPr>
                <w:rFonts w:hint="eastAsia" w:ascii="宋体" w:hAnsi="宋体" w:eastAsia="宋体"/>
                <w:sz w:val="18"/>
                <w:szCs w:val="18"/>
                <w:lang w:eastAsia="zh-CN"/>
              </w:rPr>
            </w:pPr>
            <w:r>
              <w:rPr>
                <w:rFonts w:hint="eastAsia" w:ascii="宋体" w:hAnsi="宋体"/>
                <w:sz w:val="18"/>
                <w:szCs w:val="18"/>
                <w:lang w:eastAsia="zh-CN"/>
              </w:rPr>
              <w:t>4.7</w:t>
            </w:r>
            <w:r>
              <w:rPr>
                <w:rFonts w:hint="eastAsia" w:ascii="宋体" w:hAnsi="宋体"/>
                <w:sz w:val="18"/>
                <w:szCs w:val="18"/>
              </w:rPr>
              <w:t>.</w:t>
            </w:r>
            <w:r>
              <w:rPr>
                <w:rFonts w:hint="eastAsia" w:ascii="宋体" w:hAnsi="宋体"/>
                <w:sz w:val="18"/>
                <w:szCs w:val="18"/>
                <w:lang w:val="en-US" w:eastAsia="zh-CN"/>
              </w:rPr>
              <w:t>7</w:t>
            </w:r>
          </w:p>
        </w:tc>
      </w:tr>
      <w:tr w14:paraId="08443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 w:hRule="atLeast"/>
          <w:jc w:val="center"/>
        </w:trPr>
        <w:tc>
          <w:tcPr>
            <w:tcW w:w="15353" w:type="dxa"/>
            <w:gridSpan w:val="9"/>
            <w:noWrap w:val="0"/>
            <w:vAlign w:val="center"/>
          </w:tcPr>
          <w:p w14:paraId="734C2D7B">
            <w:pPr>
              <w:pStyle w:val="128"/>
              <w:rPr>
                <w:rFonts w:hint="eastAsia"/>
              </w:rPr>
            </w:pPr>
            <w:r>
              <w:rPr>
                <w:rFonts w:hint="eastAsia"/>
              </w:rPr>
              <w:t>二级否决条款用“★”予以标出。</w:t>
            </w:r>
          </w:p>
        </w:tc>
      </w:tr>
    </w:tbl>
    <w:p w14:paraId="4A595219">
      <w:pPr>
        <w:pStyle w:val="168"/>
        <w:widowControl/>
        <w:numPr>
          <w:ilvl w:val="0"/>
          <w:numId w:val="0"/>
        </w:numPr>
        <w:spacing w:before="156" w:after="156"/>
        <w:ind w:left="567" w:hanging="567"/>
      </w:pPr>
    </w:p>
    <w:p w14:paraId="7732E1F3">
      <w:pPr>
        <w:pStyle w:val="36"/>
        <w:ind w:firstLine="0" w:firstLineChars="0"/>
        <w:rPr>
          <w:rFonts w:hint="eastAsia"/>
          <w:kern w:val="2"/>
        </w:rPr>
      </w:pPr>
      <w:r>
        <w:br w:type="page"/>
      </w:r>
      <w:r>
        <w:rPr>
          <w:rFonts w:hint="eastAsia" w:ascii="黑体" w:eastAsia="黑体"/>
          <w:kern w:val="2"/>
        </w:rPr>
        <w:t>H.</w:t>
      </w:r>
      <w:r>
        <w:rPr>
          <w:rFonts w:hint="eastAsia" w:ascii="黑体" w:eastAsia="黑体"/>
          <w:kern w:val="2"/>
          <w:lang w:val="en-US" w:eastAsia="zh-CN"/>
        </w:rPr>
        <w:t>2</w:t>
      </w:r>
      <w:r>
        <w:rPr>
          <w:rFonts w:hint="eastAsia"/>
          <w:kern w:val="2"/>
        </w:rPr>
        <w:t xml:space="preserve">  表H.</w:t>
      </w:r>
      <w:r>
        <w:rPr>
          <w:rFonts w:hint="eastAsia"/>
          <w:kern w:val="2"/>
          <w:lang w:val="en-US" w:eastAsia="zh-CN"/>
        </w:rPr>
        <w:t>2</w:t>
      </w:r>
      <w:r>
        <w:rPr>
          <w:rFonts w:hint="eastAsia"/>
          <w:kern w:val="2"/>
        </w:rPr>
        <w:t>规定了</w:t>
      </w:r>
      <w:r>
        <w:rPr>
          <w:kern w:val="2"/>
        </w:rPr>
        <w:t>灭火器的</w:t>
      </w:r>
      <w:r>
        <w:rPr>
          <w:rFonts w:hint="eastAsia"/>
          <w:kern w:val="2"/>
        </w:rPr>
        <w:t>最大报废期限。</w:t>
      </w:r>
    </w:p>
    <w:p w14:paraId="663F9332">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H</w:t>
      </w:r>
      <w:r>
        <w:rPr>
          <w:rFonts w:hint="eastAsia" w:ascii="黑体" w:hAnsi="Times New Roman" w:eastAsia="黑体" w:cs="Times New Roman"/>
          <w:kern w:val="2"/>
          <w:sz w:val="21"/>
          <w:szCs w:val="21"/>
          <w:lang w:val="en-US" w:eastAsia="zh-CN" w:bidi="ar-SA"/>
        </w:rPr>
        <w:t>.2　</w:t>
      </w:r>
      <w:r>
        <w:t>灭火器的</w:t>
      </w:r>
      <w:r>
        <w:rPr>
          <w:rFonts w:hint="eastAsia"/>
        </w:rPr>
        <w:t>最大报废期限</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3"/>
        <w:gridCol w:w="6286"/>
        <w:gridCol w:w="5214"/>
      </w:tblGrid>
      <w:tr w14:paraId="77DF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9" w:type="dxa"/>
            <w:gridSpan w:val="2"/>
            <w:noWrap w:val="0"/>
            <w:vAlign w:val="top"/>
          </w:tcPr>
          <w:p w14:paraId="1A816D47">
            <w:pPr>
              <w:pStyle w:val="36"/>
              <w:ind w:firstLine="0" w:firstLineChars="0"/>
              <w:jc w:val="center"/>
              <w:rPr>
                <w:rFonts w:hint="default" w:eastAsia="宋体"/>
                <w:szCs w:val="18"/>
                <w:vertAlign w:val="baseline"/>
                <w:lang w:val="en-US" w:eastAsia="zh-CN"/>
              </w:rPr>
            </w:pPr>
            <w:r>
              <w:rPr>
                <w:rFonts w:hint="eastAsia"/>
                <w:szCs w:val="18"/>
                <w:vertAlign w:val="baseline"/>
                <w:lang w:val="en-US" w:eastAsia="zh-CN"/>
              </w:rPr>
              <w:t>灭火器类型</w:t>
            </w:r>
          </w:p>
        </w:tc>
        <w:tc>
          <w:tcPr>
            <w:tcW w:w="5214" w:type="dxa"/>
            <w:noWrap w:val="0"/>
            <w:vAlign w:val="top"/>
          </w:tcPr>
          <w:p w14:paraId="61FAC3D5">
            <w:pPr>
              <w:pStyle w:val="36"/>
              <w:ind w:firstLine="0" w:firstLineChars="0"/>
              <w:jc w:val="center"/>
              <w:rPr>
                <w:rFonts w:hint="eastAsia" w:eastAsia="宋体"/>
                <w:szCs w:val="18"/>
                <w:vertAlign w:val="baseline"/>
                <w:lang w:val="en-US" w:eastAsia="zh-CN"/>
              </w:rPr>
            </w:pPr>
            <w:r>
              <w:rPr>
                <w:rFonts w:hint="eastAsia"/>
                <w:szCs w:val="18"/>
                <w:vertAlign w:val="baseline"/>
                <w:lang w:val="en-US" w:eastAsia="zh-CN"/>
              </w:rPr>
              <w:t>报废期限（年）</w:t>
            </w:r>
          </w:p>
        </w:tc>
      </w:tr>
      <w:tr w14:paraId="3903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vMerge w:val="restart"/>
            <w:noWrap w:val="0"/>
            <w:vAlign w:val="center"/>
          </w:tcPr>
          <w:p w14:paraId="6C9447A3">
            <w:pPr>
              <w:pStyle w:val="36"/>
              <w:ind w:firstLine="0" w:firstLineChars="0"/>
              <w:jc w:val="center"/>
              <w:rPr>
                <w:rFonts w:hint="default" w:eastAsia="宋体"/>
                <w:szCs w:val="18"/>
                <w:vertAlign w:val="baseline"/>
                <w:lang w:val="en-US" w:eastAsia="zh-CN"/>
              </w:rPr>
            </w:pPr>
            <w:r>
              <w:rPr>
                <w:rFonts w:hint="eastAsia"/>
                <w:szCs w:val="18"/>
                <w:vertAlign w:val="baseline"/>
                <w:lang w:val="en-US" w:eastAsia="zh-CN"/>
              </w:rPr>
              <w:t>手提式、推车式</w:t>
            </w:r>
          </w:p>
        </w:tc>
        <w:tc>
          <w:tcPr>
            <w:tcW w:w="6286" w:type="dxa"/>
            <w:noWrap w:val="0"/>
            <w:vAlign w:val="top"/>
          </w:tcPr>
          <w:p w14:paraId="27F4F631">
            <w:pPr>
              <w:pStyle w:val="36"/>
              <w:ind w:firstLine="0" w:firstLineChars="0"/>
              <w:jc w:val="center"/>
              <w:rPr>
                <w:rFonts w:hint="eastAsia"/>
                <w:szCs w:val="18"/>
                <w:vertAlign w:val="baseline"/>
              </w:rPr>
            </w:pPr>
            <w:r>
              <w:rPr>
                <w:rFonts w:ascii="宋体" w:hAnsi="宋体"/>
                <w:sz w:val="18"/>
                <w:szCs w:val="18"/>
              </w:rPr>
              <w:t>水基型灭火器</w:t>
            </w:r>
          </w:p>
        </w:tc>
        <w:tc>
          <w:tcPr>
            <w:tcW w:w="5214" w:type="dxa"/>
            <w:noWrap w:val="0"/>
            <w:vAlign w:val="top"/>
          </w:tcPr>
          <w:p w14:paraId="2DBF2A82">
            <w:pPr>
              <w:pStyle w:val="36"/>
              <w:ind w:firstLine="0" w:firstLineChars="0"/>
              <w:jc w:val="center"/>
              <w:rPr>
                <w:rFonts w:hint="eastAsia" w:eastAsia="宋体"/>
                <w:szCs w:val="18"/>
                <w:vertAlign w:val="baseline"/>
                <w:lang w:val="en-US" w:eastAsia="zh-CN"/>
              </w:rPr>
            </w:pPr>
            <w:r>
              <w:rPr>
                <w:rFonts w:hint="eastAsia"/>
                <w:szCs w:val="18"/>
                <w:vertAlign w:val="baseline"/>
                <w:lang w:val="en-US" w:eastAsia="zh-CN"/>
              </w:rPr>
              <w:t>6</w:t>
            </w:r>
          </w:p>
        </w:tc>
      </w:tr>
      <w:tr w14:paraId="648B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vMerge w:val="continue"/>
            <w:noWrap w:val="0"/>
            <w:vAlign w:val="top"/>
          </w:tcPr>
          <w:p w14:paraId="7D2E6A19">
            <w:pPr>
              <w:pStyle w:val="36"/>
              <w:jc w:val="center"/>
              <w:rPr>
                <w:rFonts w:hint="eastAsia"/>
                <w:szCs w:val="18"/>
                <w:vertAlign w:val="baseline"/>
              </w:rPr>
            </w:pPr>
          </w:p>
        </w:tc>
        <w:tc>
          <w:tcPr>
            <w:tcW w:w="6286" w:type="dxa"/>
            <w:noWrap w:val="0"/>
            <w:vAlign w:val="top"/>
          </w:tcPr>
          <w:p w14:paraId="5E264F16">
            <w:pPr>
              <w:pStyle w:val="36"/>
              <w:ind w:firstLine="0" w:firstLineChars="0"/>
              <w:jc w:val="center"/>
              <w:rPr>
                <w:rFonts w:hint="eastAsia"/>
                <w:szCs w:val="18"/>
                <w:vertAlign w:val="baseline"/>
              </w:rPr>
            </w:pPr>
            <w:r>
              <w:rPr>
                <w:rFonts w:ascii="宋体" w:hAnsi="宋体"/>
                <w:sz w:val="18"/>
                <w:szCs w:val="18"/>
              </w:rPr>
              <w:t>干粉灭火器</w:t>
            </w:r>
          </w:p>
        </w:tc>
        <w:tc>
          <w:tcPr>
            <w:tcW w:w="5214" w:type="dxa"/>
            <w:noWrap w:val="0"/>
            <w:vAlign w:val="center"/>
          </w:tcPr>
          <w:p w14:paraId="336475E4">
            <w:pPr>
              <w:pStyle w:val="36"/>
              <w:ind w:firstLine="0" w:firstLineChars="0"/>
              <w:jc w:val="center"/>
              <w:rPr>
                <w:rFonts w:hint="default" w:eastAsia="宋体"/>
                <w:szCs w:val="18"/>
                <w:vertAlign w:val="baseline"/>
                <w:lang w:val="en-US" w:eastAsia="zh-CN"/>
              </w:rPr>
            </w:pPr>
            <w:r>
              <w:rPr>
                <w:rFonts w:hint="eastAsia"/>
                <w:szCs w:val="18"/>
                <w:vertAlign w:val="baseline"/>
                <w:lang w:val="en-US" w:eastAsia="zh-CN"/>
              </w:rPr>
              <w:t>10</w:t>
            </w:r>
          </w:p>
        </w:tc>
      </w:tr>
      <w:tr w14:paraId="1217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vMerge w:val="continue"/>
            <w:noWrap w:val="0"/>
            <w:vAlign w:val="top"/>
          </w:tcPr>
          <w:p w14:paraId="62876520">
            <w:pPr>
              <w:pStyle w:val="36"/>
              <w:jc w:val="center"/>
              <w:rPr>
                <w:rFonts w:hint="eastAsia"/>
                <w:szCs w:val="18"/>
                <w:vertAlign w:val="baseline"/>
              </w:rPr>
            </w:pPr>
          </w:p>
        </w:tc>
        <w:tc>
          <w:tcPr>
            <w:tcW w:w="6286" w:type="dxa"/>
            <w:noWrap w:val="0"/>
            <w:vAlign w:val="top"/>
          </w:tcPr>
          <w:p w14:paraId="227957AF">
            <w:pPr>
              <w:pStyle w:val="36"/>
              <w:ind w:firstLine="0" w:firstLineChars="0"/>
              <w:jc w:val="center"/>
              <w:rPr>
                <w:rFonts w:hint="eastAsia"/>
                <w:szCs w:val="18"/>
                <w:vertAlign w:val="baseline"/>
              </w:rPr>
            </w:pPr>
            <w:r>
              <w:rPr>
                <w:rFonts w:ascii="宋体" w:hAnsi="宋体"/>
                <w:sz w:val="18"/>
                <w:szCs w:val="18"/>
              </w:rPr>
              <w:t>二氧化碳灭火器</w:t>
            </w:r>
          </w:p>
        </w:tc>
        <w:tc>
          <w:tcPr>
            <w:tcW w:w="5214" w:type="dxa"/>
            <w:noWrap w:val="0"/>
            <w:vAlign w:val="top"/>
          </w:tcPr>
          <w:p w14:paraId="45DB1B4B">
            <w:pPr>
              <w:pStyle w:val="36"/>
              <w:ind w:firstLine="0" w:firstLineChars="0"/>
              <w:jc w:val="center"/>
              <w:rPr>
                <w:rFonts w:hint="default" w:eastAsia="宋体"/>
                <w:szCs w:val="18"/>
                <w:vertAlign w:val="baseline"/>
                <w:lang w:val="en-US" w:eastAsia="zh-CN"/>
              </w:rPr>
            </w:pPr>
            <w:r>
              <w:rPr>
                <w:rFonts w:hint="eastAsia"/>
                <w:szCs w:val="18"/>
                <w:vertAlign w:val="baseline"/>
                <w:lang w:val="en-US" w:eastAsia="zh-CN"/>
              </w:rPr>
              <w:t>12</w:t>
            </w:r>
          </w:p>
        </w:tc>
      </w:tr>
    </w:tbl>
    <w:p w14:paraId="5396DFB3">
      <w:pPr>
        <w:pStyle w:val="36"/>
        <w:ind w:firstLine="0" w:firstLineChars="0"/>
        <w:rPr>
          <w:rFonts w:hint="eastAsia"/>
          <w:kern w:val="2"/>
        </w:rPr>
      </w:pPr>
    </w:p>
    <w:p w14:paraId="5929DD55">
      <w:pPr>
        <w:pStyle w:val="36"/>
        <w:ind w:firstLine="0" w:firstLineChars="0"/>
        <w:rPr>
          <w:rFonts w:hint="eastAsia"/>
        </w:rPr>
      </w:pPr>
    </w:p>
    <w:p w14:paraId="2B38258B">
      <w:pPr>
        <w:pStyle w:val="174"/>
        <w:rPr>
          <w:rFonts w:hint="eastAsia"/>
        </w:rPr>
      </w:pPr>
      <w:bookmarkStart w:id="596" w:name="_Toc2971"/>
      <w:bookmarkEnd w:id="596"/>
      <w:bookmarkStart w:id="597" w:name="_Toc6118"/>
      <w:bookmarkEnd w:id="597"/>
    </w:p>
    <w:p w14:paraId="76BAAE67">
      <w:pPr>
        <w:pStyle w:val="167"/>
        <w:numPr>
          <w:numId w:val="0"/>
        </w:numPr>
        <w:tabs>
          <w:tab w:val="clear" w:pos="0"/>
        </w:tabs>
        <w:ind w:left="0" w:leftChars="0" w:hanging="425" w:firstLineChars="0"/>
        <w:rPr>
          <w:rFonts w:hint="eastAsia"/>
        </w:rPr>
      </w:pPr>
      <w:bookmarkStart w:id="598" w:name="_Toc10034"/>
      <w:bookmarkStart w:id="599" w:name="_Toc8833"/>
      <w:r>
        <w:rPr>
          <w:rFonts w:hint="eastAsia" w:ascii="Times New Roman" w:hAnsi="Times New Roman" w:eastAsia="宋体" w:cs="Times New Roman"/>
          <w:color w:val="FFFFFF"/>
          <w:kern w:val="2"/>
          <w:sz w:val="21"/>
          <w:szCs w:val="24"/>
          <w:lang w:val="en-US" w:eastAsia="zh-CN" w:bidi="ar-SA"/>
        </w:rPr>
        <w:t>H</w:t>
      </w:r>
      <w:bookmarkEnd w:id="598"/>
      <w:bookmarkEnd w:id="599"/>
    </w:p>
    <w:p w14:paraId="33E182A5">
      <w:pPr>
        <w:pStyle w:val="160"/>
        <w:rPr>
          <w:rFonts w:hint="eastAsia"/>
        </w:rPr>
      </w:pPr>
      <w:bookmarkStart w:id="600" w:name="_Toc3883"/>
      <w:bookmarkStart w:id="601" w:name="_Toc25256"/>
      <w:r>
        <w:br w:type="textWrapping"/>
      </w:r>
      <w:bookmarkStart w:id="602" w:name="_Toc482198501"/>
      <w:bookmarkStart w:id="603" w:name="_Toc482174156"/>
      <w:bookmarkStart w:id="604" w:name="_Toc486261045"/>
      <w:bookmarkStart w:id="605" w:name="_Toc498325689"/>
      <w:bookmarkStart w:id="606" w:name="_Toc484984817"/>
      <w:bookmarkStart w:id="607" w:name="_Toc482189189"/>
      <w:bookmarkStart w:id="608" w:name="_Toc482175062"/>
      <w:bookmarkStart w:id="609" w:name="_Toc504594730"/>
      <w:bookmarkStart w:id="610" w:name="_Toc484958284"/>
      <w:bookmarkStart w:id="611" w:name="_Toc498286362"/>
      <w:bookmarkStart w:id="612" w:name="_Toc484965508"/>
      <w:bookmarkStart w:id="613" w:name="_Toc482172344"/>
      <w:bookmarkStart w:id="614" w:name="_Toc482172285"/>
      <w:bookmarkStart w:id="615" w:name="_Toc504931855"/>
      <w:bookmarkStart w:id="616" w:name="_Toc498348149"/>
      <w:bookmarkStart w:id="617" w:name="_Toc482174640"/>
      <w:bookmarkStart w:id="618" w:name="_Toc484965778"/>
      <w:bookmarkStart w:id="619" w:name="_Toc498337284"/>
      <w:r>
        <w:rPr>
          <w:rFonts w:hint="eastAsia"/>
        </w:rPr>
        <w:t>（规范性附录）</w:t>
      </w:r>
      <w:r>
        <w:br w:type="textWrapping"/>
      </w:r>
      <w:r>
        <w:rPr>
          <w:rFonts w:hint="eastAsia"/>
        </w:rPr>
        <w:t>危险化学品要素的安全生产等级评定细则</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68C6C648">
      <w:pPr>
        <w:pStyle w:val="36"/>
        <w:rPr>
          <w:rFonts w:hint="eastAsia"/>
        </w:rPr>
      </w:pPr>
      <w:r>
        <w:rPr>
          <w:rFonts w:hint="eastAsia" w:hAnsi="宋体"/>
        </w:rPr>
        <w:t>表I.1给出了危险化学品要素的安全生产等级评定细则，总分</w:t>
      </w:r>
      <w:r>
        <w:rPr>
          <w:rFonts w:hint="eastAsia" w:hAnsi="宋体"/>
          <w:lang w:val="en-US" w:eastAsia="zh-CN"/>
        </w:rPr>
        <w:t>3</w:t>
      </w:r>
      <w:r>
        <w:rPr>
          <w:rFonts w:hint="eastAsia" w:hAnsi="宋体"/>
        </w:rPr>
        <w:t>0分。</w:t>
      </w:r>
    </w:p>
    <w:p w14:paraId="5882B3E6">
      <w:pPr>
        <w:pStyle w:val="168"/>
        <w:numPr>
          <w:numId w:val="0"/>
        </w:numPr>
        <w:spacing w:before="156" w:after="156"/>
        <w:ind w:left="6237" w:leftChars="0" w:hanging="567" w:firstLineChars="0"/>
        <w:jc w:val="both"/>
        <w:rPr>
          <w:rFonts w:hint="eastAsia"/>
        </w:rPr>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I</w:t>
      </w:r>
      <w:r>
        <w:rPr>
          <w:rFonts w:hint="eastAsia" w:ascii="黑体" w:hAnsi="Times New Roman" w:eastAsia="黑体" w:cs="Times New Roman"/>
          <w:kern w:val="2"/>
          <w:sz w:val="21"/>
          <w:szCs w:val="21"/>
          <w:lang w:val="en-US" w:eastAsia="zh-CN" w:bidi="ar-SA"/>
        </w:rPr>
        <w:t>.1　</w:t>
      </w:r>
      <w:r>
        <w:rPr>
          <w:rFonts w:hint="eastAsia"/>
        </w:rPr>
        <w:t>危险化学品要素的安全生产等级评定细则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2"/>
        <w:gridCol w:w="6096"/>
        <w:gridCol w:w="713"/>
        <w:gridCol w:w="713"/>
        <w:gridCol w:w="712"/>
        <w:gridCol w:w="2564"/>
        <w:gridCol w:w="605"/>
        <w:gridCol w:w="2100"/>
        <w:gridCol w:w="998"/>
      </w:tblGrid>
      <w:tr w14:paraId="6FCFA5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191F0C72">
            <w:pPr>
              <w:adjustRightInd w:val="0"/>
              <w:snapToGrid w:val="0"/>
              <w:jc w:val="center"/>
              <w:rPr>
                <w:rFonts w:ascii="宋体" w:hAnsi="宋体"/>
                <w:bCs/>
                <w:sz w:val="18"/>
                <w:szCs w:val="18"/>
              </w:rPr>
            </w:pPr>
            <w:r>
              <w:rPr>
                <w:rFonts w:ascii="宋体" w:hAnsi="宋体"/>
                <w:bCs/>
                <w:sz w:val="18"/>
                <w:szCs w:val="18"/>
              </w:rPr>
              <w:t>序号</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1F16DF66">
            <w:pPr>
              <w:adjustRightInd w:val="0"/>
              <w:snapToGrid w:val="0"/>
              <w:jc w:val="center"/>
              <w:rPr>
                <w:rFonts w:ascii="宋体" w:hAnsi="宋体"/>
                <w:sz w:val="18"/>
                <w:szCs w:val="18"/>
              </w:rPr>
            </w:pPr>
            <w:r>
              <w:rPr>
                <w:rFonts w:ascii="宋体" w:hAnsi="宋体"/>
                <w:sz w:val="18"/>
                <w:szCs w:val="18"/>
              </w:rPr>
              <w:t>评定内容</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07C8FD2B">
            <w:pPr>
              <w:adjustRightInd w:val="0"/>
              <w:snapToGrid w:val="0"/>
              <w:jc w:val="center"/>
              <w:rPr>
                <w:rFonts w:ascii="宋体" w:hAnsi="宋体"/>
                <w:kern w:val="0"/>
                <w:sz w:val="18"/>
                <w:szCs w:val="18"/>
              </w:rPr>
            </w:pPr>
            <w:r>
              <w:rPr>
                <w:rFonts w:ascii="宋体" w:hAnsi="宋体"/>
                <w:kern w:val="0"/>
                <w:sz w:val="18"/>
                <w:szCs w:val="18"/>
              </w:rPr>
              <w:t>评定要素分值</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5025039D">
            <w:pPr>
              <w:adjustRightInd w:val="0"/>
              <w:snapToGrid w:val="0"/>
              <w:jc w:val="center"/>
              <w:rPr>
                <w:rFonts w:ascii="宋体" w:hAnsi="宋体"/>
                <w:kern w:val="0"/>
                <w:sz w:val="18"/>
                <w:szCs w:val="18"/>
              </w:rPr>
            </w:pPr>
            <w:r>
              <w:rPr>
                <w:rFonts w:ascii="宋体" w:hAnsi="宋体"/>
                <w:kern w:val="0"/>
                <w:sz w:val="18"/>
                <w:szCs w:val="18"/>
              </w:rPr>
              <w:t>评定细项分值</w:t>
            </w:r>
          </w:p>
        </w:tc>
        <w:tc>
          <w:tcPr>
            <w:tcW w:w="712" w:type="dxa"/>
            <w:tcBorders>
              <w:top w:val="single" w:color="auto" w:sz="8" w:space="0"/>
              <w:left w:val="single" w:color="auto" w:sz="4" w:space="0"/>
              <w:bottom w:val="single" w:color="auto" w:sz="4" w:space="0"/>
              <w:right w:val="single" w:color="auto" w:sz="4" w:space="0"/>
            </w:tcBorders>
            <w:noWrap w:val="0"/>
            <w:vAlign w:val="center"/>
          </w:tcPr>
          <w:p w14:paraId="443C7B69">
            <w:pPr>
              <w:adjustRightInd w:val="0"/>
              <w:snapToGrid w:val="0"/>
              <w:jc w:val="center"/>
              <w:rPr>
                <w:rFonts w:ascii="宋体" w:hAnsi="宋体"/>
                <w:kern w:val="0"/>
                <w:sz w:val="18"/>
                <w:szCs w:val="18"/>
              </w:rPr>
            </w:pPr>
            <w:r>
              <w:rPr>
                <w:rFonts w:ascii="宋体" w:hAnsi="宋体"/>
                <w:kern w:val="0"/>
                <w:sz w:val="18"/>
                <w:szCs w:val="18"/>
              </w:rPr>
              <w:t>评定条款分值</w:t>
            </w:r>
          </w:p>
        </w:tc>
        <w:tc>
          <w:tcPr>
            <w:tcW w:w="2564" w:type="dxa"/>
            <w:tcBorders>
              <w:top w:val="single" w:color="auto" w:sz="8" w:space="0"/>
              <w:left w:val="single" w:color="auto" w:sz="4" w:space="0"/>
              <w:bottom w:val="single" w:color="auto" w:sz="4" w:space="0"/>
              <w:right w:val="single" w:color="auto" w:sz="4" w:space="0"/>
            </w:tcBorders>
            <w:noWrap w:val="0"/>
            <w:vAlign w:val="center"/>
          </w:tcPr>
          <w:p w14:paraId="07885A0F">
            <w:pPr>
              <w:adjustRightInd w:val="0"/>
              <w:snapToGrid w:val="0"/>
              <w:jc w:val="center"/>
              <w:rPr>
                <w:rFonts w:ascii="宋体" w:hAnsi="宋体"/>
                <w:sz w:val="18"/>
                <w:szCs w:val="18"/>
              </w:rPr>
            </w:pPr>
            <w:r>
              <w:rPr>
                <w:rFonts w:ascii="宋体" w:hAnsi="宋体"/>
                <w:sz w:val="18"/>
                <w:szCs w:val="18"/>
              </w:rPr>
              <w:t>评分标准</w:t>
            </w:r>
          </w:p>
        </w:tc>
        <w:tc>
          <w:tcPr>
            <w:tcW w:w="605" w:type="dxa"/>
            <w:tcBorders>
              <w:top w:val="single" w:color="auto" w:sz="8" w:space="0"/>
              <w:left w:val="single" w:color="auto" w:sz="4" w:space="0"/>
              <w:bottom w:val="single" w:color="auto" w:sz="4" w:space="0"/>
              <w:right w:val="single" w:color="auto" w:sz="4" w:space="0"/>
            </w:tcBorders>
            <w:noWrap w:val="0"/>
            <w:vAlign w:val="center"/>
          </w:tcPr>
          <w:p w14:paraId="182A72B7">
            <w:pPr>
              <w:adjustRightInd w:val="0"/>
              <w:snapToGrid w:val="0"/>
              <w:jc w:val="center"/>
              <w:rPr>
                <w:rFonts w:ascii="宋体" w:hAnsi="宋体"/>
                <w:bCs/>
                <w:sz w:val="18"/>
                <w:szCs w:val="18"/>
              </w:rPr>
            </w:pPr>
            <w:r>
              <w:rPr>
                <w:rFonts w:ascii="宋体" w:hAnsi="宋体"/>
                <w:bCs/>
                <w:sz w:val="18"/>
                <w:szCs w:val="18"/>
              </w:rPr>
              <w:t>评定得分</w:t>
            </w:r>
          </w:p>
        </w:tc>
        <w:tc>
          <w:tcPr>
            <w:tcW w:w="2100" w:type="dxa"/>
            <w:tcBorders>
              <w:top w:val="single" w:color="auto" w:sz="8" w:space="0"/>
              <w:left w:val="single" w:color="auto" w:sz="4" w:space="0"/>
              <w:bottom w:val="single" w:color="auto" w:sz="4" w:space="0"/>
              <w:right w:val="single" w:color="auto" w:sz="4" w:space="0"/>
            </w:tcBorders>
            <w:noWrap w:val="0"/>
            <w:vAlign w:val="center"/>
          </w:tcPr>
          <w:p w14:paraId="05488283">
            <w:pPr>
              <w:adjustRightInd w:val="0"/>
              <w:snapToGrid w:val="0"/>
              <w:jc w:val="center"/>
              <w:rPr>
                <w:rFonts w:ascii="宋体" w:hAnsi="宋体"/>
                <w:bCs/>
                <w:sz w:val="18"/>
                <w:szCs w:val="18"/>
              </w:rPr>
            </w:pPr>
            <w:r>
              <w:rPr>
                <w:rFonts w:ascii="宋体" w:hAnsi="宋体"/>
                <w:bCs/>
                <w:sz w:val="18"/>
                <w:szCs w:val="18"/>
              </w:rPr>
              <w:t>扣分说明</w:t>
            </w:r>
          </w:p>
        </w:tc>
        <w:tc>
          <w:tcPr>
            <w:tcW w:w="998" w:type="dxa"/>
            <w:tcBorders>
              <w:top w:val="single" w:color="auto" w:sz="8" w:space="0"/>
              <w:left w:val="single" w:color="auto" w:sz="4" w:space="0"/>
              <w:bottom w:val="single" w:color="auto" w:sz="4" w:space="0"/>
              <w:right w:val="single" w:color="auto" w:sz="8" w:space="0"/>
            </w:tcBorders>
            <w:noWrap w:val="0"/>
            <w:vAlign w:val="center"/>
          </w:tcPr>
          <w:p w14:paraId="2A5041A8">
            <w:pPr>
              <w:adjustRightInd w:val="0"/>
              <w:snapToGrid w:val="0"/>
              <w:jc w:val="center"/>
              <w:rPr>
                <w:rFonts w:ascii="宋体" w:hAnsi="宋体" w:cs="Sim Sun"/>
                <w:sz w:val="18"/>
                <w:szCs w:val="18"/>
              </w:rPr>
            </w:pPr>
            <w:r>
              <w:rPr>
                <w:rFonts w:ascii="宋体" w:hAnsi="宋体" w:cs="Sim Sun"/>
                <w:sz w:val="18"/>
                <w:szCs w:val="18"/>
              </w:rPr>
              <w:t>对应条款编号</w:t>
            </w:r>
          </w:p>
        </w:tc>
      </w:tr>
      <w:tr w14:paraId="004342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207C370F">
            <w:pPr>
              <w:adjustRightInd w:val="0"/>
              <w:snapToGrid w:val="0"/>
              <w:jc w:val="center"/>
              <w:rPr>
                <w:rFonts w:hint="eastAsia" w:ascii="宋体" w:hAnsi="宋体"/>
                <w:bCs/>
                <w:sz w:val="18"/>
                <w:szCs w:val="18"/>
              </w:rPr>
            </w:pPr>
            <w:r>
              <w:rPr>
                <w:rFonts w:hint="eastAsia" w:ascii="宋体" w:hAnsi="宋体"/>
                <w:bCs/>
                <w:sz w:val="18"/>
                <w:szCs w:val="18"/>
              </w:rPr>
              <w:t>8</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4EDA2098">
            <w:pPr>
              <w:adjustRightInd w:val="0"/>
              <w:snapToGrid w:val="0"/>
              <w:rPr>
                <w:rFonts w:ascii="宋体" w:hAnsi="宋体"/>
                <w:sz w:val="18"/>
                <w:szCs w:val="18"/>
              </w:rPr>
            </w:pPr>
            <w:r>
              <w:rPr>
                <w:rFonts w:hint="eastAsia" w:ascii="宋体" w:hAnsi="宋体"/>
                <w:sz w:val="18"/>
                <w:szCs w:val="18"/>
              </w:rPr>
              <w:t>危险化学品</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0D651C29">
            <w:pPr>
              <w:adjustRightInd w:val="0"/>
              <w:snapToGrid w:val="0"/>
              <w:jc w:val="center"/>
              <w:rPr>
                <w:rFonts w:hint="default" w:ascii="宋体" w:hAnsi="宋体"/>
                <w:kern w:val="0"/>
                <w:sz w:val="18"/>
                <w:szCs w:val="18"/>
                <w:lang w:val="en-US"/>
              </w:rPr>
            </w:pPr>
            <w:r>
              <w:rPr>
                <w:rFonts w:hint="eastAsia" w:ascii="宋体" w:hAnsi="宋体"/>
                <w:kern w:val="0"/>
                <w:sz w:val="18"/>
                <w:szCs w:val="18"/>
                <w:lang w:val="en-US" w:eastAsia="zh-CN"/>
              </w:rPr>
              <w:t>30</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44357BA8">
            <w:pPr>
              <w:adjustRightInd w:val="0"/>
              <w:snapToGrid w:val="0"/>
              <w:jc w:val="center"/>
              <w:rPr>
                <w:rFonts w:ascii="宋体" w:hAnsi="宋体"/>
                <w:kern w:val="0"/>
                <w:sz w:val="18"/>
                <w:szCs w:val="18"/>
              </w:rPr>
            </w:pPr>
          </w:p>
        </w:tc>
        <w:tc>
          <w:tcPr>
            <w:tcW w:w="712" w:type="dxa"/>
            <w:tcBorders>
              <w:top w:val="single" w:color="auto" w:sz="8" w:space="0"/>
              <w:left w:val="single" w:color="auto" w:sz="4" w:space="0"/>
              <w:bottom w:val="single" w:color="auto" w:sz="4" w:space="0"/>
              <w:right w:val="single" w:color="auto" w:sz="4" w:space="0"/>
            </w:tcBorders>
            <w:noWrap w:val="0"/>
            <w:vAlign w:val="center"/>
          </w:tcPr>
          <w:p w14:paraId="44D8B7DD">
            <w:pPr>
              <w:adjustRightInd w:val="0"/>
              <w:snapToGrid w:val="0"/>
              <w:jc w:val="center"/>
              <w:rPr>
                <w:rFonts w:ascii="宋体" w:hAnsi="宋体"/>
                <w:kern w:val="0"/>
                <w:sz w:val="18"/>
                <w:szCs w:val="18"/>
              </w:rPr>
            </w:pPr>
          </w:p>
        </w:tc>
        <w:tc>
          <w:tcPr>
            <w:tcW w:w="2564" w:type="dxa"/>
            <w:tcBorders>
              <w:top w:val="single" w:color="auto" w:sz="8" w:space="0"/>
              <w:left w:val="single" w:color="auto" w:sz="4" w:space="0"/>
              <w:bottom w:val="single" w:color="auto" w:sz="4" w:space="0"/>
              <w:right w:val="single" w:color="auto" w:sz="4" w:space="0"/>
            </w:tcBorders>
            <w:noWrap w:val="0"/>
            <w:vAlign w:val="center"/>
          </w:tcPr>
          <w:p w14:paraId="1EB1ECCB">
            <w:pPr>
              <w:adjustRightInd w:val="0"/>
              <w:snapToGrid w:val="0"/>
              <w:jc w:val="center"/>
              <w:rPr>
                <w:rFonts w:ascii="宋体" w:hAnsi="宋体"/>
                <w:sz w:val="18"/>
                <w:szCs w:val="18"/>
              </w:rPr>
            </w:pPr>
          </w:p>
        </w:tc>
        <w:tc>
          <w:tcPr>
            <w:tcW w:w="605" w:type="dxa"/>
            <w:tcBorders>
              <w:top w:val="single" w:color="auto" w:sz="8" w:space="0"/>
              <w:left w:val="single" w:color="auto" w:sz="4" w:space="0"/>
              <w:bottom w:val="single" w:color="auto" w:sz="4" w:space="0"/>
              <w:right w:val="single" w:color="auto" w:sz="4" w:space="0"/>
            </w:tcBorders>
            <w:noWrap w:val="0"/>
            <w:vAlign w:val="center"/>
          </w:tcPr>
          <w:p w14:paraId="4FF7FC29">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17DE17A1">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2EFA4660">
            <w:pPr>
              <w:adjustRightInd w:val="0"/>
              <w:snapToGrid w:val="0"/>
              <w:jc w:val="center"/>
              <w:rPr>
                <w:rFonts w:hint="eastAsia" w:ascii="宋体" w:hAnsi="宋体" w:eastAsia="宋体" w:cs="Sim Sun"/>
                <w:sz w:val="18"/>
                <w:szCs w:val="18"/>
                <w:lang w:eastAsia="zh-CN"/>
              </w:rPr>
            </w:pPr>
            <w:r>
              <w:rPr>
                <w:rFonts w:hint="eastAsia" w:ascii="宋体" w:hAnsi="宋体" w:cs="Sim Sun"/>
                <w:sz w:val="18"/>
                <w:szCs w:val="18"/>
                <w:lang w:eastAsia="zh-CN"/>
              </w:rPr>
              <w:t>4.8</w:t>
            </w:r>
          </w:p>
        </w:tc>
      </w:tr>
      <w:tr w14:paraId="50F61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35F7100A">
            <w:pPr>
              <w:adjustRightInd w:val="0"/>
              <w:snapToGrid w:val="0"/>
              <w:jc w:val="center"/>
              <w:rPr>
                <w:rFonts w:hint="eastAsia" w:ascii="宋体" w:hAnsi="宋体"/>
                <w:bCs/>
                <w:sz w:val="18"/>
                <w:szCs w:val="18"/>
              </w:rPr>
            </w:pPr>
            <w:r>
              <w:rPr>
                <w:rFonts w:hint="eastAsia" w:ascii="宋体" w:hAnsi="宋体"/>
                <w:bCs/>
                <w:sz w:val="18"/>
                <w:szCs w:val="18"/>
              </w:rPr>
              <w:t>8.1</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404E27CB">
            <w:pPr>
              <w:adjustRightInd w:val="0"/>
              <w:snapToGrid w:val="0"/>
              <w:rPr>
                <w:rFonts w:ascii="宋体" w:hAnsi="宋体"/>
                <w:sz w:val="18"/>
                <w:szCs w:val="18"/>
              </w:rPr>
            </w:pPr>
            <w:r>
              <w:rPr>
                <w:rFonts w:hint="eastAsia" w:ascii="宋体" w:hAnsi="宋体"/>
                <w:sz w:val="18"/>
                <w:szCs w:val="18"/>
              </w:rPr>
              <w:t>一般要求</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080B4F08">
            <w:pPr>
              <w:adjustRightInd w:val="0"/>
              <w:snapToGrid w:val="0"/>
              <w:jc w:val="center"/>
              <w:rPr>
                <w:rFonts w:ascii="宋体" w:hAnsi="宋体"/>
                <w:kern w:val="0"/>
                <w:sz w:val="18"/>
                <w:szCs w:val="18"/>
              </w:rPr>
            </w:pPr>
          </w:p>
        </w:tc>
        <w:tc>
          <w:tcPr>
            <w:tcW w:w="713" w:type="dxa"/>
            <w:tcBorders>
              <w:top w:val="single" w:color="auto" w:sz="8" w:space="0"/>
              <w:left w:val="single" w:color="auto" w:sz="4" w:space="0"/>
              <w:bottom w:val="single" w:color="auto" w:sz="4" w:space="0"/>
              <w:right w:val="single" w:color="auto" w:sz="4" w:space="0"/>
            </w:tcBorders>
            <w:noWrap w:val="0"/>
            <w:vAlign w:val="center"/>
          </w:tcPr>
          <w:p w14:paraId="7497B630">
            <w:pPr>
              <w:adjustRightInd w:val="0"/>
              <w:snapToGrid w:val="0"/>
              <w:jc w:val="center"/>
              <w:rPr>
                <w:rFonts w:hint="default" w:ascii="宋体" w:hAnsi="宋体" w:eastAsia="宋体"/>
                <w:kern w:val="0"/>
                <w:sz w:val="18"/>
                <w:szCs w:val="18"/>
                <w:lang w:val="en-US" w:eastAsia="zh-CN"/>
              </w:rPr>
            </w:pPr>
            <w:r>
              <w:rPr>
                <w:rFonts w:hint="eastAsia" w:ascii="宋体" w:hAnsi="宋体"/>
                <w:kern w:val="0"/>
                <w:sz w:val="18"/>
                <w:szCs w:val="18"/>
                <w:lang w:val="en-US" w:eastAsia="zh-CN"/>
              </w:rPr>
              <w:t>26</w:t>
            </w:r>
          </w:p>
        </w:tc>
        <w:tc>
          <w:tcPr>
            <w:tcW w:w="712" w:type="dxa"/>
            <w:tcBorders>
              <w:top w:val="single" w:color="auto" w:sz="8" w:space="0"/>
              <w:left w:val="single" w:color="auto" w:sz="4" w:space="0"/>
              <w:bottom w:val="single" w:color="auto" w:sz="4" w:space="0"/>
              <w:right w:val="single" w:color="auto" w:sz="4" w:space="0"/>
            </w:tcBorders>
            <w:noWrap w:val="0"/>
            <w:vAlign w:val="center"/>
          </w:tcPr>
          <w:p w14:paraId="7B435105">
            <w:pPr>
              <w:adjustRightInd w:val="0"/>
              <w:snapToGrid w:val="0"/>
              <w:jc w:val="center"/>
              <w:rPr>
                <w:rFonts w:ascii="宋体" w:hAnsi="宋体"/>
                <w:kern w:val="0"/>
                <w:sz w:val="18"/>
                <w:szCs w:val="18"/>
              </w:rPr>
            </w:pPr>
          </w:p>
        </w:tc>
        <w:tc>
          <w:tcPr>
            <w:tcW w:w="2564" w:type="dxa"/>
            <w:tcBorders>
              <w:top w:val="single" w:color="auto" w:sz="8" w:space="0"/>
              <w:left w:val="single" w:color="auto" w:sz="4" w:space="0"/>
              <w:bottom w:val="single" w:color="auto" w:sz="4" w:space="0"/>
              <w:right w:val="single" w:color="auto" w:sz="4" w:space="0"/>
            </w:tcBorders>
            <w:noWrap w:val="0"/>
            <w:vAlign w:val="center"/>
          </w:tcPr>
          <w:p w14:paraId="0DA72A69">
            <w:pPr>
              <w:adjustRightInd w:val="0"/>
              <w:snapToGrid w:val="0"/>
              <w:jc w:val="center"/>
              <w:rPr>
                <w:rFonts w:ascii="宋体" w:hAnsi="宋体"/>
                <w:sz w:val="18"/>
                <w:szCs w:val="18"/>
              </w:rPr>
            </w:pPr>
          </w:p>
        </w:tc>
        <w:tc>
          <w:tcPr>
            <w:tcW w:w="605" w:type="dxa"/>
            <w:tcBorders>
              <w:top w:val="single" w:color="auto" w:sz="8" w:space="0"/>
              <w:left w:val="single" w:color="auto" w:sz="4" w:space="0"/>
              <w:bottom w:val="single" w:color="auto" w:sz="4" w:space="0"/>
              <w:right w:val="single" w:color="auto" w:sz="4" w:space="0"/>
            </w:tcBorders>
            <w:noWrap w:val="0"/>
            <w:vAlign w:val="center"/>
          </w:tcPr>
          <w:p w14:paraId="7AB6A23B">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58D4B064">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4B691B10">
            <w:pPr>
              <w:adjustRightInd w:val="0"/>
              <w:snapToGrid w:val="0"/>
              <w:jc w:val="center"/>
              <w:rPr>
                <w:rFonts w:ascii="宋体" w:hAnsi="宋体" w:cs="Sim Sun"/>
                <w:sz w:val="18"/>
                <w:szCs w:val="18"/>
              </w:rPr>
            </w:pPr>
            <w:r>
              <w:rPr>
                <w:rFonts w:hint="eastAsia" w:ascii="宋体" w:hAnsi="宋体" w:cs="Sim Sun"/>
                <w:sz w:val="18"/>
                <w:szCs w:val="18"/>
                <w:lang w:eastAsia="zh-CN"/>
              </w:rPr>
              <w:t>4.8</w:t>
            </w:r>
            <w:r>
              <w:rPr>
                <w:rFonts w:ascii="宋体" w:hAnsi="宋体" w:cs="Sim Sun"/>
                <w:sz w:val="18"/>
                <w:szCs w:val="18"/>
              </w:rPr>
              <w:t>.1</w:t>
            </w:r>
          </w:p>
        </w:tc>
      </w:tr>
      <w:tr w14:paraId="58A2E6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60BCB314">
            <w:pPr>
              <w:adjustRightInd w:val="0"/>
              <w:snapToGrid w:val="0"/>
              <w:jc w:val="center"/>
              <w:rPr>
                <w:rFonts w:hint="eastAsia" w:ascii="宋体" w:hAnsi="宋体"/>
                <w:bCs/>
                <w:sz w:val="18"/>
                <w:szCs w:val="18"/>
              </w:rPr>
            </w:pPr>
            <w:r>
              <w:rPr>
                <w:rFonts w:hint="eastAsia" w:ascii="宋体" w:hAnsi="宋体"/>
                <w:bCs/>
                <w:sz w:val="18"/>
                <w:szCs w:val="18"/>
              </w:rPr>
              <w:t>8.1.1</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25CFF8D0">
            <w:pPr>
              <w:adjustRightInd w:val="0"/>
              <w:snapToGrid w:val="0"/>
              <w:rPr>
                <w:rFonts w:ascii="宋体" w:hAnsi="宋体"/>
                <w:sz w:val="18"/>
                <w:szCs w:val="18"/>
              </w:rPr>
            </w:pPr>
            <w:r>
              <w:rPr>
                <w:rFonts w:hint="eastAsia" w:ascii="宋体" w:hAnsi="宋体"/>
                <w:sz w:val="18"/>
                <w:szCs w:val="18"/>
              </w:rPr>
              <w:t>★应采购有危险化学品安全生产许可或经营许可资质单位的危险化学品。</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21431316">
            <w:pPr>
              <w:adjustRightInd w:val="0"/>
              <w:snapToGrid w:val="0"/>
              <w:jc w:val="center"/>
              <w:rPr>
                <w:rFonts w:ascii="宋体" w:hAnsi="宋体"/>
                <w:kern w:val="0"/>
                <w:sz w:val="18"/>
                <w:szCs w:val="18"/>
              </w:rPr>
            </w:pPr>
          </w:p>
        </w:tc>
        <w:tc>
          <w:tcPr>
            <w:tcW w:w="713" w:type="dxa"/>
            <w:tcBorders>
              <w:top w:val="single" w:color="auto" w:sz="8" w:space="0"/>
              <w:left w:val="single" w:color="auto" w:sz="4" w:space="0"/>
              <w:bottom w:val="single" w:color="auto" w:sz="4" w:space="0"/>
              <w:right w:val="single" w:color="auto" w:sz="4" w:space="0"/>
            </w:tcBorders>
            <w:noWrap w:val="0"/>
            <w:vAlign w:val="center"/>
          </w:tcPr>
          <w:p w14:paraId="10376481">
            <w:pPr>
              <w:adjustRightInd w:val="0"/>
              <w:snapToGrid w:val="0"/>
              <w:jc w:val="center"/>
              <w:rPr>
                <w:rFonts w:ascii="宋体" w:hAnsi="宋体"/>
                <w:kern w:val="0"/>
                <w:sz w:val="18"/>
                <w:szCs w:val="18"/>
              </w:rPr>
            </w:pPr>
          </w:p>
        </w:tc>
        <w:tc>
          <w:tcPr>
            <w:tcW w:w="712" w:type="dxa"/>
            <w:tcBorders>
              <w:top w:val="single" w:color="auto" w:sz="8" w:space="0"/>
              <w:left w:val="single" w:color="auto" w:sz="4" w:space="0"/>
              <w:bottom w:val="single" w:color="auto" w:sz="4" w:space="0"/>
              <w:right w:val="single" w:color="auto" w:sz="4" w:space="0"/>
            </w:tcBorders>
            <w:noWrap w:val="0"/>
            <w:vAlign w:val="center"/>
          </w:tcPr>
          <w:p w14:paraId="7C88FABD">
            <w:pPr>
              <w:adjustRightInd w:val="0"/>
              <w:snapToGrid w:val="0"/>
              <w:jc w:val="center"/>
              <w:rPr>
                <w:rFonts w:hint="eastAsia" w:ascii="宋体" w:hAnsi="宋体"/>
                <w:kern w:val="0"/>
                <w:sz w:val="18"/>
                <w:szCs w:val="18"/>
              </w:rPr>
            </w:pPr>
          </w:p>
        </w:tc>
        <w:tc>
          <w:tcPr>
            <w:tcW w:w="2564" w:type="dxa"/>
            <w:tcBorders>
              <w:top w:val="single" w:color="auto" w:sz="8" w:space="0"/>
              <w:left w:val="single" w:color="auto" w:sz="4" w:space="0"/>
              <w:bottom w:val="single" w:color="auto" w:sz="4" w:space="0"/>
              <w:right w:val="single" w:color="auto" w:sz="4" w:space="0"/>
            </w:tcBorders>
            <w:noWrap w:val="0"/>
            <w:vAlign w:val="center"/>
          </w:tcPr>
          <w:p w14:paraId="38887F57">
            <w:pPr>
              <w:adjustRightInd w:val="0"/>
              <w:snapToGrid w:val="0"/>
              <w:rPr>
                <w:rFonts w:ascii="宋体" w:hAnsi="宋体"/>
                <w:sz w:val="18"/>
                <w:szCs w:val="18"/>
              </w:rPr>
            </w:pPr>
            <w:r>
              <w:rPr>
                <w:rFonts w:hint="eastAsia" w:ascii="宋体" w:hAnsi="宋体"/>
                <w:sz w:val="18"/>
                <w:szCs w:val="18"/>
              </w:rPr>
              <w:t>采购无相关资质</w:t>
            </w:r>
            <w:r>
              <w:rPr>
                <w:rFonts w:hint="eastAsia" w:ascii="宋体" w:hAnsi="宋体"/>
                <w:sz w:val="18"/>
                <w:szCs w:val="18"/>
                <w:lang w:val="en-US" w:eastAsia="zh-CN"/>
              </w:rPr>
              <w:t>单位</w:t>
            </w:r>
            <w:r>
              <w:rPr>
                <w:rFonts w:hint="eastAsia" w:ascii="宋体" w:hAnsi="宋体"/>
                <w:sz w:val="18"/>
                <w:szCs w:val="18"/>
              </w:rPr>
              <w:t>危险化学品的，“危险化学品” 评定要素不得分。</w:t>
            </w:r>
          </w:p>
        </w:tc>
        <w:tc>
          <w:tcPr>
            <w:tcW w:w="605" w:type="dxa"/>
            <w:tcBorders>
              <w:top w:val="single" w:color="auto" w:sz="8" w:space="0"/>
              <w:left w:val="single" w:color="auto" w:sz="4" w:space="0"/>
              <w:bottom w:val="single" w:color="auto" w:sz="4" w:space="0"/>
              <w:right w:val="single" w:color="auto" w:sz="4" w:space="0"/>
            </w:tcBorders>
            <w:noWrap w:val="0"/>
            <w:vAlign w:val="center"/>
          </w:tcPr>
          <w:p w14:paraId="29587D04">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0E02E19F">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0CC81C26">
            <w:pPr>
              <w:adjustRightInd w:val="0"/>
              <w:snapToGrid w:val="0"/>
              <w:jc w:val="center"/>
              <w:rPr>
                <w:rFonts w:hint="eastAsia" w:ascii="宋体" w:hAnsi="宋体" w:cs="Sim Sun"/>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315F83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4105FCA8">
            <w:pPr>
              <w:adjustRightInd w:val="0"/>
              <w:snapToGrid w:val="0"/>
              <w:jc w:val="center"/>
              <w:rPr>
                <w:rFonts w:hint="eastAsia" w:ascii="宋体" w:hAnsi="宋体"/>
                <w:bCs/>
                <w:sz w:val="18"/>
                <w:szCs w:val="18"/>
              </w:rPr>
            </w:pPr>
            <w:r>
              <w:rPr>
                <w:rFonts w:hint="eastAsia" w:ascii="宋体" w:hAnsi="宋体"/>
                <w:bCs/>
                <w:sz w:val="18"/>
                <w:szCs w:val="18"/>
              </w:rPr>
              <w:t>8.1.2</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31BC94BC">
            <w:pPr>
              <w:adjustRightInd w:val="0"/>
              <w:snapToGrid w:val="0"/>
              <w:jc w:val="left"/>
              <w:rPr>
                <w:rFonts w:hint="eastAsia" w:ascii="宋体" w:hAnsi="宋体"/>
                <w:sz w:val="18"/>
                <w:szCs w:val="18"/>
              </w:rPr>
            </w:pPr>
            <w:r>
              <w:rPr>
                <w:rFonts w:hint="eastAsia" w:ascii="宋体" w:hAnsi="宋体"/>
                <w:sz w:val="18"/>
                <w:szCs w:val="18"/>
              </w:rPr>
              <w:t>危险化学品储存场所应设置明显的标志，并在危险化学品作业场所和安全设施、设备上设置明显的安全警示标志。</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73D5B191">
            <w:pPr>
              <w:adjustRightInd w:val="0"/>
              <w:snapToGrid w:val="0"/>
              <w:jc w:val="center"/>
              <w:rPr>
                <w:rFonts w:ascii="宋体" w:hAnsi="宋体"/>
                <w:bCs/>
                <w:sz w:val="18"/>
                <w:szCs w:val="18"/>
              </w:rPr>
            </w:pPr>
          </w:p>
        </w:tc>
        <w:tc>
          <w:tcPr>
            <w:tcW w:w="713" w:type="dxa"/>
            <w:tcBorders>
              <w:top w:val="single" w:color="auto" w:sz="8" w:space="0"/>
              <w:left w:val="single" w:color="auto" w:sz="4" w:space="0"/>
              <w:bottom w:val="single" w:color="auto" w:sz="4" w:space="0"/>
              <w:right w:val="single" w:color="auto" w:sz="4" w:space="0"/>
            </w:tcBorders>
            <w:noWrap w:val="0"/>
            <w:vAlign w:val="center"/>
          </w:tcPr>
          <w:p w14:paraId="38F32E1A">
            <w:pPr>
              <w:adjustRightInd w:val="0"/>
              <w:snapToGrid w:val="0"/>
              <w:jc w:val="center"/>
              <w:rPr>
                <w:rFonts w:ascii="宋体" w:hAnsi="宋体"/>
                <w:bCs/>
                <w:sz w:val="18"/>
                <w:szCs w:val="18"/>
              </w:rPr>
            </w:pPr>
          </w:p>
        </w:tc>
        <w:tc>
          <w:tcPr>
            <w:tcW w:w="712" w:type="dxa"/>
            <w:tcBorders>
              <w:top w:val="single" w:color="auto" w:sz="8" w:space="0"/>
              <w:left w:val="single" w:color="auto" w:sz="4" w:space="0"/>
              <w:bottom w:val="single" w:color="auto" w:sz="4" w:space="0"/>
              <w:right w:val="single" w:color="auto" w:sz="4" w:space="0"/>
            </w:tcBorders>
            <w:noWrap w:val="0"/>
            <w:vAlign w:val="center"/>
          </w:tcPr>
          <w:p w14:paraId="214505B2">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2564" w:type="dxa"/>
            <w:tcBorders>
              <w:top w:val="single" w:color="auto" w:sz="8" w:space="0"/>
              <w:left w:val="single" w:color="auto" w:sz="4" w:space="0"/>
              <w:bottom w:val="single" w:color="auto" w:sz="4" w:space="0"/>
              <w:right w:val="single" w:color="auto" w:sz="4" w:space="0"/>
            </w:tcBorders>
            <w:noWrap w:val="0"/>
            <w:vAlign w:val="center"/>
          </w:tcPr>
          <w:p w14:paraId="46A1601E">
            <w:pPr>
              <w:adjustRightInd w:val="0"/>
              <w:snapToGrid w:val="0"/>
              <w:jc w:val="left"/>
              <w:rPr>
                <w:rFonts w:ascii="宋体" w:hAnsi="宋体"/>
                <w:sz w:val="18"/>
                <w:szCs w:val="18"/>
              </w:rPr>
            </w:pPr>
            <w:r>
              <w:rPr>
                <w:rFonts w:hint="eastAsia" w:ascii="宋体" w:hAnsi="宋体"/>
                <w:sz w:val="18"/>
                <w:szCs w:val="18"/>
              </w:rPr>
              <w:t>一处不符合，不得分。</w:t>
            </w:r>
          </w:p>
        </w:tc>
        <w:tc>
          <w:tcPr>
            <w:tcW w:w="605" w:type="dxa"/>
            <w:tcBorders>
              <w:top w:val="single" w:color="auto" w:sz="8" w:space="0"/>
              <w:left w:val="single" w:color="auto" w:sz="4" w:space="0"/>
              <w:bottom w:val="single" w:color="auto" w:sz="4" w:space="0"/>
              <w:right w:val="single" w:color="auto" w:sz="4" w:space="0"/>
            </w:tcBorders>
            <w:noWrap w:val="0"/>
            <w:vAlign w:val="center"/>
          </w:tcPr>
          <w:p w14:paraId="0B1ABBA4">
            <w:pPr>
              <w:adjustRightInd w:val="0"/>
              <w:snapToGrid w:val="0"/>
              <w:jc w:val="left"/>
              <w:rPr>
                <w:rFonts w:ascii="宋体" w:hAnsi="宋体"/>
                <w:bCs/>
                <w:sz w:val="18"/>
                <w:szCs w:val="18"/>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5E046A7F">
            <w:pPr>
              <w:adjustRightInd w:val="0"/>
              <w:snapToGrid w:val="0"/>
              <w:jc w:val="left"/>
              <w:rPr>
                <w:rFonts w:ascii="宋体" w:hAnsi="宋体"/>
                <w:bCs/>
                <w:sz w:val="18"/>
                <w:szCs w:val="18"/>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2EE18C6F">
            <w:pPr>
              <w:adjustRightInd w:val="0"/>
              <w:snapToGrid w:val="0"/>
              <w:jc w:val="center"/>
              <w:rPr>
                <w:rFonts w:hint="eastAsia" w:ascii="宋体" w:hAnsi="宋体"/>
                <w:bCs/>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24BA83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61A8AEFC">
            <w:pPr>
              <w:adjustRightInd w:val="0"/>
              <w:snapToGrid w:val="0"/>
              <w:jc w:val="center"/>
              <w:rPr>
                <w:rFonts w:hint="eastAsia" w:ascii="宋体" w:hAnsi="宋体"/>
                <w:bCs/>
                <w:sz w:val="18"/>
                <w:szCs w:val="18"/>
              </w:rPr>
            </w:pPr>
            <w:r>
              <w:rPr>
                <w:rFonts w:hint="eastAsia" w:ascii="宋体" w:hAnsi="宋体"/>
                <w:bCs/>
                <w:sz w:val="18"/>
                <w:szCs w:val="18"/>
              </w:rPr>
              <w:t>8.1.3</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752FD7F6">
            <w:pPr>
              <w:adjustRightInd w:val="0"/>
              <w:snapToGrid w:val="0"/>
              <w:jc w:val="left"/>
              <w:rPr>
                <w:rFonts w:ascii="宋体" w:hAnsi="宋体"/>
                <w:sz w:val="18"/>
                <w:szCs w:val="18"/>
              </w:rPr>
            </w:pPr>
            <w:r>
              <w:rPr>
                <w:rFonts w:hint="eastAsia" w:ascii="宋体" w:hAnsi="宋体"/>
                <w:sz w:val="18"/>
                <w:szCs w:val="18"/>
              </w:rPr>
              <w:t>应在危险化学品储存场所和使用场所的显著位置张贴或悬挂危险化学品岗位安全操作规程和现场处置方案。</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3E084429">
            <w:pPr>
              <w:adjustRightInd w:val="0"/>
              <w:snapToGrid w:val="0"/>
              <w:jc w:val="center"/>
              <w:rPr>
                <w:rFonts w:ascii="宋体" w:hAnsi="宋体"/>
                <w:bCs/>
                <w:sz w:val="18"/>
                <w:szCs w:val="18"/>
              </w:rPr>
            </w:pPr>
          </w:p>
        </w:tc>
        <w:tc>
          <w:tcPr>
            <w:tcW w:w="713" w:type="dxa"/>
            <w:tcBorders>
              <w:top w:val="single" w:color="auto" w:sz="8" w:space="0"/>
              <w:left w:val="single" w:color="auto" w:sz="4" w:space="0"/>
              <w:bottom w:val="single" w:color="auto" w:sz="4" w:space="0"/>
              <w:right w:val="single" w:color="auto" w:sz="4" w:space="0"/>
            </w:tcBorders>
            <w:noWrap w:val="0"/>
            <w:vAlign w:val="center"/>
          </w:tcPr>
          <w:p w14:paraId="6B298CD2">
            <w:pPr>
              <w:adjustRightInd w:val="0"/>
              <w:snapToGrid w:val="0"/>
              <w:jc w:val="center"/>
              <w:rPr>
                <w:rFonts w:ascii="宋体" w:hAnsi="宋体"/>
                <w:bCs/>
                <w:sz w:val="18"/>
                <w:szCs w:val="18"/>
              </w:rPr>
            </w:pPr>
          </w:p>
        </w:tc>
        <w:tc>
          <w:tcPr>
            <w:tcW w:w="712" w:type="dxa"/>
            <w:tcBorders>
              <w:top w:val="single" w:color="auto" w:sz="8" w:space="0"/>
              <w:left w:val="single" w:color="auto" w:sz="4" w:space="0"/>
              <w:bottom w:val="single" w:color="auto" w:sz="4" w:space="0"/>
              <w:right w:val="single" w:color="auto" w:sz="4" w:space="0"/>
            </w:tcBorders>
            <w:noWrap w:val="0"/>
            <w:vAlign w:val="center"/>
          </w:tcPr>
          <w:p w14:paraId="36B9A86C">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2564" w:type="dxa"/>
            <w:tcBorders>
              <w:top w:val="single" w:color="auto" w:sz="8" w:space="0"/>
              <w:left w:val="single" w:color="auto" w:sz="4" w:space="0"/>
              <w:bottom w:val="single" w:color="auto" w:sz="4" w:space="0"/>
              <w:right w:val="single" w:color="auto" w:sz="4" w:space="0"/>
            </w:tcBorders>
            <w:noWrap w:val="0"/>
            <w:vAlign w:val="center"/>
          </w:tcPr>
          <w:p w14:paraId="4CABA07B">
            <w:pPr>
              <w:adjustRightInd w:val="0"/>
              <w:snapToGrid w:val="0"/>
              <w:jc w:val="left"/>
              <w:rPr>
                <w:rFonts w:ascii="宋体" w:hAnsi="宋体"/>
                <w:sz w:val="18"/>
                <w:szCs w:val="18"/>
              </w:rPr>
            </w:pPr>
            <w:r>
              <w:rPr>
                <w:rFonts w:hint="eastAsia" w:ascii="宋体" w:hAnsi="宋体"/>
                <w:sz w:val="18"/>
                <w:szCs w:val="18"/>
              </w:rPr>
              <w:t>一处不符合，不得分。</w:t>
            </w:r>
          </w:p>
        </w:tc>
        <w:tc>
          <w:tcPr>
            <w:tcW w:w="605" w:type="dxa"/>
            <w:tcBorders>
              <w:top w:val="single" w:color="auto" w:sz="8" w:space="0"/>
              <w:left w:val="single" w:color="auto" w:sz="4" w:space="0"/>
              <w:bottom w:val="single" w:color="auto" w:sz="4" w:space="0"/>
              <w:right w:val="single" w:color="auto" w:sz="4" w:space="0"/>
            </w:tcBorders>
            <w:noWrap w:val="0"/>
            <w:vAlign w:val="center"/>
          </w:tcPr>
          <w:p w14:paraId="5E417AB0">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477D60DF">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2F6A2539">
            <w:pPr>
              <w:adjustRightInd w:val="0"/>
              <w:snapToGrid w:val="0"/>
              <w:jc w:val="center"/>
              <w:rPr>
                <w:rFonts w:hint="eastAsia" w:ascii="宋体" w:hAnsi="宋体"/>
                <w:bCs/>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2391B3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5313D00D">
            <w:pPr>
              <w:adjustRightInd w:val="0"/>
              <w:snapToGrid w:val="0"/>
              <w:jc w:val="center"/>
              <w:rPr>
                <w:rFonts w:ascii="宋体" w:hAnsi="宋体"/>
                <w:bCs/>
                <w:sz w:val="18"/>
                <w:szCs w:val="18"/>
              </w:rPr>
            </w:pPr>
            <w:r>
              <w:rPr>
                <w:rFonts w:hint="eastAsia" w:ascii="宋体" w:hAnsi="宋体"/>
                <w:bCs/>
                <w:sz w:val="18"/>
                <w:szCs w:val="18"/>
              </w:rPr>
              <w:t>8.1.4</w:t>
            </w:r>
          </w:p>
        </w:tc>
        <w:tc>
          <w:tcPr>
            <w:tcW w:w="6096" w:type="dxa"/>
            <w:tcBorders>
              <w:top w:val="single" w:color="auto" w:sz="8" w:space="0"/>
              <w:left w:val="single" w:color="auto" w:sz="4" w:space="0"/>
              <w:bottom w:val="single" w:color="auto" w:sz="8" w:space="0"/>
              <w:right w:val="single" w:color="auto" w:sz="4" w:space="0"/>
            </w:tcBorders>
            <w:noWrap w:val="0"/>
            <w:vAlign w:val="center"/>
          </w:tcPr>
          <w:p w14:paraId="57153DED">
            <w:pPr>
              <w:adjustRightInd w:val="0"/>
              <w:snapToGrid w:val="0"/>
              <w:jc w:val="left"/>
              <w:rPr>
                <w:rFonts w:hint="eastAsia" w:ascii="宋体" w:hAnsi="宋体"/>
                <w:sz w:val="18"/>
                <w:szCs w:val="18"/>
              </w:rPr>
            </w:pPr>
            <w:r>
              <w:rPr>
                <w:rFonts w:hint="eastAsia" w:ascii="宋体" w:hAnsi="宋体"/>
                <w:sz w:val="18"/>
                <w:szCs w:val="18"/>
              </w:rPr>
              <w:t>不应随意更换危险化学品的储存包装，包括内包装和外包装。不应在危险化学品储存场所内对危险化学品进行分装、改装。</w:t>
            </w:r>
          </w:p>
        </w:tc>
        <w:tc>
          <w:tcPr>
            <w:tcW w:w="713" w:type="dxa"/>
            <w:tcBorders>
              <w:top w:val="single" w:color="auto" w:sz="8" w:space="0"/>
              <w:left w:val="single" w:color="auto" w:sz="4" w:space="0"/>
              <w:bottom w:val="single" w:color="auto" w:sz="8" w:space="0"/>
              <w:right w:val="single" w:color="auto" w:sz="4" w:space="0"/>
            </w:tcBorders>
            <w:noWrap w:val="0"/>
            <w:vAlign w:val="center"/>
          </w:tcPr>
          <w:p w14:paraId="54B310A1">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13" w:type="dxa"/>
            <w:tcBorders>
              <w:top w:val="single" w:color="auto" w:sz="8" w:space="0"/>
              <w:left w:val="single" w:color="auto" w:sz="4" w:space="0"/>
              <w:bottom w:val="single" w:color="auto" w:sz="8" w:space="0"/>
              <w:right w:val="single" w:color="auto" w:sz="4" w:space="0"/>
            </w:tcBorders>
            <w:noWrap w:val="0"/>
            <w:vAlign w:val="center"/>
          </w:tcPr>
          <w:p w14:paraId="6A2672E1">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12" w:type="dxa"/>
            <w:tcBorders>
              <w:top w:val="single" w:color="auto" w:sz="8" w:space="0"/>
              <w:left w:val="single" w:color="auto" w:sz="4" w:space="0"/>
              <w:bottom w:val="single" w:color="auto" w:sz="8" w:space="0"/>
              <w:right w:val="single" w:color="auto" w:sz="4" w:space="0"/>
            </w:tcBorders>
            <w:noWrap w:val="0"/>
            <w:vAlign w:val="center"/>
          </w:tcPr>
          <w:p w14:paraId="3C15EADB">
            <w:pPr>
              <w:widowControl/>
              <w:tabs>
                <w:tab w:val="center" w:pos="4201"/>
                <w:tab w:val="right" w:leader="dot" w:pos="9298"/>
              </w:tabs>
              <w:autoSpaceDE w:val="0"/>
              <w:autoSpaceDN w:val="0"/>
              <w:ind w:right="33" w:rightChars="16"/>
              <w:jc w:val="center"/>
              <w:rPr>
                <w:rFonts w:hint="eastAsia" w:ascii="宋体" w:hAnsi="宋体" w:eastAsia="宋体"/>
                <w:kern w:val="0"/>
                <w:sz w:val="18"/>
                <w:szCs w:val="18"/>
                <w:lang w:eastAsia="zh-CN"/>
              </w:rPr>
            </w:pPr>
            <w:r>
              <w:rPr>
                <w:rFonts w:hint="eastAsia" w:ascii="宋体" w:hAnsi="宋体"/>
                <w:kern w:val="0"/>
                <w:sz w:val="18"/>
                <w:szCs w:val="18"/>
                <w:lang w:val="en-US" w:eastAsia="zh-CN"/>
              </w:rPr>
              <w:t>2</w:t>
            </w:r>
          </w:p>
        </w:tc>
        <w:tc>
          <w:tcPr>
            <w:tcW w:w="2564" w:type="dxa"/>
            <w:tcBorders>
              <w:top w:val="single" w:color="auto" w:sz="8" w:space="0"/>
              <w:left w:val="single" w:color="auto" w:sz="4" w:space="0"/>
              <w:bottom w:val="single" w:color="auto" w:sz="8" w:space="0"/>
              <w:right w:val="single" w:color="auto" w:sz="4" w:space="0"/>
            </w:tcBorders>
            <w:noWrap w:val="0"/>
            <w:vAlign w:val="center"/>
          </w:tcPr>
          <w:p w14:paraId="54AF744A">
            <w:pPr>
              <w:adjustRightInd w:val="0"/>
              <w:snapToGrid w:val="0"/>
              <w:jc w:val="left"/>
              <w:rPr>
                <w:rFonts w:hint="eastAsia" w:ascii="宋体" w:hAnsi="宋体"/>
                <w:sz w:val="18"/>
                <w:szCs w:val="18"/>
              </w:rPr>
            </w:pPr>
            <w:r>
              <w:rPr>
                <w:rFonts w:hint="eastAsia" w:ascii="宋体" w:hAnsi="宋体"/>
                <w:sz w:val="18"/>
                <w:szCs w:val="18"/>
              </w:rPr>
              <w:t>一处不符合，不得分。</w:t>
            </w:r>
          </w:p>
        </w:tc>
        <w:tc>
          <w:tcPr>
            <w:tcW w:w="605" w:type="dxa"/>
            <w:tcBorders>
              <w:top w:val="single" w:color="auto" w:sz="8" w:space="0"/>
              <w:left w:val="single" w:color="auto" w:sz="4" w:space="0"/>
              <w:bottom w:val="single" w:color="auto" w:sz="8" w:space="0"/>
              <w:right w:val="single" w:color="auto" w:sz="4" w:space="0"/>
            </w:tcBorders>
            <w:noWrap w:val="0"/>
            <w:vAlign w:val="center"/>
          </w:tcPr>
          <w:p w14:paraId="664C9754">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8" w:space="0"/>
              <w:right w:val="single" w:color="auto" w:sz="4" w:space="0"/>
            </w:tcBorders>
            <w:noWrap w:val="0"/>
            <w:vAlign w:val="center"/>
          </w:tcPr>
          <w:p w14:paraId="4BD1AB70">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8" w:space="0"/>
              <w:right w:val="single" w:color="auto" w:sz="8" w:space="0"/>
            </w:tcBorders>
            <w:noWrap w:val="0"/>
            <w:vAlign w:val="center"/>
          </w:tcPr>
          <w:p w14:paraId="3E5CC401">
            <w:pPr>
              <w:adjustRightInd w:val="0"/>
              <w:snapToGrid w:val="0"/>
              <w:jc w:val="center"/>
              <w:rPr>
                <w:rFonts w:hint="eastAsia" w:ascii="宋体" w:hAnsi="宋体"/>
                <w:bCs/>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788F1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032FAAF8">
            <w:pPr>
              <w:adjustRightInd w:val="0"/>
              <w:snapToGrid w:val="0"/>
              <w:jc w:val="center"/>
              <w:rPr>
                <w:rFonts w:ascii="宋体" w:hAnsi="宋体"/>
                <w:bCs/>
                <w:sz w:val="18"/>
                <w:szCs w:val="18"/>
              </w:rPr>
            </w:pPr>
            <w:r>
              <w:rPr>
                <w:rFonts w:hint="eastAsia" w:ascii="宋体" w:hAnsi="宋体"/>
                <w:bCs/>
                <w:sz w:val="18"/>
                <w:szCs w:val="18"/>
              </w:rPr>
              <w:t>8.1.5</w:t>
            </w:r>
          </w:p>
        </w:tc>
        <w:tc>
          <w:tcPr>
            <w:tcW w:w="6096" w:type="dxa"/>
            <w:tcBorders>
              <w:top w:val="single" w:color="auto" w:sz="8" w:space="0"/>
              <w:left w:val="single" w:color="auto" w:sz="4" w:space="0"/>
              <w:bottom w:val="single" w:color="auto" w:sz="8" w:space="0"/>
              <w:right w:val="single" w:color="auto" w:sz="4" w:space="0"/>
            </w:tcBorders>
            <w:noWrap w:val="0"/>
            <w:vAlign w:val="center"/>
          </w:tcPr>
          <w:p w14:paraId="709794BC">
            <w:pPr>
              <w:adjustRightInd w:val="0"/>
              <w:snapToGrid w:val="0"/>
              <w:jc w:val="left"/>
              <w:rPr>
                <w:rFonts w:ascii="宋体" w:hAnsi="宋体"/>
                <w:bCs/>
                <w:sz w:val="18"/>
                <w:szCs w:val="18"/>
              </w:rPr>
            </w:pPr>
            <w:r>
              <w:rPr>
                <w:rFonts w:hint="eastAsia" w:ascii="宋体" w:hAnsi="宋体"/>
                <w:sz w:val="18"/>
                <w:szCs w:val="18"/>
              </w:rPr>
              <w:t>应建立危险化学品储存台账，在危险化学品储存场所内应有温湿度记录和安全检查记录。危险化学品出入储存场所时，应检验物品数量、包装等情况。</w:t>
            </w:r>
          </w:p>
        </w:tc>
        <w:tc>
          <w:tcPr>
            <w:tcW w:w="713" w:type="dxa"/>
            <w:tcBorders>
              <w:top w:val="single" w:color="auto" w:sz="8" w:space="0"/>
              <w:left w:val="single" w:color="auto" w:sz="4" w:space="0"/>
              <w:bottom w:val="single" w:color="auto" w:sz="8" w:space="0"/>
              <w:right w:val="single" w:color="auto" w:sz="4" w:space="0"/>
            </w:tcBorders>
            <w:noWrap w:val="0"/>
            <w:vAlign w:val="center"/>
          </w:tcPr>
          <w:p w14:paraId="65FE1B9B">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13" w:type="dxa"/>
            <w:tcBorders>
              <w:top w:val="single" w:color="auto" w:sz="8" w:space="0"/>
              <w:left w:val="single" w:color="auto" w:sz="4" w:space="0"/>
              <w:bottom w:val="single" w:color="auto" w:sz="8" w:space="0"/>
              <w:right w:val="single" w:color="auto" w:sz="4" w:space="0"/>
            </w:tcBorders>
            <w:noWrap w:val="0"/>
            <w:vAlign w:val="center"/>
          </w:tcPr>
          <w:p w14:paraId="036BA40E">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712" w:type="dxa"/>
            <w:tcBorders>
              <w:top w:val="single" w:color="auto" w:sz="8" w:space="0"/>
              <w:left w:val="single" w:color="auto" w:sz="4" w:space="0"/>
              <w:bottom w:val="single" w:color="auto" w:sz="8" w:space="0"/>
              <w:right w:val="single" w:color="auto" w:sz="4" w:space="0"/>
            </w:tcBorders>
            <w:noWrap w:val="0"/>
            <w:vAlign w:val="center"/>
          </w:tcPr>
          <w:p w14:paraId="671ACF59">
            <w:pPr>
              <w:widowControl/>
              <w:tabs>
                <w:tab w:val="center" w:pos="4201"/>
                <w:tab w:val="right" w:leader="dot" w:pos="9298"/>
              </w:tabs>
              <w:autoSpaceDE w:val="0"/>
              <w:autoSpaceDN w:val="0"/>
              <w:ind w:right="33" w:rightChars="16"/>
              <w:jc w:val="center"/>
              <w:rPr>
                <w:rFonts w:hint="eastAsia" w:ascii="宋体" w:hAnsi="宋体" w:eastAsia="宋体"/>
                <w:kern w:val="0"/>
                <w:sz w:val="18"/>
                <w:szCs w:val="18"/>
                <w:lang w:eastAsia="zh-CN"/>
              </w:rPr>
            </w:pPr>
            <w:r>
              <w:rPr>
                <w:rFonts w:hint="eastAsia" w:ascii="宋体" w:hAnsi="宋体"/>
                <w:kern w:val="0"/>
                <w:sz w:val="18"/>
                <w:szCs w:val="18"/>
                <w:lang w:val="en-US" w:eastAsia="zh-CN"/>
              </w:rPr>
              <w:t>2</w:t>
            </w:r>
          </w:p>
        </w:tc>
        <w:tc>
          <w:tcPr>
            <w:tcW w:w="2564" w:type="dxa"/>
            <w:tcBorders>
              <w:top w:val="single" w:color="auto" w:sz="8" w:space="0"/>
              <w:left w:val="single" w:color="auto" w:sz="4" w:space="0"/>
              <w:bottom w:val="single" w:color="auto" w:sz="8" w:space="0"/>
              <w:right w:val="single" w:color="auto" w:sz="4" w:space="0"/>
            </w:tcBorders>
            <w:noWrap w:val="0"/>
            <w:vAlign w:val="center"/>
          </w:tcPr>
          <w:p w14:paraId="6C92700E">
            <w:pPr>
              <w:adjustRightInd w:val="0"/>
              <w:snapToGrid w:val="0"/>
              <w:rPr>
                <w:rFonts w:ascii="宋体" w:hAnsi="宋体"/>
                <w:sz w:val="18"/>
                <w:szCs w:val="18"/>
              </w:rPr>
            </w:pPr>
            <w:r>
              <w:rPr>
                <w:rFonts w:hint="eastAsia" w:ascii="宋体" w:hAnsi="宋体"/>
                <w:sz w:val="18"/>
                <w:szCs w:val="18"/>
              </w:rPr>
              <w:t>一处不符合，不得分。</w:t>
            </w:r>
          </w:p>
        </w:tc>
        <w:tc>
          <w:tcPr>
            <w:tcW w:w="605" w:type="dxa"/>
            <w:tcBorders>
              <w:top w:val="single" w:color="auto" w:sz="8" w:space="0"/>
              <w:left w:val="single" w:color="auto" w:sz="4" w:space="0"/>
              <w:bottom w:val="single" w:color="auto" w:sz="8" w:space="0"/>
              <w:right w:val="single" w:color="auto" w:sz="4" w:space="0"/>
            </w:tcBorders>
            <w:noWrap w:val="0"/>
            <w:vAlign w:val="center"/>
          </w:tcPr>
          <w:p w14:paraId="055DC5E4">
            <w:pPr>
              <w:adjustRightInd w:val="0"/>
              <w:snapToGrid w:val="0"/>
              <w:jc w:val="center"/>
              <w:rPr>
                <w:rFonts w:ascii="宋体" w:hAnsi="宋体"/>
                <w:bCs/>
                <w:sz w:val="18"/>
                <w:szCs w:val="18"/>
              </w:rPr>
            </w:pPr>
          </w:p>
        </w:tc>
        <w:tc>
          <w:tcPr>
            <w:tcW w:w="2100" w:type="dxa"/>
            <w:tcBorders>
              <w:top w:val="single" w:color="auto" w:sz="8" w:space="0"/>
              <w:left w:val="single" w:color="auto" w:sz="4" w:space="0"/>
              <w:bottom w:val="single" w:color="auto" w:sz="8" w:space="0"/>
              <w:right w:val="single" w:color="auto" w:sz="4" w:space="0"/>
            </w:tcBorders>
            <w:noWrap w:val="0"/>
            <w:vAlign w:val="center"/>
          </w:tcPr>
          <w:p w14:paraId="31438964">
            <w:pPr>
              <w:adjustRightInd w:val="0"/>
              <w:snapToGrid w:val="0"/>
              <w:jc w:val="center"/>
              <w:rPr>
                <w:rFonts w:ascii="宋体" w:hAnsi="宋体"/>
                <w:bCs/>
                <w:sz w:val="18"/>
                <w:szCs w:val="18"/>
              </w:rPr>
            </w:pPr>
          </w:p>
        </w:tc>
        <w:tc>
          <w:tcPr>
            <w:tcW w:w="998" w:type="dxa"/>
            <w:tcBorders>
              <w:top w:val="single" w:color="auto" w:sz="8" w:space="0"/>
              <w:left w:val="single" w:color="auto" w:sz="4" w:space="0"/>
              <w:bottom w:val="single" w:color="auto" w:sz="8" w:space="0"/>
              <w:right w:val="single" w:color="auto" w:sz="8" w:space="0"/>
            </w:tcBorders>
            <w:noWrap w:val="0"/>
            <w:vAlign w:val="center"/>
          </w:tcPr>
          <w:p w14:paraId="311612C0">
            <w:pPr>
              <w:adjustRightInd w:val="0"/>
              <w:snapToGrid w:val="0"/>
              <w:jc w:val="center"/>
              <w:rPr>
                <w:rFonts w:ascii="宋体" w:hAnsi="宋体" w:cs="Sim Sun"/>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496CE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852" w:type="dxa"/>
            <w:tcBorders>
              <w:top w:val="single" w:color="auto" w:sz="4" w:space="0"/>
              <w:left w:val="single" w:color="auto" w:sz="8" w:space="0"/>
              <w:bottom w:val="single" w:color="auto" w:sz="4" w:space="0"/>
              <w:right w:val="single" w:color="auto" w:sz="4" w:space="0"/>
            </w:tcBorders>
            <w:noWrap w:val="0"/>
            <w:vAlign w:val="center"/>
          </w:tcPr>
          <w:p w14:paraId="49110CAC">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8.1.6</w:t>
            </w:r>
          </w:p>
        </w:tc>
        <w:tc>
          <w:tcPr>
            <w:tcW w:w="6096" w:type="dxa"/>
            <w:tcBorders>
              <w:top w:val="single" w:color="auto" w:sz="8" w:space="0"/>
              <w:left w:val="single" w:color="auto" w:sz="4" w:space="0"/>
              <w:bottom w:val="single" w:color="auto" w:sz="4" w:space="0"/>
              <w:right w:val="single" w:color="auto" w:sz="4" w:space="0"/>
            </w:tcBorders>
            <w:noWrap w:val="0"/>
            <w:vAlign w:val="center"/>
          </w:tcPr>
          <w:p w14:paraId="46BEDB16">
            <w:pPr>
              <w:adjustRightInd w:val="0"/>
              <w:snapToGrid w:val="0"/>
              <w:jc w:val="left"/>
              <w:rPr>
                <w:rFonts w:ascii="宋体" w:hAnsi="宋体"/>
                <w:sz w:val="18"/>
                <w:szCs w:val="18"/>
              </w:rPr>
            </w:pPr>
            <w:r>
              <w:rPr>
                <w:rFonts w:hint="eastAsia" w:ascii="宋体" w:hAnsi="宋体"/>
                <w:sz w:val="18"/>
                <w:szCs w:val="18"/>
              </w:rPr>
              <w:t>应保留与所储存、使用危险化学品种类相符的化学品安全标签和安全技术说明书。化学品安全标签和安全技术说明书应符合下列要求：</w:t>
            </w:r>
          </w:p>
          <w:p w14:paraId="7745E7B6">
            <w:pPr>
              <w:adjustRightInd w:val="0"/>
              <w:snapToGrid w:val="0"/>
              <w:jc w:val="left"/>
              <w:rPr>
                <w:rFonts w:ascii="宋体" w:hAnsi="宋体"/>
                <w:sz w:val="18"/>
                <w:szCs w:val="18"/>
              </w:rPr>
            </w:pPr>
            <w:r>
              <w:rPr>
                <w:rFonts w:hint="eastAsia" w:ascii="宋体" w:hAnsi="宋体"/>
                <w:sz w:val="18"/>
                <w:szCs w:val="18"/>
              </w:rPr>
              <w:t>a）化学品的安全标签应包括危险化学品标识、象形图、信号词、危险性说明、应急咨询电话、供应商标识、资料参阅提示语等。安全标签应粘贴、挂栓或喷印在包装或容器的明显位置。</w:t>
            </w:r>
          </w:p>
          <w:p w14:paraId="07ED3A5E">
            <w:pPr>
              <w:adjustRightInd w:val="0"/>
              <w:snapToGrid w:val="0"/>
              <w:jc w:val="left"/>
              <w:rPr>
                <w:rFonts w:ascii="宋体" w:hAnsi="宋体"/>
                <w:sz w:val="18"/>
                <w:szCs w:val="18"/>
              </w:rPr>
            </w:pPr>
            <w:r>
              <w:rPr>
                <w:rFonts w:hint="eastAsia" w:ascii="宋体" w:hAnsi="宋体"/>
                <w:sz w:val="18"/>
                <w:szCs w:val="18"/>
              </w:rPr>
              <w:t>b）安全技术说明书应包括16项信息：</w:t>
            </w:r>
          </w:p>
          <w:p w14:paraId="06B52D6A">
            <w:pPr>
              <w:adjustRightInd w:val="0"/>
              <w:snapToGrid w:val="0"/>
              <w:ind w:firstLine="360" w:firstLineChars="200"/>
              <w:rPr>
                <w:rFonts w:hint="eastAsia" w:ascii="宋体" w:hAnsi="宋体" w:eastAsia="宋体" w:cs="Times New Roman"/>
                <w:kern w:val="2"/>
                <w:sz w:val="18"/>
                <w:szCs w:val="18"/>
                <w:lang w:val="en-US" w:eastAsia="zh-CN" w:bidi="ar-SA"/>
              </w:rPr>
            </w:pPr>
            <w:r>
              <w:rPr>
                <w:rFonts w:hint="eastAsia" w:ascii="宋体" w:hAnsi="宋体"/>
                <w:sz w:val="18"/>
                <w:szCs w:val="18"/>
              </w:rPr>
              <w:t>1）化学品及企业标示；</w:t>
            </w:r>
          </w:p>
        </w:tc>
        <w:tc>
          <w:tcPr>
            <w:tcW w:w="713" w:type="dxa"/>
            <w:tcBorders>
              <w:top w:val="single" w:color="auto" w:sz="8" w:space="0"/>
              <w:left w:val="single" w:color="auto" w:sz="4" w:space="0"/>
              <w:bottom w:val="single" w:color="auto" w:sz="4" w:space="0"/>
              <w:right w:val="single" w:color="auto" w:sz="4" w:space="0"/>
            </w:tcBorders>
            <w:noWrap w:val="0"/>
            <w:vAlign w:val="center"/>
          </w:tcPr>
          <w:p w14:paraId="4FF63A3C">
            <w:pPr>
              <w:widowControl/>
              <w:tabs>
                <w:tab w:val="center" w:pos="4201"/>
                <w:tab w:val="right" w:leader="dot" w:pos="9298"/>
              </w:tabs>
              <w:autoSpaceDE w:val="0"/>
              <w:autoSpaceDN w:val="0"/>
              <w:adjustRightInd w:val="0"/>
              <w:snapToGrid w:val="0"/>
              <w:ind w:right="33" w:rightChars="16"/>
              <w:jc w:val="center"/>
              <w:rPr>
                <w:rFonts w:ascii="宋体" w:hAnsi="宋体" w:eastAsia="宋体" w:cs="Times New Roman"/>
                <w:kern w:val="0"/>
                <w:sz w:val="18"/>
                <w:szCs w:val="18"/>
                <w:lang w:val="en-US" w:eastAsia="zh-CN" w:bidi="ar-SA"/>
              </w:rPr>
            </w:pPr>
          </w:p>
        </w:tc>
        <w:tc>
          <w:tcPr>
            <w:tcW w:w="713" w:type="dxa"/>
            <w:tcBorders>
              <w:top w:val="single" w:color="auto" w:sz="8" w:space="0"/>
              <w:left w:val="single" w:color="auto" w:sz="4" w:space="0"/>
              <w:bottom w:val="single" w:color="auto" w:sz="4" w:space="0"/>
              <w:right w:val="single" w:color="auto" w:sz="4" w:space="0"/>
            </w:tcBorders>
            <w:noWrap w:val="0"/>
            <w:vAlign w:val="center"/>
          </w:tcPr>
          <w:p w14:paraId="077D433A">
            <w:pPr>
              <w:widowControl/>
              <w:tabs>
                <w:tab w:val="center" w:pos="4201"/>
                <w:tab w:val="right" w:leader="dot" w:pos="9298"/>
              </w:tabs>
              <w:autoSpaceDE w:val="0"/>
              <w:autoSpaceDN w:val="0"/>
              <w:adjustRightInd w:val="0"/>
              <w:snapToGrid w:val="0"/>
              <w:ind w:right="33" w:rightChars="16"/>
              <w:jc w:val="center"/>
              <w:rPr>
                <w:rFonts w:ascii="宋体" w:hAnsi="宋体" w:eastAsia="宋体" w:cs="Times New Roman"/>
                <w:kern w:val="0"/>
                <w:sz w:val="18"/>
                <w:szCs w:val="18"/>
                <w:lang w:val="en-US" w:eastAsia="zh-CN" w:bidi="ar-SA"/>
              </w:rPr>
            </w:pPr>
          </w:p>
        </w:tc>
        <w:tc>
          <w:tcPr>
            <w:tcW w:w="712" w:type="dxa"/>
            <w:tcBorders>
              <w:top w:val="single" w:color="auto" w:sz="8" w:space="0"/>
              <w:left w:val="single" w:color="auto" w:sz="4" w:space="0"/>
              <w:bottom w:val="single" w:color="auto" w:sz="4" w:space="0"/>
              <w:right w:val="single" w:color="auto" w:sz="4" w:space="0"/>
            </w:tcBorders>
            <w:noWrap w:val="0"/>
            <w:vAlign w:val="center"/>
          </w:tcPr>
          <w:p w14:paraId="0A563C02">
            <w:pPr>
              <w:widowControl/>
              <w:tabs>
                <w:tab w:val="center" w:pos="4201"/>
                <w:tab w:val="right" w:leader="dot" w:pos="9298"/>
              </w:tabs>
              <w:autoSpaceDE w:val="0"/>
              <w:autoSpaceDN w:val="0"/>
              <w:adjustRightInd w:val="0"/>
              <w:snapToGrid w:val="0"/>
              <w:ind w:right="33" w:rightChars="16"/>
              <w:jc w:val="center"/>
              <w:rPr>
                <w:rFonts w:hint="eastAsia" w:ascii="宋体" w:hAnsi="宋体" w:eastAsia="宋体" w:cs="Times New Roman"/>
                <w:kern w:val="0"/>
                <w:sz w:val="18"/>
                <w:szCs w:val="18"/>
                <w:lang w:val="en-US" w:eastAsia="zh-CN" w:bidi="ar-SA"/>
              </w:rPr>
            </w:pPr>
            <w:r>
              <w:rPr>
                <w:rFonts w:hint="eastAsia" w:ascii="宋体" w:hAnsi="宋体"/>
                <w:kern w:val="0"/>
                <w:sz w:val="18"/>
                <w:szCs w:val="18"/>
                <w:lang w:val="en-US" w:eastAsia="zh-CN"/>
              </w:rPr>
              <w:t>2</w:t>
            </w:r>
          </w:p>
        </w:tc>
        <w:tc>
          <w:tcPr>
            <w:tcW w:w="2564" w:type="dxa"/>
            <w:tcBorders>
              <w:top w:val="single" w:color="auto" w:sz="8" w:space="0"/>
              <w:left w:val="single" w:color="auto" w:sz="4" w:space="0"/>
              <w:bottom w:val="single" w:color="auto" w:sz="4" w:space="0"/>
              <w:right w:val="single" w:color="auto" w:sz="4" w:space="0"/>
            </w:tcBorders>
            <w:noWrap w:val="0"/>
            <w:vAlign w:val="center"/>
          </w:tcPr>
          <w:p w14:paraId="2B43EBD1">
            <w:pPr>
              <w:adjustRightInd w:val="0"/>
              <w:snapToGrid w:val="0"/>
              <w:rPr>
                <w:rFonts w:hint="eastAsia" w:ascii="宋体" w:hAnsi="宋体" w:eastAsia="宋体" w:cs="Times New Roman"/>
                <w:kern w:val="2"/>
                <w:sz w:val="18"/>
                <w:szCs w:val="18"/>
                <w:lang w:val="en-US" w:eastAsia="zh-CN" w:bidi="ar-SA"/>
              </w:rPr>
            </w:pPr>
            <w:r>
              <w:rPr>
                <w:rFonts w:hint="eastAsia" w:ascii="宋体" w:hAnsi="宋体"/>
                <w:sz w:val="18"/>
                <w:szCs w:val="18"/>
              </w:rPr>
              <w:t>一处不符合，不得分。</w:t>
            </w:r>
          </w:p>
        </w:tc>
        <w:tc>
          <w:tcPr>
            <w:tcW w:w="605" w:type="dxa"/>
            <w:tcBorders>
              <w:top w:val="single" w:color="auto" w:sz="8" w:space="0"/>
              <w:left w:val="single" w:color="auto" w:sz="4" w:space="0"/>
              <w:bottom w:val="single" w:color="auto" w:sz="4" w:space="0"/>
              <w:right w:val="single" w:color="auto" w:sz="4" w:space="0"/>
            </w:tcBorders>
            <w:noWrap w:val="0"/>
            <w:vAlign w:val="center"/>
          </w:tcPr>
          <w:p w14:paraId="234A0590">
            <w:pPr>
              <w:adjustRightInd w:val="0"/>
              <w:snapToGrid w:val="0"/>
              <w:jc w:val="center"/>
              <w:rPr>
                <w:rFonts w:ascii="宋体" w:hAnsi="宋体" w:eastAsia="宋体" w:cs="Times New Roman"/>
                <w:kern w:val="2"/>
                <w:sz w:val="18"/>
                <w:szCs w:val="18"/>
                <w:lang w:val="en-US" w:eastAsia="zh-CN" w:bidi="ar-SA"/>
              </w:rPr>
            </w:pPr>
          </w:p>
        </w:tc>
        <w:tc>
          <w:tcPr>
            <w:tcW w:w="2100" w:type="dxa"/>
            <w:tcBorders>
              <w:top w:val="single" w:color="auto" w:sz="8" w:space="0"/>
              <w:left w:val="single" w:color="auto" w:sz="4" w:space="0"/>
              <w:bottom w:val="single" w:color="auto" w:sz="4" w:space="0"/>
              <w:right w:val="single" w:color="auto" w:sz="4" w:space="0"/>
            </w:tcBorders>
            <w:noWrap w:val="0"/>
            <w:vAlign w:val="center"/>
          </w:tcPr>
          <w:p w14:paraId="0E397805">
            <w:pPr>
              <w:adjustRightInd w:val="0"/>
              <w:snapToGrid w:val="0"/>
              <w:jc w:val="center"/>
              <w:rPr>
                <w:rFonts w:ascii="宋体" w:hAnsi="宋体" w:eastAsia="宋体" w:cs="Times New Roman"/>
                <w:bCs/>
                <w:kern w:val="2"/>
                <w:sz w:val="18"/>
                <w:szCs w:val="18"/>
                <w:lang w:val="en-US" w:eastAsia="zh-CN" w:bidi="ar-SA"/>
              </w:rPr>
            </w:pPr>
          </w:p>
        </w:tc>
        <w:tc>
          <w:tcPr>
            <w:tcW w:w="998" w:type="dxa"/>
            <w:tcBorders>
              <w:top w:val="single" w:color="auto" w:sz="8" w:space="0"/>
              <w:left w:val="single" w:color="auto" w:sz="4" w:space="0"/>
              <w:bottom w:val="single" w:color="auto" w:sz="4" w:space="0"/>
              <w:right w:val="single" w:color="auto" w:sz="8" w:space="0"/>
            </w:tcBorders>
            <w:noWrap w:val="0"/>
            <w:vAlign w:val="center"/>
          </w:tcPr>
          <w:p w14:paraId="3E254C07">
            <w:pPr>
              <w:adjustRightInd w:val="0"/>
              <w:snapToGrid w:val="0"/>
              <w:jc w:val="center"/>
              <w:rPr>
                <w:rFonts w:ascii="宋体" w:hAnsi="宋体" w:eastAsia="宋体" w:cs="Times New Roman"/>
                <w:bCs/>
                <w:kern w:val="2"/>
                <w:sz w:val="18"/>
                <w:szCs w:val="18"/>
                <w:lang w:val="en-US" w:eastAsia="zh-CN" w:bidi="ar-SA"/>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bl>
    <w:p w14:paraId="4F11A3E6">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I</w:t>
      </w:r>
      <w:r>
        <w:rPr>
          <w:rFonts w:hint="eastAsia" w:ascii="黑体" w:hAnsi="Times New Roman" w:eastAsia="黑体" w:cs="Times New Roman"/>
          <w:kern w:val="2"/>
          <w:sz w:val="21"/>
          <w:szCs w:val="21"/>
          <w:lang w:val="en-US" w:eastAsia="zh-CN" w:bidi="ar-SA"/>
        </w:rPr>
        <w:t>.1　</w:t>
      </w:r>
      <w:r>
        <w:rPr>
          <w:rFonts w:hint="eastAsia"/>
        </w:rPr>
        <w:t>危险化学品要素的安全生产等级评定细则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5955"/>
        <w:gridCol w:w="710"/>
        <w:gridCol w:w="709"/>
        <w:gridCol w:w="709"/>
        <w:gridCol w:w="2549"/>
        <w:gridCol w:w="709"/>
        <w:gridCol w:w="2027"/>
        <w:gridCol w:w="1026"/>
      </w:tblGrid>
      <w:tr w14:paraId="1174F0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03C89534">
            <w:pPr>
              <w:adjustRightInd w:val="0"/>
              <w:snapToGrid w:val="0"/>
              <w:jc w:val="center"/>
              <w:rPr>
                <w:sz w:val="18"/>
                <w:szCs w:val="18"/>
              </w:rPr>
            </w:pPr>
            <w:r>
              <w:rPr>
                <w:bCs/>
                <w:sz w:val="18"/>
                <w:szCs w:val="18"/>
              </w:rPr>
              <w:t>序号</w:t>
            </w:r>
          </w:p>
        </w:tc>
        <w:tc>
          <w:tcPr>
            <w:tcW w:w="5955" w:type="dxa"/>
            <w:tcBorders>
              <w:top w:val="single" w:color="auto" w:sz="8" w:space="0"/>
              <w:bottom w:val="single" w:color="auto" w:sz="8" w:space="0"/>
            </w:tcBorders>
            <w:noWrap w:val="0"/>
            <w:vAlign w:val="center"/>
          </w:tcPr>
          <w:p w14:paraId="6A7B191C">
            <w:pPr>
              <w:adjustRightInd w:val="0"/>
              <w:snapToGrid w:val="0"/>
              <w:jc w:val="center"/>
              <w:rPr>
                <w:rFonts w:ascii="宋体" w:hAnsi="宋体"/>
                <w:sz w:val="18"/>
                <w:szCs w:val="18"/>
              </w:rPr>
            </w:pPr>
            <w:r>
              <w:rPr>
                <w:rFonts w:ascii="宋体" w:hAnsi="宋体"/>
                <w:bCs/>
                <w:sz w:val="18"/>
                <w:szCs w:val="18"/>
              </w:rPr>
              <w:t>评定内容</w:t>
            </w:r>
          </w:p>
        </w:tc>
        <w:tc>
          <w:tcPr>
            <w:tcW w:w="710" w:type="dxa"/>
            <w:tcBorders>
              <w:top w:val="single" w:color="auto" w:sz="8" w:space="0"/>
              <w:bottom w:val="single" w:color="auto" w:sz="8" w:space="0"/>
            </w:tcBorders>
            <w:noWrap w:val="0"/>
            <w:vAlign w:val="center"/>
          </w:tcPr>
          <w:p w14:paraId="46A9B37C">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43F093D7">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3D59E51F">
            <w:pPr>
              <w:adjustRightInd w:val="0"/>
              <w:snapToGrid w:val="0"/>
              <w:jc w:val="center"/>
              <w:rPr>
                <w:rFonts w:ascii="宋体" w:hAnsi="宋体"/>
                <w:sz w:val="18"/>
                <w:szCs w:val="18"/>
              </w:rPr>
            </w:pPr>
            <w:r>
              <w:rPr>
                <w:rFonts w:ascii="宋体" w:hAnsi="宋体"/>
                <w:bCs/>
                <w:sz w:val="18"/>
                <w:szCs w:val="18"/>
              </w:rPr>
              <w:t>评定条款分值</w:t>
            </w:r>
          </w:p>
        </w:tc>
        <w:tc>
          <w:tcPr>
            <w:tcW w:w="2549" w:type="dxa"/>
            <w:tcBorders>
              <w:top w:val="single" w:color="auto" w:sz="8" w:space="0"/>
              <w:bottom w:val="single" w:color="auto" w:sz="8" w:space="0"/>
            </w:tcBorders>
            <w:noWrap w:val="0"/>
            <w:vAlign w:val="center"/>
          </w:tcPr>
          <w:p w14:paraId="0FFB307F">
            <w:pPr>
              <w:adjustRightInd w:val="0"/>
              <w:snapToGrid w:val="0"/>
              <w:jc w:val="center"/>
              <w:rPr>
                <w:sz w:val="18"/>
                <w:szCs w:val="18"/>
              </w:rPr>
            </w:pPr>
            <w:r>
              <w:rPr>
                <w:bCs/>
                <w:sz w:val="18"/>
                <w:szCs w:val="18"/>
              </w:rPr>
              <w:t>评分标准</w:t>
            </w:r>
          </w:p>
        </w:tc>
        <w:tc>
          <w:tcPr>
            <w:tcW w:w="709" w:type="dxa"/>
            <w:tcBorders>
              <w:top w:val="single" w:color="auto" w:sz="8" w:space="0"/>
              <w:bottom w:val="single" w:color="auto" w:sz="8" w:space="0"/>
            </w:tcBorders>
            <w:noWrap w:val="0"/>
            <w:vAlign w:val="center"/>
          </w:tcPr>
          <w:p w14:paraId="65D6A211">
            <w:pPr>
              <w:adjustRightInd w:val="0"/>
              <w:snapToGrid w:val="0"/>
              <w:jc w:val="center"/>
              <w:rPr>
                <w:rFonts w:ascii="宋体" w:hAnsi="宋体"/>
                <w:sz w:val="18"/>
                <w:szCs w:val="18"/>
              </w:rPr>
            </w:pPr>
            <w:r>
              <w:rPr>
                <w:rFonts w:ascii="宋体" w:hAnsi="宋体"/>
                <w:bCs/>
                <w:sz w:val="18"/>
                <w:szCs w:val="18"/>
              </w:rPr>
              <w:t>评定得分</w:t>
            </w:r>
          </w:p>
        </w:tc>
        <w:tc>
          <w:tcPr>
            <w:tcW w:w="2027" w:type="dxa"/>
            <w:tcBorders>
              <w:top w:val="single" w:color="auto" w:sz="8" w:space="0"/>
              <w:bottom w:val="single" w:color="auto" w:sz="8" w:space="0"/>
            </w:tcBorders>
            <w:noWrap w:val="0"/>
            <w:vAlign w:val="center"/>
          </w:tcPr>
          <w:p w14:paraId="45AE9F22">
            <w:pPr>
              <w:adjustRightInd w:val="0"/>
              <w:snapToGrid w:val="0"/>
              <w:jc w:val="center"/>
              <w:rPr>
                <w:rFonts w:ascii="宋体" w:hAnsi="宋体"/>
                <w:sz w:val="18"/>
                <w:szCs w:val="18"/>
              </w:rPr>
            </w:pPr>
            <w:r>
              <w:rPr>
                <w:rFonts w:ascii="宋体" w:hAnsi="宋体"/>
                <w:bCs/>
                <w:sz w:val="18"/>
                <w:szCs w:val="18"/>
              </w:rPr>
              <w:t>扣分说明</w:t>
            </w:r>
          </w:p>
        </w:tc>
        <w:tc>
          <w:tcPr>
            <w:tcW w:w="1026" w:type="dxa"/>
            <w:tcBorders>
              <w:top w:val="single" w:color="auto" w:sz="8" w:space="0"/>
              <w:bottom w:val="single" w:color="auto" w:sz="8" w:space="0"/>
            </w:tcBorders>
            <w:noWrap w:val="0"/>
            <w:vAlign w:val="center"/>
          </w:tcPr>
          <w:p w14:paraId="68128FC9">
            <w:pPr>
              <w:adjustRightInd w:val="0"/>
              <w:snapToGrid w:val="0"/>
              <w:jc w:val="center"/>
              <w:rPr>
                <w:rFonts w:ascii="宋体" w:hAnsi="宋体"/>
                <w:sz w:val="18"/>
                <w:szCs w:val="18"/>
              </w:rPr>
            </w:pPr>
            <w:r>
              <w:rPr>
                <w:rFonts w:ascii="宋体" w:hAnsi="宋体"/>
                <w:bCs/>
                <w:sz w:val="18"/>
                <w:szCs w:val="18"/>
              </w:rPr>
              <w:t>对应条款编号</w:t>
            </w:r>
          </w:p>
        </w:tc>
      </w:tr>
      <w:tr w14:paraId="451EF7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53F99748">
            <w:pPr>
              <w:adjustRightInd w:val="0"/>
              <w:snapToGrid w:val="0"/>
              <w:jc w:val="center"/>
              <w:rPr>
                <w:rFonts w:hint="eastAsia" w:ascii="宋体" w:hAnsi="宋体"/>
                <w:bCs/>
                <w:sz w:val="18"/>
                <w:szCs w:val="18"/>
              </w:rPr>
            </w:pPr>
          </w:p>
        </w:tc>
        <w:tc>
          <w:tcPr>
            <w:tcW w:w="5955" w:type="dxa"/>
            <w:tcBorders>
              <w:top w:val="single" w:color="auto" w:sz="8" w:space="0"/>
              <w:bottom w:val="single" w:color="auto" w:sz="8" w:space="0"/>
            </w:tcBorders>
            <w:noWrap w:val="0"/>
            <w:vAlign w:val="center"/>
          </w:tcPr>
          <w:p w14:paraId="3A0D1CFC">
            <w:pPr>
              <w:adjustRightInd w:val="0"/>
              <w:snapToGrid w:val="0"/>
              <w:ind w:firstLine="360" w:firstLineChars="200"/>
              <w:rPr>
                <w:rFonts w:ascii="宋体" w:hAnsi="宋体"/>
                <w:sz w:val="18"/>
                <w:szCs w:val="18"/>
              </w:rPr>
            </w:pPr>
            <w:r>
              <w:rPr>
                <w:rFonts w:hint="eastAsia" w:ascii="宋体" w:hAnsi="宋体"/>
                <w:sz w:val="18"/>
                <w:szCs w:val="18"/>
              </w:rPr>
              <w:t>2）危险性描述；</w:t>
            </w:r>
          </w:p>
          <w:p w14:paraId="09D5391A">
            <w:pPr>
              <w:adjustRightInd w:val="0"/>
              <w:snapToGrid w:val="0"/>
              <w:ind w:firstLine="360" w:firstLineChars="200"/>
              <w:rPr>
                <w:rFonts w:hint="eastAsia" w:ascii="宋体" w:hAnsi="宋体"/>
                <w:sz w:val="18"/>
                <w:szCs w:val="18"/>
              </w:rPr>
            </w:pPr>
            <w:r>
              <w:rPr>
                <w:rFonts w:hint="eastAsia" w:ascii="宋体" w:hAnsi="宋体"/>
                <w:sz w:val="18"/>
                <w:szCs w:val="18"/>
              </w:rPr>
              <w:t>3）成分/组成信息；</w:t>
            </w:r>
          </w:p>
          <w:p w14:paraId="56DD8A05">
            <w:pPr>
              <w:adjustRightInd w:val="0"/>
              <w:snapToGrid w:val="0"/>
              <w:ind w:firstLine="360" w:firstLineChars="200"/>
              <w:rPr>
                <w:rFonts w:hint="eastAsia" w:ascii="宋体" w:hAnsi="宋体"/>
                <w:sz w:val="18"/>
                <w:szCs w:val="18"/>
              </w:rPr>
            </w:pPr>
            <w:r>
              <w:rPr>
                <w:rFonts w:hint="eastAsia" w:ascii="宋体" w:hAnsi="宋体"/>
                <w:sz w:val="18"/>
                <w:szCs w:val="18"/>
              </w:rPr>
              <w:t>4）急救措施；</w:t>
            </w:r>
          </w:p>
          <w:p w14:paraId="4EB13E6C">
            <w:pPr>
              <w:adjustRightInd w:val="0"/>
              <w:snapToGrid w:val="0"/>
              <w:ind w:firstLine="360" w:firstLineChars="200"/>
              <w:rPr>
                <w:rFonts w:hint="eastAsia" w:ascii="宋体" w:hAnsi="宋体"/>
                <w:sz w:val="18"/>
                <w:szCs w:val="18"/>
              </w:rPr>
            </w:pPr>
            <w:r>
              <w:rPr>
                <w:rFonts w:hint="eastAsia" w:ascii="宋体" w:hAnsi="宋体"/>
                <w:sz w:val="18"/>
                <w:szCs w:val="18"/>
              </w:rPr>
              <w:t>5）消防措施；</w:t>
            </w:r>
          </w:p>
          <w:p w14:paraId="4E395CC3">
            <w:pPr>
              <w:adjustRightInd w:val="0"/>
              <w:snapToGrid w:val="0"/>
              <w:ind w:firstLine="360" w:firstLineChars="200"/>
              <w:rPr>
                <w:rFonts w:hint="eastAsia" w:ascii="宋体" w:hAnsi="宋体"/>
                <w:sz w:val="18"/>
                <w:szCs w:val="18"/>
              </w:rPr>
            </w:pPr>
            <w:r>
              <w:rPr>
                <w:rFonts w:hint="eastAsia" w:ascii="宋体" w:hAnsi="宋体"/>
                <w:sz w:val="18"/>
                <w:szCs w:val="18"/>
              </w:rPr>
              <w:t>6）泄漏应急处理；</w:t>
            </w:r>
          </w:p>
          <w:p w14:paraId="6F10E900">
            <w:pPr>
              <w:adjustRightInd w:val="0"/>
              <w:snapToGrid w:val="0"/>
              <w:ind w:firstLine="360" w:firstLineChars="200"/>
              <w:rPr>
                <w:rFonts w:hint="eastAsia" w:ascii="宋体" w:hAnsi="宋体"/>
                <w:sz w:val="18"/>
                <w:szCs w:val="18"/>
              </w:rPr>
            </w:pPr>
            <w:r>
              <w:rPr>
                <w:rFonts w:hint="eastAsia" w:ascii="宋体" w:hAnsi="宋体"/>
                <w:sz w:val="18"/>
                <w:szCs w:val="18"/>
              </w:rPr>
              <w:t>7）操作处置与储存；</w:t>
            </w:r>
          </w:p>
          <w:p w14:paraId="1EF1B6B5">
            <w:pPr>
              <w:adjustRightInd w:val="0"/>
              <w:snapToGrid w:val="0"/>
              <w:ind w:firstLine="360" w:firstLineChars="200"/>
              <w:rPr>
                <w:rFonts w:hint="eastAsia" w:ascii="宋体" w:hAnsi="宋体"/>
                <w:sz w:val="18"/>
                <w:szCs w:val="18"/>
              </w:rPr>
            </w:pPr>
            <w:r>
              <w:rPr>
                <w:rFonts w:hint="eastAsia" w:ascii="宋体" w:hAnsi="宋体"/>
                <w:sz w:val="18"/>
                <w:szCs w:val="18"/>
              </w:rPr>
              <w:t>8）接触控制和个体防护；</w:t>
            </w:r>
          </w:p>
          <w:p w14:paraId="35F44F1D">
            <w:pPr>
              <w:adjustRightInd w:val="0"/>
              <w:snapToGrid w:val="0"/>
              <w:ind w:firstLine="360" w:firstLineChars="200"/>
              <w:rPr>
                <w:rFonts w:hint="eastAsia" w:ascii="宋体" w:hAnsi="宋体"/>
                <w:sz w:val="18"/>
                <w:szCs w:val="18"/>
              </w:rPr>
            </w:pPr>
            <w:r>
              <w:rPr>
                <w:rFonts w:hint="eastAsia" w:ascii="宋体" w:hAnsi="宋体"/>
                <w:sz w:val="18"/>
                <w:szCs w:val="18"/>
              </w:rPr>
              <w:t>9）理化特性；</w:t>
            </w:r>
          </w:p>
          <w:p w14:paraId="630E040D">
            <w:pPr>
              <w:adjustRightInd w:val="0"/>
              <w:snapToGrid w:val="0"/>
              <w:ind w:firstLine="360" w:firstLineChars="200"/>
              <w:rPr>
                <w:rFonts w:hint="eastAsia" w:ascii="宋体" w:hAnsi="宋体"/>
                <w:sz w:val="18"/>
                <w:szCs w:val="18"/>
              </w:rPr>
            </w:pPr>
            <w:r>
              <w:rPr>
                <w:rFonts w:hint="eastAsia" w:ascii="宋体" w:hAnsi="宋体"/>
                <w:sz w:val="18"/>
                <w:szCs w:val="18"/>
              </w:rPr>
              <w:t>10）稳定性和反应性；</w:t>
            </w:r>
          </w:p>
          <w:p w14:paraId="17656680">
            <w:pPr>
              <w:adjustRightInd w:val="0"/>
              <w:snapToGrid w:val="0"/>
              <w:ind w:firstLine="360" w:firstLineChars="200"/>
              <w:rPr>
                <w:rFonts w:hint="eastAsia" w:ascii="宋体" w:hAnsi="宋体"/>
                <w:sz w:val="18"/>
                <w:szCs w:val="18"/>
              </w:rPr>
            </w:pPr>
            <w:r>
              <w:rPr>
                <w:rFonts w:hint="eastAsia" w:ascii="宋体" w:hAnsi="宋体"/>
                <w:sz w:val="18"/>
                <w:szCs w:val="18"/>
              </w:rPr>
              <w:t>11）毒理学信息；</w:t>
            </w:r>
          </w:p>
          <w:p w14:paraId="1713A444">
            <w:pPr>
              <w:adjustRightInd w:val="0"/>
              <w:snapToGrid w:val="0"/>
              <w:ind w:firstLine="360" w:firstLineChars="200"/>
              <w:rPr>
                <w:rFonts w:hint="eastAsia" w:ascii="宋体" w:hAnsi="宋体"/>
                <w:sz w:val="18"/>
                <w:szCs w:val="18"/>
              </w:rPr>
            </w:pPr>
            <w:r>
              <w:rPr>
                <w:rFonts w:hint="eastAsia" w:ascii="宋体" w:hAnsi="宋体"/>
                <w:sz w:val="18"/>
                <w:szCs w:val="18"/>
              </w:rPr>
              <w:t>12）生态学信息；</w:t>
            </w:r>
          </w:p>
          <w:p w14:paraId="6EFCE795">
            <w:pPr>
              <w:adjustRightInd w:val="0"/>
              <w:snapToGrid w:val="0"/>
              <w:ind w:firstLine="360" w:firstLineChars="200"/>
              <w:rPr>
                <w:rFonts w:hint="eastAsia" w:ascii="宋体" w:hAnsi="宋体"/>
                <w:sz w:val="18"/>
                <w:szCs w:val="18"/>
              </w:rPr>
            </w:pPr>
            <w:r>
              <w:rPr>
                <w:rFonts w:hint="eastAsia" w:ascii="宋体" w:hAnsi="宋体"/>
                <w:sz w:val="18"/>
                <w:szCs w:val="18"/>
              </w:rPr>
              <w:t>13）废弃处置；</w:t>
            </w:r>
          </w:p>
          <w:p w14:paraId="39AC207C">
            <w:pPr>
              <w:adjustRightInd w:val="0"/>
              <w:snapToGrid w:val="0"/>
              <w:ind w:firstLine="360" w:firstLineChars="200"/>
              <w:rPr>
                <w:rFonts w:hint="eastAsia" w:ascii="宋体" w:hAnsi="宋体"/>
                <w:sz w:val="18"/>
                <w:szCs w:val="18"/>
              </w:rPr>
            </w:pPr>
            <w:r>
              <w:rPr>
                <w:rFonts w:hint="eastAsia" w:ascii="宋体" w:hAnsi="宋体"/>
                <w:sz w:val="18"/>
                <w:szCs w:val="18"/>
              </w:rPr>
              <w:t>14）运输信息；</w:t>
            </w:r>
          </w:p>
          <w:p w14:paraId="1C09D9D4">
            <w:pPr>
              <w:adjustRightInd w:val="0"/>
              <w:snapToGrid w:val="0"/>
              <w:ind w:firstLine="360" w:firstLineChars="200"/>
              <w:rPr>
                <w:rFonts w:ascii="宋体" w:hAnsi="宋体"/>
                <w:sz w:val="18"/>
                <w:szCs w:val="18"/>
              </w:rPr>
            </w:pPr>
            <w:r>
              <w:rPr>
                <w:rFonts w:hint="eastAsia" w:ascii="宋体" w:hAnsi="宋体"/>
                <w:sz w:val="18"/>
                <w:szCs w:val="18"/>
              </w:rPr>
              <w:t>15）法规信息；</w:t>
            </w:r>
          </w:p>
          <w:p w14:paraId="681EA3BC">
            <w:pPr>
              <w:adjustRightInd w:val="0"/>
              <w:snapToGrid w:val="0"/>
              <w:ind w:firstLine="360" w:firstLineChars="200"/>
              <w:jc w:val="left"/>
              <w:rPr>
                <w:rFonts w:hint="eastAsia" w:ascii="宋体" w:hAnsi="宋体"/>
                <w:sz w:val="18"/>
                <w:szCs w:val="18"/>
              </w:rPr>
            </w:pPr>
            <w:r>
              <w:rPr>
                <w:rFonts w:hint="eastAsia" w:ascii="宋体" w:hAnsi="宋体"/>
                <w:sz w:val="18"/>
                <w:szCs w:val="18"/>
              </w:rPr>
              <w:t>16）其他信息。</w:t>
            </w:r>
          </w:p>
        </w:tc>
        <w:tc>
          <w:tcPr>
            <w:tcW w:w="710" w:type="dxa"/>
            <w:tcBorders>
              <w:top w:val="single" w:color="auto" w:sz="8" w:space="0"/>
              <w:bottom w:val="single" w:color="auto" w:sz="8" w:space="0"/>
            </w:tcBorders>
            <w:noWrap w:val="0"/>
            <w:vAlign w:val="center"/>
          </w:tcPr>
          <w:p w14:paraId="4C5682F3">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051D7252">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05C58BAE">
            <w:pPr>
              <w:widowControl/>
              <w:tabs>
                <w:tab w:val="center" w:pos="4201"/>
                <w:tab w:val="right" w:leader="dot" w:pos="9298"/>
              </w:tabs>
              <w:autoSpaceDE w:val="0"/>
              <w:autoSpaceDN w:val="0"/>
              <w:adjustRightInd w:val="0"/>
              <w:snapToGrid w:val="0"/>
              <w:ind w:right="33" w:rightChars="16"/>
              <w:jc w:val="center"/>
              <w:rPr>
                <w:rFonts w:hint="eastAsia" w:ascii="宋体" w:hAnsi="宋体" w:eastAsia="宋体"/>
                <w:kern w:val="0"/>
                <w:sz w:val="18"/>
                <w:szCs w:val="18"/>
                <w:lang w:eastAsia="zh-CN"/>
              </w:rPr>
            </w:pPr>
          </w:p>
        </w:tc>
        <w:tc>
          <w:tcPr>
            <w:tcW w:w="2549" w:type="dxa"/>
            <w:tcBorders>
              <w:top w:val="single" w:color="auto" w:sz="8" w:space="0"/>
              <w:bottom w:val="single" w:color="auto" w:sz="8" w:space="0"/>
            </w:tcBorders>
            <w:noWrap w:val="0"/>
            <w:vAlign w:val="center"/>
          </w:tcPr>
          <w:p w14:paraId="355AEA27">
            <w:pPr>
              <w:adjustRightInd w:val="0"/>
              <w:snapToGrid w:val="0"/>
              <w:rPr>
                <w:rFonts w:hint="eastAsia" w:ascii="宋体" w:hAnsi="宋体"/>
                <w:sz w:val="18"/>
                <w:szCs w:val="18"/>
              </w:rPr>
            </w:pPr>
          </w:p>
        </w:tc>
        <w:tc>
          <w:tcPr>
            <w:tcW w:w="709" w:type="dxa"/>
            <w:tcBorders>
              <w:top w:val="single" w:color="auto" w:sz="8" w:space="0"/>
              <w:bottom w:val="single" w:color="auto" w:sz="8" w:space="0"/>
            </w:tcBorders>
            <w:noWrap w:val="0"/>
            <w:vAlign w:val="center"/>
          </w:tcPr>
          <w:p w14:paraId="72F47025">
            <w:pPr>
              <w:adjustRightInd w:val="0"/>
              <w:snapToGrid w:val="0"/>
              <w:jc w:val="center"/>
              <w:rPr>
                <w:rFonts w:ascii="宋体" w:hAnsi="宋体"/>
                <w:sz w:val="18"/>
                <w:szCs w:val="18"/>
              </w:rPr>
            </w:pPr>
          </w:p>
        </w:tc>
        <w:tc>
          <w:tcPr>
            <w:tcW w:w="2027" w:type="dxa"/>
            <w:tcBorders>
              <w:top w:val="single" w:color="auto" w:sz="8" w:space="0"/>
              <w:bottom w:val="single" w:color="auto" w:sz="8" w:space="0"/>
            </w:tcBorders>
            <w:noWrap w:val="0"/>
            <w:vAlign w:val="center"/>
          </w:tcPr>
          <w:p w14:paraId="3E4E429C">
            <w:pPr>
              <w:adjustRightInd w:val="0"/>
              <w:snapToGrid w:val="0"/>
              <w:jc w:val="center"/>
              <w:rPr>
                <w:rFonts w:ascii="宋体" w:hAnsi="宋体"/>
                <w:bCs/>
                <w:sz w:val="18"/>
                <w:szCs w:val="18"/>
              </w:rPr>
            </w:pPr>
          </w:p>
        </w:tc>
        <w:tc>
          <w:tcPr>
            <w:tcW w:w="1026" w:type="dxa"/>
            <w:tcBorders>
              <w:top w:val="single" w:color="auto" w:sz="8" w:space="0"/>
              <w:bottom w:val="single" w:color="auto" w:sz="8" w:space="0"/>
            </w:tcBorders>
            <w:noWrap w:val="0"/>
            <w:vAlign w:val="center"/>
          </w:tcPr>
          <w:p w14:paraId="73C37076">
            <w:pPr>
              <w:adjustRightInd w:val="0"/>
              <w:snapToGrid w:val="0"/>
              <w:jc w:val="center"/>
              <w:rPr>
                <w:rFonts w:ascii="宋体" w:hAnsi="宋体"/>
                <w:bCs/>
                <w:sz w:val="18"/>
                <w:szCs w:val="18"/>
              </w:rPr>
            </w:pPr>
          </w:p>
        </w:tc>
      </w:tr>
      <w:tr w14:paraId="29174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5927FFCD">
            <w:pPr>
              <w:adjustRightInd w:val="0"/>
              <w:snapToGrid w:val="0"/>
              <w:jc w:val="center"/>
              <w:rPr>
                <w:rFonts w:hint="eastAsia" w:ascii="宋体" w:hAnsi="宋体"/>
                <w:bCs/>
                <w:sz w:val="18"/>
                <w:szCs w:val="18"/>
              </w:rPr>
            </w:pPr>
            <w:r>
              <w:rPr>
                <w:rFonts w:hint="eastAsia" w:ascii="宋体" w:hAnsi="宋体"/>
                <w:bCs/>
                <w:sz w:val="18"/>
                <w:szCs w:val="18"/>
              </w:rPr>
              <w:t>8.1.7</w:t>
            </w:r>
          </w:p>
        </w:tc>
        <w:tc>
          <w:tcPr>
            <w:tcW w:w="5955" w:type="dxa"/>
            <w:tcBorders>
              <w:top w:val="single" w:color="auto" w:sz="8" w:space="0"/>
              <w:bottom w:val="single" w:color="auto" w:sz="8" w:space="0"/>
            </w:tcBorders>
            <w:noWrap w:val="0"/>
            <w:vAlign w:val="center"/>
          </w:tcPr>
          <w:p w14:paraId="67E600EC">
            <w:pPr>
              <w:snapToGrid w:val="0"/>
              <w:rPr>
                <w:rFonts w:hint="eastAsia" w:ascii="宋体" w:hAnsi="宋体"/>
                <w:sz w:val="18"/>
                <w:szCs w:val="18"/>
              </w:rPr>
            </w:pPr>
            <w:r>
              <w:rPr>
                <w:rFonts w:hint="eastAsia" w:ascii="宋体" w:hAnsi="宋体"/>
                <w:sz w:val="18"/>
                <w:szCs w:val="18"/>
              </w:rPr>
              <w:t>应按危险化学品的危险性质分区、分类、分库（或分柜）存放，禁忌类危险化学品不应混合存放。</w:t>
            </w:r>
          </w:p>
        </w:tc>
        <w:tc>
          <w:tcPr>
            <w:tcW w:w="710" w:type="dxa"/>
            <w:tcBorders>
              <w:top w:val="single" w:color="auto" w:sz="8" w:space="0"/>
              <w:bottom w:val="single" w:color="auto" w:sz="8" w:space="0"/>
            </w:tcBorders>
            <w:noWrap w:val="0"/>
            <w:vAlign w:val="center"/>
          </w:tcPr>
          <w:p w14:paraId="2BE1C916">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2F5EA173">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5F366FD5">
            <w:pPr>
              <w:widowControl/>
              <w:tabs>
                <w:tab w:val="center" w:pos="4201"/>
                <w:tab w:val="right" w:leader="dot" w:pos="9298"/>
              </w:tabs>
              <w:autoSpaceDE w:val="0"/>
              <w:autoSpaceDN w:val="0"/>
              <w:adjustRightInd w:val="0"/>
              <w:snapToGrid w:val="0"/>
              <w:ind w:right="33" w:rightChars="16"/>
              <w:jc w:val="center"/>
              <w:rPr>
                <w:rFonts w:hint="eastAsia" w:ascii="宋体" w:hAnsi="宋体" w:eastAsia="宋体"/>
                <w:kern w:val="0"/>
                <w:sz w:val="18"/>
                <w:szCs w:val="18"/>
                <w:lang w:eastAsia="zh-CN"/>
              </w:rPr>
            </w:pPr>
            <w:r>
              <w:rPr>
                <w:rFonts w:hint="eastAsia" w:ascii="宋体" w:hAnsi="宋体"/>
                <w:kern w:val="0"/>
                <w:sz w:val="18"/>
                <w:szCs w:val="18"/>
                <w:lang w:val="en-US" w:eastAsia="zh-CN"/>
              </w:rPr>
              <w:t>2</w:t>
            </w:r>
          </w:p>
        </w:tc>
        <w:tc>
          <w:tcPr>
            <w:tcW w:w="2549" w:type="dxa"/>
            <w:tcBorders>
              <w:top w:val="single" w:color="auto" w:sz="8" w:space="0"/>
              <w:bottom w:val="single" w:color="auto" w:sz="8" w:space="0"/>
            </w:tcBorders>
            <w:noWrap w:val="0"/>
            <w:vAlign w:val="center"/>
          </w:tcPr>
          <w:p w14:paraId="5D22F370">
            <w:pPr>
              <w:adjustRightInd w:val="0"/>
              <w:snapToGrid w:val="0"/>
              <w:jc w:val="left"/>
              <w:rPr>
                <w:rFonts w:hint="eastAsia" w:ascii="宋体" w:hAnsi="宋体"/>
                <w:sz w:val="18"/>
                <w:szCs w:val="18"/>
              </w:rPr>
            </w:pPr>
            <w:r>
              <w:rPr>
                <w:rFonts w:hint="eastAsia" w:ascii="宋体" w:hAnsi="宋体"/>
                <w:sz w:val="18"/>
                <w:szCs w:val="18"/>
              </w:rPr>
              <w:t>一处不符合，不得分。</w:t>
            </w:r>
          </w:p>
        </w:tc>
        <w:tc>
          <w:tcPr>
            <w:tcW w:w="709" w:type="dxa"/>
            <w:tcBorders>
              <w:top w:val="single" w:color="auto" w:sz="8" w:space="0"/>
              <w:bottom w:val="single" w:color="auto" w:sz="8" w:space="0"/>
            </w:tcBorders>
            <w:noWrap w:val="0"/>
            <w:vAlign w:val="center"/>
          </w:tcPr>
          <w:p w14:paraId="0320EDC2">
            <w:pPr>
              <w:adjustRightInd w:val="0"/>
              <w:snapToGrid w:val="0"/>
              <w:jc w:val="center"/>
              <w:rPr>
                <w:rFonts w:ascii="宋体" w:hAnsi="宋体"/>
                <w:bCs/>
                <w:sz w:val="18"/>
                <w:szCs w:val="18"/>
              </w:rPr>
            </w:pPr>
          </w:p>
        </w:tc>
        <w:tc>
          <w:tcPr>
            <w:tcW w:w="2027" w:type="dxa"/>
            <w:tcBorders>
              <w:top w:val="single" w:color="auto" w:sz="8" w:space="0"/>
              <w:bottom w:val="single" w:color="auto" w:sz="8" w:space="0"/>
            </w:tcBorders>
            <w:noWrap w:val="0"/>
            <w:vAlign w:val="center"/>
          </w:tcPr>
          <w:p w14:paraId="011AA3DF">
            <w:pPr>
              <w:adjustRightInd w:val="0"/>
              <w:snapToGrid w:val="0"/>
              <w:jc w:val="center"/>
              <w:rPr>
                <w:rFonts w:ascii="宋体" w:hAnsi="宋体"/>
                <w:bCs/>
                <w:sz w:val="18"/>
                <w:szCs w:val="18"/>
              </w:rPr>
            </w:pPr>
          </w:p>
        </w:tc>
        <w:tc>
          <w:tcPr>
            <w:tcW w:w="1026" w:type="dxa"/>
            <w:tcBorders>
              <w:top w:val="single" w:color="auto" w:sz="8" w:space="0"/>
              <w:bottom w:val="single" w:color="auto" w:sz="8" w:space="0"/>
            </w:tcBorders>
            <w:noWrap w:val="0"/>
            <w:vAlign w:val="center"/>
          </w:tcPr>
          <w:p w14:paraId="573E23A8">
            <w:pPr>
              <w:adjustRightInd w:val="0"/>
              <w:snapToGrid w:val="0"/>
              <w:jc w:val="center"/>
              <w:rPr>
                <w:rFonts w:hint="eastAsia" w:ascii="宋体" w:hAnsi="宋体"/>
                <w:bCs/>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055968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55ED753C">
            <w:pPr>
              <w:adjustRightInd w:val="0"/>
              <w:snapToGrid w:val="0"/>
              <w:jc w:val="center"/>
              <w:rPr>
                <w:rFonts w:hint="eastAsia" w:ascii="宋体" w:hAnsi="宋体"/>
                <w:bCs/>
                <w:sz w:val="18"/>
                <w:szCs w:val="18"/>
              </w:rPr>
            </w:pPr>
            <w:r>
              <w:rPr>
                <w:rFonts w:hint="eastAsia" w:ascii="宋体" w:hAnsi="宋体"/>
                <w:bCs/>
                <w:sz w:val="18"/>
                <w:szCs w:val="18"/>
              </w:rPr>
              <w:t>8.1.8</w:t>
            </w:r>
          </w:p>
        </w:tc>
        <w:tc>
          <w:tcPr>
            <w:tcW w:w="5955" w:type="dxa"/>
            <w:tcBorders>
              <w:top w:val="single" w:color="auto" w:sz="8" w:space="0"/>
              <w:bottom w:val="single" w:color="auto" w:sz="8" w:space="0"/>
            </w:tcBorders>
            <w:noWrap w:val="0"/>
            <w:vAlign w:val="center"/>
          </w:tcPr>
          <w:p w14:paraId="6CCA7CC2">
            <w:pPr>
              <w:adjustRightInd w:val="0"/>
              <w:snapToGrid w:val="0"/>
              <w:jc w:val="left"/>
              <w:rPr>
                <w:rFonts w:hint="eastAsia" w:ascii="宋体" w:hAnsi="宋体"/>
                <w:sz w:val="18"/>
                <w:szCs w:val="18"/>
              </w:rPr>
            </w:pPr>
            <w:r>
              <w:rPr>
                <w:rFonts w:hint="eastAsia" w:ascii="宋体" w:hAnsi="宋体"/>
                <w:sz w:val="18"/>
                <w:szCs w:val="18"/>
              </w:rPr>
              <w:t>使用、储存危险化学品的场所应配备相应消防器材。消防器材应便于取用，应有明显的标识，周围不应放杂物，并不应挪作他用。消防器材应有专人负责，定期检查。</w:t>
            </w:r>
          </w:p>
        </w:tc>
        <w:tc>
          <w:tcPr>
            <w:tcW w:w="710" w:type="dxa"/>
            <w:tcBorders>
              <w:top w:val="single" w:color="auto" w:sz="8" w:space="0"/>
              <w:bottom w:val="single" w:color="auto" w:sz="8" w:space="0"/>
            </w:tcBorders>
            <w:noWrap w:val="0"/>
            <w:vAlign w:val="center"/>
          </w:tcPr>
          <w:p w14:paraId="2267A17C">
            <w:pPr>
              <w:adjustRightInd w:val="0"/>
              <w:snapToGrid w:val="0"/>
              <w:rPr>
                <w:rFonts w:ascii="宋体" w:hAnsi="宋体"/>
                <w:bCs/>
                <w:sz w:val="18"/>
                <w:szCs w:val="18"/>
              </w:rPr>
            </w:pPr>
          </w:p>
        </w:tc>
        <w:tc>
          <w:tcPr>
            <w:tcW w:w="709" w:type="dxa"/>
            <w:tcBorders>
              <w:top w:val="single" w:color="auto" w:sz="8" w:space="0"/>
              <w:bottom w:val="single" w:color="auto" w:sz="8" w:space="0"/>
            </w:tcBorders>
            <w:noWrap w:val="0"/>
            <w:vAlign w:val="center"/>
          </w:tcPr>
          <w:p w14:paraId="65FA1419">
            <w:pPr>
              <w:adjustRightInd w:val="0"/>
              <w:snapToGrid w:val="0"/>
              <w:rPr>
                <w:rFonts w:ascii="宋体" w:hAnsi="宋体"/>
                <w:bCs/>
                <w:sz w:val="18"/>
                <w:szCs w:val="18"/>
              </w:rPr>
            </w:pPr>
          </w:p>
        </w:tc>
        <w:tc>
          <w:tcPr>
            <w:tcW w:w="709" w:type="dxa"/>
            <w:tcBorders>
              <w:top w:val="single" w:color="auto" w:sz="8" w:space="0"/>
              <w:bottom w:val="single" w:color="auto" w:sz="8" w:space="0"/>
            </w:tcBorders>
            <w:noWrap w:val="0"/>
            <w:vAlign w:val="center"/>
          </w:tcPr>
          <w:p w14:paraId="2C7AC634">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2549" w:type="dxa"/>
            <w:tcBorders>
              <w:top w:val="single" w:color="auto" w:sz="8" w:space="0"/>
              <w:bottom w:val="single" w:color="auto" w:sz="8" w:space="0"/>
            </w:tcBorders>
            <w:noWrap w:val="0"/>
            <w:vAlign w:val="center"/>
          </w:tcPr>
          <w:p w14:paraId="0512417D">
            <w:r>
              <w:rPr>
                <w:rFonts w:hint="eastAsia" w:ascii="宋体" w:hAnsi="宋体"/>
                <w:kern w:val="0"/>
                <w:sz w:val="18"/>
                <w:szCs w:val="18"/>
              </w:rPr>
              <w:t>一处不符合，不得分。</w:t>
            </w:r>
          </w:p>
        </w:tc>
        <w:tc>
          <w:tcPr>
            <w:tcW w:w="709" w:type="dxa"/>
            <w:tcBorders>
              <w:top w:val="single" w:color="auto" w:sz="8" w:space="0"/>
              <w:bottom w:val="single" w:color="auto" w:sz="8" w:space="0"/>
            </w:tcBorders>
            <w:noWrap w:val="0"/>
            <w:vAlign w:val="center"/>
          </w:tcPr>
          <w:p w14:paraId="3E43CE9A">
            <w:pPr>
              <w:adjustRightInd w:val="0"/>
              <w:snapToGrid w:val="0"/>
              <w:rPr>
                <w:rFonts w:ascii="宋体" w:hAnsi="宋体"/>
                <w:bCs/>
                <w:sz w:val="18"/>
                <w:szCs w:val="18"/>
              </w:rPr>
            </w:pPr>
          </w:p>
        </w:tc>
        <w:tc>
          <w:tcPr>
            <w:tcW w:w="2027" w:type="dxa"/>
            <w:tcBorders>
              <w:top w:val="single" w:color="auto" w:sz="8" w:space="0"/>
              <w:bottom w:val="single" w:color="auto" w:sz="8" w:space="0"/>
            </w:tcBorders>
            <w:noWrap w:val="0"/>
            <w:vAlign w:val="center"/>
          </w:tcPr>
          <w:p w14:paraId="43E941E7">
            <w:pPr>
              <w:adjustRightInd w:val="0"/>
              <w:snapToGrid w:val="0"/>
              <w:rPr>
                <w:rFonts w:ascii="宋体" w:hAnsi="宋体"/>
                <w:bCs/>
                <w:sz w:val="18"/>
                <w:szCs w:val="18"/>
              </w:rPr>
            </w:pPr>
          </w:p>
        </w:tc>
        <w:tc>
          <w:tcPr>
            <w:tcW w:w="1026" w:type="dxa"/>
            <w:tcBorders>
              <w:top w:val="single" w:color="auto" w:sz="8" w:space="0"/>
              <w:bottom w:val="single" w:color="auto" w:sz="8" w:space="0"/>
            </w:tcBorders>
            <w:noWrap w:val="0"/>
            <w:vAlign w:val="center"/>
          </w:tcPr>
          <w:p w14:paraId="40F40B3A">
            <w:pPr>
              <w:adjustRightInd w:val="0"/>
              <w:snapToGrid w:val="0"/>
              <w:jc w:val="center"/>
              <w:rPr>
                <w:rFonts w:hint="eastAsia" w:ascii="宋体" w:hAnsi="宋体" w:cs="Sim Sun"/>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42490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59" w:type="dxa"/>
            <w:tcBorders>
              <w:top w:val="single" w:color="auto" w:sz="8" w:space="0"/>
            </w:tcBorders>
            <w:noWrap w:val="0"/>
            <w:vAlign w:val="center"/>
          </w:tcPr>
          <w:p w14:paraId="4DF3B9A4">
            <w:pPr>
              <w:adjustRightInd w:val="0"/>
              <w:snapToGrid w:val="0"/>
              <w:jc w:val="center"/>
              <w:rPr>
                <w:rFonts w:hint="eastAsia" w:ascii="宋体" w:hAnsi="宋体"/>
                <w:bCs/>
                <w:sz w:val="18"/>
                <w:szCs w:val="18"/>
              </w:rPr>
            </w:pPr>
            <w:r>
              <w:rPr>
                <w:rFonts w:hint="eastAsia" w:ascii="宋体" w:hAnsi="宋体"/>
                <w:bCs/>
                <w:sz w:val="18"/>
                <w:szCs w:val="18"/>
              </w:rPr>
              <w:t>8.1.9</w:t>
            </w:r>
          </w:p>
        </w:tc>
        <w:tc>
          <w:tcPr>
            <w:tcW w:w="5955" w:type="dxa"/>
            <w:tcBorders>
              <w:top w:val="single" w:color="auto" w:sz="8" w:space="0"/>
            </w:tcBorders>
            <w:noWrap w:val="0"/>
            <w:vAlign w:val="center"/>
          </w:tcPr>
          <w:p w14:paraId="46688A7A">
            <w:pPr>
              <w:adjustRightInd w:val="0"/>
              <w:snapToGrid w:val="0"/>
              <w:rPr>
                <w:rFonts w:ascii="宋体" w:hAnsi="宋体"/>
                <w:bCs/>
                <w:sz w:val="18"/>
                <w:szCs w:val="18"/>
              </w:rPr>
            </w:pPr>
            <w:r>
              <w:rPr>
                <w:rFonts w:hint="eastAsia" w:ascii="宋体" w:hAnsi="宋体"/>
                <w:sz w:val="18"/>
                <w:szCs w:val="18"/>
              </w:rPr>
              <w:t>应根据危险化学品的种类和危险特性，在作业场所设置相应的监测、监控、通风、调温、防火、灭火、防爆、防毒、防潮、防雷、防静电、防泄漏以及防护围堤或者隔离操作等安全设施、设备，并应对安全设施、设备进行经常性维护、保养，定期检测。</w:t>
            </w:r>
          </w:p>
        </w:tc>
        <w:tc>
          <w:tcPr>
            <w:tcW w:w="710" w:type="dxa"/>
            <w:tcBorders>
              <w:top w:val="single" w:color="auto" w:sz="8" w:space="0"/>
            </w:tcBorders>
            <w:noWrap w:val="0"/>
            <w:vAlign w:val="center"/>
          </w:tcPr>
          <w:p w14:paraId="04447119">
            <w:pPr>
              <w:adjustRightInd w:val="0"/>
              <w:snapToGrid w:val="0"/>
              <w:jc w:val="center"/>
              <w:rPr>
                <w:rFonts w:ascii="宋体" w:hAnsi="宋体"/>
                <w:bCs/>
                <w:sz w:val="18"/>
                <w:szCs w:val="18"/>
              </w:rPr>
            </w:pPr>
          </w:p>
        </w:tc>
        <w:tc>
          <w:tcPr>
            <w:tcW w:w="709" w:type="dxa"/>
            <w:tcBorders>
              <w:top w:val="single" w:color="auto" w:sz="8" w:space="0"/>
            </w:tcBorders>
            <w:noWrap w:val="0"/>
            <w:vAlign w:val="center"/>
          </w:tcPr>
          <w:p w14:paraId="420E8EBF">
            <w:pPr>
              <w:adjustRightInd w:val="0"/>
              <w:snapToGrid w:val="0"/>
              <w:jc w:val="center"/>
              <w:rPr>
                <w:rFonts w:ascii="宋体" w:hAnsi="宋体"/>
                <w:bCs/>
                <w:sz w:val="18"/>
                <w:szCs w:val="18"/>
              </w:rPr>
            </w:pPr>
          </w:p>
        </w:tc>
        <w:tc>
          <w:tcPr>
            <w:tcW w:w="709" w:type="dxa"/>
            <w:tcBorders>
              <w:top w:val="single" w:color="auto" w:sz="8" w:space="0"/>
            </w:tcBorders>
            <w:noWrap w:val="0"/>
            <w:vAlign w:val="center"/>
          </w:tcPr>
          <w:p w14:paraId="74F71A87">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2549" w:type="dxa"/>
            <w:tcBorders>
              <w:top w:val="single" w:color="auto" w:sz="8" w:space="0"/>
            </w:tcBorders>
            <w:noWrap w:val="0"/>
            <w:vAlign w:val="center"/>
          </w:tcPr>
          <w:p w14:paraId="16456D6A">
            <w:pPr>
              <w:adjustRightInd w:val="0"/>
              <w:snapToGrid w:val="0"/>
              <w:jc w:val="left"/>
              <w:rPr>
                <w:rFonts w:ascii="宋体" w:hAnsi="宋体"/>
                <w:sz w:val="18"/>
                <w:szCs w:val="18"/>
              </w:rPr>
            </w:pPr>
            <w:r>
              <w:rPr>
                <w:rFonts w:hint="eastAsia" w:ascii="宋体" w:hAnsi="宋体"/>
                <w:kern w:val="0"/>
                <w:sz w:val="18"/>
                <w:szCs w:val="18"/>
              </w:rPr>
              <w:t>一处不符合，不得分。</w:t>
            </w:r>
          </w:p>
        </w:tc>
        <w:tc>
          <w:tcPr>
            <w:tcW w:w="709" w:type="dxa"/>
            <w:tcBorders>
              <w:top w:val="single" w:color="auto" w:sz="8" w:space="0"/>
            </w:tcBorders>
            <w:noWrap w:val="0"/>
            <w:vAlign w:val="center"/>
          </w:tcPr>
          <w:p w14:paraId="04A1587D">
            <w:pPr>
              <w:adjustRightInd w:val="0"/>
              <w:snapToGrid w:val="0"/>
              <w:jc w:val="center"/>
              <w:rPr>
                <w:rFonts w:ascii="宋体" w:hAnsi="宋体"/>
                <w:bCs/>
                <w:sz w:val="18"/>
                <w:szCs w:val="18"/>
              </w:rPr>
            </w:pPr>
          </w:p>
        </w:tc>
        <w:tc>
          <w:tcPr>
            <w:tcW w:w="2027" w:type="dxa"/>
            <w:tcBorders>
              <w:top w:val="single" w:color="auto" w:sz="8" w:space="0"/>
            </w:tcBorders>
            <w:noWrap w:val="0"/>
            <w:vAlign w:val="center"/>
          </w:tcPr>
          <w:p w14:paraId="5891BA80">
            <w:pPr>
              <w:adjustRightInd w:val="0"/>
              <w:snapToGrid w:val="0"/>
              <w:jc w:val="center"/>
              <w:rPr>
                <w:rFonts w:ascii="宋体" w:hAnsi="宋体"/>
                <w:bCs/>
                <w:sz w:val="18"/>
                <w:szCs w:val="18"/>
              </w:rPr>
            </w:pPr>
          </w:p>
        </w:tc>
        <w:tc>
          <w:tcPr>
            <w:tcW w:w="1026" w:type="dxa"/>
            <w:tcBorders>
              <w:top w:val="single" w:color="auto" w:sz="8" w:space="0"/>
            </w:tcBorders>
            <w:noWrap w:val="0"/>
            <w:vAlign w:val="center"/>
          </w:tcPr>
          <w:p w14:paraId="2D441162">
            <w:pPr>
              <w:adjustRightInd w:val="0"/>
              <w:snapToGrid w:val="0"/>
              <w:jc w:val="center"/>
              <w:rPr>
                <w:rFonts w:hint="eastAsia" w:ascii="宋体" w:hAnsi="宋体"/>
                <w:bCs/>
                <w:sz w:val="18"/>
                <w:szCs w:val="18"/>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r w14:paraId="54E6E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59" w:type="dxa"/>
            <w:tcBorders>
              <w:top w:val="single" w:color="auto" w:sz="8" w:space="0"/>
              <w:bottom w:val="single" w:color="auto" w:sz="8" w:space="0"/>
            </w:tcBorders>
            <w:noWrap w:val="0"/>
            <w:vAlign w:val="center"/>
          </w:tcPr>
          <w:p w14:paraId="231AFA3F">
            <w:pPr>
              <w:adjustRightInd w:val="0"/>
              <w:snapToGrid w:val="0"/>
              <w:jc w:val="center"/>
              <w:rPr>
                <w:rFonts w:hint="eastAsia" w:ascii="宋体" w:hAnsi="宋体"/>
                <w:bCs/>
                <w:sz w:val="18"/>
                <w:szCs w:val="18"/>
              </w:rPr>
            </w:pPr>
            <w:r>
              <w:rPr>
                <w:rFonts w:hint="eastAsia" w:ascii="宋体" w:hAnsi="宋体"/>
                <w:bCs/>
                <w:sz w:val="18"/>
                <w:szCs w:val="18"/>
                <w:lang w:val="en-US" w:eastAsia="zh-CN"/>
              </w:rPr>
              <w:t>8.1.9</w:t>
            </w:r>
          </w:p>
        </w:tc>
        <w:tc>
          <w:tcPr>
            <w:tcW w:w="5955" w:type="dxa"/>
            <w:tcBorders>
              <w:top w:val="single" w:color="auto" w:sz="8" w:space="0"/>
              <w:bottom w:val="single" w:color="auto" w:sz="8" w:space="0"/>
            </w:tcBorders>
            <w:noWrap w:val="0"/>
            <w:vAlign w:val="center"/>
          </w:tcPr>
          <w:p w14:paraId="2C516B21">
            <w:pPr>
              <w:adjustRightInd w:val="0"/>
              <w:snapToGrid w:val="0"/>
              <w:jc w:val="left"/>
              <w:rPr>
                <w:rFonts w:hint="default" w:ascii="宋体" w:hAnsi="宋体" w:eastAsia="宋体"/>
                <w:sz w:val="18"/>
                <w:szCs w:val="18"/>
                <w:lang w:val="en-US" w:eastAsia="zh-CN"/>
              </w:rPr>
            </w:pPr>
            <w:r>
              <w:rPr>
                <w:rFonts w:hint="eastAsia" w:ascii="宋体" w:hAnsi="宋体"/>
                <w:sz w:val="18"/>
                <w:szCs w:val="18"/>
              </w:rPr>
              <w:t>危险化学品的专用储存室</w:t>
            </w:r>
            <w:r>
              <w:rPr>
                <w:rFonts w:hint="eastAsia" w:ascii="宋体" w:hAnsi="宋体"/>
                <w:sz w:val="18"/>
                <w:szCs w:val="18"/>
                <w:lang w:val="en-US" w:eastAsia="zh-CN"/>
              </w:rPr>
              <w:t>应符合下列要求：</w:t>
            </w:r>
          </w:p>
          <w:p w14:paraId="681E9A3A">
            <w:pPr>
              <w:adjustRightInd w:val="0"/>
              <w:snapToGrid w:val="0"/>
              <w:jc w:val="left"/>
              <w:rPr>
                <w:rFonts w:hint="eastAsia" w:ascii="宋体" w:hAnsi="宋体" w:eastAsia="宋体"/>
                <w:sz w:val="18"/>
                <w:szCs w:val="18"/>
                <w:lang w:eastAsia="zh-CN"/>
              </w:rPr>
            </w:pPr>
            <w:r>
              <w:rPr>
                <w:rFonts w:hint="eastAsia" w:ascii="宋体" w:hAnsi="宋体"/>
                <w:sz w:val="18"/>
                <w:szCs w:val="18"/>
              </w:rPr>
              <w:t>★a）储存危险化学品的专用储存室耐火等级不应低于二级；专用储存室安全出口不应少于2个，但当建筑面积不大于100 m</w:t>
            </w:r>
            <w:r>
              <w:rPr>
                <w:rFonts w:hint="eastAsia" w:ascii="宋体" w:hAnsi="宋体"/>
                <w:sz w:val="18"/>
                <w:szCs w:val="18"/>
                <w:vertAlign w:val="superscript"/>
              </w:rPr>
              <w:t>2</w:t>
            </w:r>
            <w:r>
              <w:rPr>
                <w:rFonts w:hint="eastAsia" w:ascii="宋体" w:hAnsi="宋体"/>
                <w:sz w:val="18"/>
                <w:szCs w:val="18"/>
              </w:rPr>
              <w:t>时，可设置1个安全出口。安全出口的门应向疏散方向开启</w:t>
            </w:r>
            <w:r>
              <w:rPr>
                <w:rFonts w:hint="eastAsia" w:ascii="宋体" w:hAnsi="宋体"/>
                <w:sz w:val="18"/>
                <w:szCs w:val="18"/>
                <w:lang w:eastAsia="zh-CN"/>
              </w:rPr>
              <w:t>；</w:t>
            </w:r>
          </w:p>
          <w:p w14:paraId="2809541E">
            <w:pPr>
              <w:adjustRightInd w:val="0"/>
              <w:snapToGrid w:val="0"/>
              <w:ind w:firstLine="0" w:firstLineChars="0"/>
              <w:jc w:val="left"/>
              <w:rPr>
                <w:rFonts w:hint="eastAsia" w:ascii="宋体" w:hAnsi="宋体"/>
                <w:sz w:val="18"/>
                <w:szCs w:val="18"/>
              </w:rPr>
            </w:pPr>
            <w:r>
              <w:rPr>
                <w:rFonts w:hint="eastAsia" w:ascii="宋体" w:hAnsi="宋体"/>
                <w:sz w:val="18"/>
                <w:szCs w:val="18"/>
              </w:rPr>
              <w:t>★</w:t>
            </w:r>
            <w:r>
              <w:rPr>
                <w:rFonts w:hint="eastAsia" w:ascii="宋体" w:hAnsi="宋体"/>
                <w:sz w:val="18"/>
                <w:szCs w:val="18"/>
                <w:lang w:val="en-US" w:eastAsia="zh-CN"/>
              </w:rPr>
              <w:t>b</w:t>
            </w:r>
            <w:r>
              <w:rPr>
                <w:rFonts w:hint="eastAsia" w:ascii="宋体" w:hAnsi="宋体"/>
                <w:sz w:val="18"/>
                <w:szCs w:val="18"/>
              </w:rPr>
              <w:t>）专用储存室应远离食堂、活动室等人员较为密集的建筑。专用储存室如设在建筑物内，应选择靠外墙、人员较少的位置，并设置防火墙、泄</w:t>
            </w:r>
          </w:p>
        </w:tc>
        <w:tc>
          <w:tcPr>
            <w:tcW w:w="710" w:type="dxa"/>
            <w:tcBorders>
              <w:top w:val="single" w:color="auto" w:sz="8" w:space="0"/>
              <w:bottom w:val="single" w:color="auto" w:sz="8" w:space="0"/>
            </w:tcBorders>
            <w:noWrap w:val="0"/>
            <w:vAlign w:val="center"/>
          </w:tcPr>
          <w:p w14:paraId="2D9B4F75">
            <w:pPr>
              <w:adjustRightInd w:val="0"/>
              <w:snapToGrid w:val="0"/>
              <w:jc w:val="center"/>
              <w:rPr>
                <w:rFonts w:ascii="宋体" w:hAnsi="宋体"/>
                <w:bCs/>
                <w:sz w:val="18"/>
                <w:szCs w:val="18"/>
              </w:rPr>
            </w:pPr>
          </w:p>
        </w:tc>
        <w:tc>
          <w:tcPr>
            <w:tcW w:w="709" w:type="dxa"/>
            <w:tcBorders>
              <w:top w:val="single" w:color="auto" w:sz="8" w:space="0"/>
              <w:bottom w:val="single" w:color="auto" w:sz="8" w:space="0"/>
            </w:tcBorders>
            <w:noWrap w:val="0"/>
            <w:vAlign w:val="center"/>
          </w:tcPr>
          <w:p w14:paraId="6EC82EC5">
            <w:pPr>
              <w:adjustRightInd w:val="0"/>
              <w:snapToGrid w:val="0"/>
              <w:jc w:val="center"/>
              <w:rPr>
                <w:rFonts w:hint="eastAsia" w:ascii="宋体" w:hAnsi="宋体" w:eastAsia="宋体"/>
                <w:bCs/>
                <w:sz w:val="18"/>
                <w:szCs w:val="18"/>
                <w:lang w:eastAsia="zh-CN"/>
              </w:rPr>
            </w:pPr>
          </w:p>
        </w:tc>
        <w:tc>
          <w:tcPr>
            <w:tcW w:w="709" w:type="dxa"/>
            <w:tcBorders>
              <w:top w:val="single" w:color="auto" w:sz="8" w:space="0"/>
              <w:bottom w:val="single" w:color="auto" w:sz="8" w:space="0"/>
            </w:tcBorders>
            <w:shd w:val="clear" w:color="auto" w:fill="auto"/>
            <w:noWrap w:val="0"/>
            <w:vAlign w:val="center"/>
          </w:tcPr>
          <w:p w14:paraId="5C7B6023">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bCs/>
                <w:sz w:val="18"/>
                <w:szCs w:val="18"/>
                <w:lang w:val="en-US" w:eastAsia="zh-CN"/>
              </w:rPr>
              <w:t>10</w:t>
            </w:r>
          </w:p>
        </w:tc>
        <w:tc>
          <w:tcPr>
            <w:tcW w:w="2549" w:type="dxa"/>
            <w:tcBorders>
              <w:top w:val="single" w:color="auto" w:sz="8" w:space="0"/>
              <w:bottom w:val="single" w:color="auto" w:sz="8" w:space="0"/>
            </w:tcBorders>
            <w:shd w:val="clear" w:color="auto" w:fill="auto"/>
            <w:noWrap w:val="0"/>
            <w:vAlign w:val="center"/>
          </w:tcPr>
          <w:p w14:paraId="4320A39D">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kern w:val="0"/>
                <w:sz w:val="18"/>
                <w:szCs w:val="18"/>
              </w:rPr>
              <w:t>一处不符合，不得分。</w:t>
            </w:r>
          </w:p>
        </w:tc>
        <w:tc>
          <w:tcPr>
            <w:tcW w:w="709" w:type="dxa"/>
            <w:tcBorders>
              <w:top w:val="single" w:color="auto" w:sz="8" w:space="0"/>
              <w:bottom w:val="single" w:color="auto" w:sz="8" w:space="0"/>
            </w:tcBorders>
            <w:shd w:val="clear" w:color="auto" w:fill="auto"/>
            <w:noWrap w:val="0"/>
            <w:vAlign w:val="center"/>
          </w:tcPr>
          <w:p w14:paraId="6A1C7E07">
            <w:pPr>
              <w:adjustRightInd w:val="0"/>
              <w:snapToGrid w:val="0"/>
              <w:jc w:val="center"/>
              <w:rPr>
                <w:rFonts w:ascii="宋体" w:hAnsi="宋体" w:eastAsia="宋体" w:cs="Times New Roman"/>
                <w:bCs/>
                <w:kern w:val="2"/>
                <w:sz w:val="18"/>
                <w:szCs w:val="18"/>
                <w:lang w:val="en-US" w:eastAsia="zh-CN" w:bidi="ar-SA"/>
              </w:rPr>
            </w:pPr>
          </w:p>
        </w:tc>
        <w:tc>
          <w:tcPr>
            <w:tcW w:w="2027" w:type="dxa"/>
            <w:tcBorders>
              <w:top w:val="single" w:color="auto" w:sz="8" w:space="0"/>
              <w:bottom w:val="single" w:color="auto" w:sz="8" w:space="0"/>
            </w:tcBorders>
            <w:shd w:val="clear" w:color="auto" w:fill="auto"/>
            <w:noWrap w:val="0"/>
            <w:vAlign w:val="center"/>
          </w:tcPr>
          <w:p w14:paraId="74A26F1F">
            <w:pPr>
              <w:adjustRightInd w:val="0"/>
              <w:snapToGrid w:val="0"/>
              <w:jc w:val="center"/>
              <w:rPr>
                <w:rFonts w:ascii="宋体" w:hAnsi="宋体" w:eastAsia="宋体" w:cs="Times New Roman"/>
                <w:bCs/>
                <w:kern w:val="2"/>
                <w:sz w:val="18"/>
                <w:szCs w:val="18"/>
                <w:lang w:val="en-US" w:eastAsia="zh-CN" w:bidi="ar-SA"/>
              </w:rPr>
            </w:pPr>
          </w:p>
        </w:tc>
        <w:tc>
          <w:tcPr>
            <w:tcW w:w="1026" w:type="dxa"/>
            <w:tcBorders>
              <w:top w:val="single" w:color="auto" w:sz="8" w:space="0"/>
              <w:bottom w:val="single" w:color="auto" w:sz="8" w:space="0"/>
            </w:tcBorders>
            <w:shd w:val="clear" w:color="auto" w:fill="auto"/>
            <w:noWrap w:val="0"/>
            <w:vAlign w:val="center"/>
          </w:tcPr>
          <w:p w14:paraId="20D5B181">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cs="Sim Sun"/>
                <w:sz w:val="18"/>
                <w:szCs w:val="18"/>
                <w:lang w:eastAsia="zh-CN"/>
              </w:rPr>
              <w:t>4.8</w:t>
            </w:r>
            <w:r>
              <w:rPr>
                <w:rFonts w:ascii="宋体" w:hAnsi="宋体" w:cs="Sim Sun"/>
                <w:sz w:val="18"/>
                <w:szCs w:val="18"/>
              </w:rPr>
              <w:t>.</w:t>
            </w:r>
            <w:r>
              <w:rPr>
                <w:rFonts w:hint="eastAsia" w:ascii="宋体" w:hAnsi="宋体" w:cs="Sim Sun"/>
                <w:sz w:val="18"/>
                <w:szCs w:val="18"/>
              </w:rPr>
              <w:t>1</w:t>
            </w:r>
          </w:p>
        </w:tc>
      </w:tr>
    </w:tbl>
    <w:p w14:paraId="50C69F01">
      <w:pPr>
        <w:pStyle w:val="168"/>
        <w:numPr>
          <w:ilvl w:val="1"/>
          <w:numId w:val="0"/>
        </w:numPr>
        <w:spacing w:before="156" w:after="156"/>
        <w:ind w:left="6237" w:leftChars="0" w:hanging="567" w:firstLineChars="0"/>
        <w:jc w:val="both"/>
      </w:pPr>
      <w:r>
        <w:rPr>
          <w:rFonts w:hint="eastAsia" w:ascii="黑体" w:hAnsi="Times New Roman" w:eastAsia="黑体" w:cs="Times New Roman"/>
          <w:kern w:val="2"/>
          <w:sz w:val="21"/>
          <w:szCs w:val="21"/>
          <w:lang w:val="en-US" w:eastAsia="zh-CN" w:bidi="ar-SA"/>
        </w:rPr>
        <w:t>表</w:t>
      </w:r>
      <w:r>
        <w:rPr>
          <w:rFonts w:hint="eastAsia" w:cs="Times New Roman"/>
          <w:kern w:val="2"/>
          <w:sz w:val="21"/>
          <w:szCs w:val="21"/>
          <w:lang w:val="en-US" w:eastAsia="zh-CN" w:bidi="ar-SA"/>
        </w:rPr>
        <w:t>I</w:t>
      </w:r>
      <w:r>
        <w:rPr>
          <w:rFonts w:hint="eastAsia" w:ascii="黑体" w:hAnsi="Times New Roman" w:eastAsia="黑体" w:cs="Times New Roman"/>
          <w:kern w:val="2"/>
          <w:sz w:val="21"/>
          <w:szCs w:val="21"/>
          <w:lang w:val="en-US" w:eastAsia="zh-CN" w:bidi="ar-SA"/>
        </w:rPr>
        <w:t>.1　</w:t>
      </w:r>
      <w:r>
        <w:rPr>
          <w:rFonts w:hint="eastAsia"/>
        </w:rPr>
        <w:t>危险化学品要素的安全生产等级评定细则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5955"/>
        <w:gridCol w:w="710"/>
        <w:gridCol w:w="709"/>
        <w:gridCol w:w="709"/>
        <w:gridCol w:w="2549"/>
        <w:gridCol w:w="709"/>
        <w:gridCol w:w="2027"/>
        <w:gridCol w:w="1026"/>
      </w:tblGrid>
      <w:tr w14:paraId="04B6DE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39B0E483">
            <w:pPr>
              <w:adjustRightInd w:val="0"/>
              <w:snapToGrid w:val="0"/>
              <w:jc w:val="center"/>
              <w:rPr>
                <w:sz w:val="18"/>
                <w:szCs w:val="18"/>
              </w:rPr>
            </w:pPr>
            <w:r>
              <w:rPr>
                <w:bCs/>
                <w:sz w:val="18"/>
                <w:szCs w:val="18"/>
              </w:rPr>
              <w:t>序号</w:t>
            </w:r>
          </w:p>
        </w:tc>
        <w:tc>
          <w:tcPr>
            <w:tcW w:w="5955" w:type="dxa"/>
            <w:tcBorders>
              <w:top w:val="single" w:color="auto" w:sz="8" w:space="0"/>
              <w:bottom w:val="single" w:color="auto" w:sz="8" w:space="0"/>
            </w:tcBorders>
            <w:noWrap w:val="0"/>
            <w:vAlign w:val="center"/>
          </w:tcPr>
          <w:p w14:paraId="3D7D236F">
            <w:pPr>
              <w:adjustRightInd w:val="0"/>
              <w:snapToGrid w:val="0"/>
              <w:jc w:val="center"/>
              <w:rPr>
                <w:rFonts w:ascii="宋体" w:hAnsi="宋体"/>
                <w:sz w:val="18"/>
                <w:szCs w:val="18"/>
              </w:rPr>
            </w:pPr>
            <w:r>
              <w:rPr>
                <w:rFonts w:ascii="宋体" w:hAnsi="宋体"/>
                <w:bCs/>
                <w:sz w:val="18"/>
                <w:szCs w:val="18"/>
              </w:rPr>
              <w:t>评定内容</w:t>
            </w:r>
          </w:p>
        </w:tc>
        <w:tc>
          <w:tcPr>
            <w:tcW w:w="710" w:type="dxa"/>
            <w:tcBorders>
              <w:top w:val="single" w:color="auto" w:sz="8" w:space="0"/>
              <w:bottom w:val="single" w:color="auto" w:sz="8" w:space="0"/>
            </w:tcBorders>
            <w:noWrap w:val="0"/>
            <w:vAlign w:val="center"/>
          </w:tcPr>
          <w:p w14:paraId="07731AD9">
            <w:pPr>
              <w:adjustRightInd w:val="0"/>
              <w:snapToGrid w:val="0"/>
              <w:jc w:val="center"/>
              <w:rPr>
                <w:rFonts w:ascii="宋体" w:hAnsi="宋体"/>
                <w:sz w:val="18"/>
                <w:szCs w:val="18"/>
              </w:rPr>
            </w:pPr>
            <w:r>
              <w:rPr>
                <w:rFonts w:ascii="宋体" w:hAnsi="宋体"/>
                <w:bCs/>
                <w:sz w:val="18"/>
                <w:szCs w:val="18"/>
              </w:rPr>
              <w:t>评定要素分值</w:t>
            </w:r>
          </w:p>
        </w:tc>
        <w:tc>
          <w:tcPr>
            <w:tcW w:w="709" w:type="dxa"/>
            <w:tcBorders>
              <w:top w:val="single" w:color="auto" w:sz="8" w:space="0"/>
              <w:bottom w:val="single" w:color="auto" w:sz="8" w:space="0"/>
            </w:tcBorders>
            <w:noWrap w:val="0"/>
            <w:vAlign w:val="center"/>
          </w:tcPr>
          <w:p w14:paraId="47457604">
            <w:pPr>
              <w:adjustRightInd w:val="0"/>
              <w:snapToGrid w:val="0"/>
              <w:jc w:val="center"/>
              <w:rPr>
                <w:rFonts w:ascii="宋体" w:hAnsi="宋体"/>
                <w:sz w:val="18"/>
                <w:szCs w:val="18"/>
              </w:rPr>
            </w:pPr>
            <w:r>
              <w:rPr>
                <w:rFonts w:ascii="宋体" w:hAnsi="宋体"/>
                <w:bCs/>
                <w:sz w:val="18"/>
                <w:szCs w:val="18"/>
              </w:rPr>
              <w:t>评定细项分值</w:t>
            </w:r>
          </w:p>
        </w:tc>
        <w:tc>
          <w:tcPr>
            <w:tcW w:w="709" w:type="dxa"/>
            <w:tcBorders>
              <w:top w:val="single" w:color="auto" w:sz="8" w:space="0"/>
              <w:bottom w:val="single" w:color="auto" w:sz="8" w:space="0"/>
            </w:tcBorders>
            <w:noWrap w:val="0"/>
            <w:vAlign w:val="center"/>
          </w:tcPr>
          <w:p w14:paraId="179306CB">
            <w:pPr>
              <w:adjustRightInd w:val="0"/>
              <w:snapToGrid w:val="0"/>
              <w:jc w:val="center"/>
              <w:rPr>
                <w:rFonts w:ascii="宋体" w:hAnsi="宋体"/>
                <w:sz w:val="18"/>
                <w:szCs w:val="18"/>
              </w:rPr>
            </w:pPr>
            <w:r>
              <w:rPr>
                <w:rFonts w:ascii="宋体" w:hAnsi="宋体"/>
                <w:bCs/>
                <w:sz w:val="18"/>
                <w:szCs w:val="18"/>
              </w:rPr>
              <w:t>评定条款分值</w:t>
            </w:r>
          </w:p>
        </w:tc>
        <w:tc>
          <w:tcPr>
            <w:tcW w:w="2549" w:type="dxa"/>
            <w:tcBorders>
              <w:top w:val="single" w:color="auto" w:sz="8" w:space="0"/>
              <w:bottom w:val="single" w:color="auto" w:sz="8" w:space="0"/>
            </w:tcBorders>
            <w:noWrap w:val="0"/>
            <w:vAlign w:val="center"/>
          </w:tcPr>
          <w:p w14:paraId="6B6FD0A4">
            <w:pPr>
              <w:adjustRightInd w:val="0"/>
              <w:snapToGrid w:val="0"/>
              <w:jc w:val="center"/>
              <w:rPr>
                <w:sz w:val="18"/>
                <w:szCs w:val="18"/>
              </w:rPr>
            </w:pPr>
            <w:r>
              <w:rPr>
                <w:bCs/>
                <w:sz w:val="18"/>
                <w:szCs w:val="18"/>
              </w:rPr>
              <w:t>评分标准</w:t>
            </w:r>
          </w:p>
        </w:tc>
        <w:tc>
          <w:tcPr>
            <w:tcW w:w="709" w:type="dxa"/>
            <w:tcBorders>
              <w:top w:val="single" w:color="auto" w:sz="8" w:space="0"/>
              <w:bottom w:val="single" w:color="auto" w:sz="8" w:space="0"/>
            </w:tcBorders>
            <w:noWrap w:val="0"/>
            <w:vAlign w:val="center"/>
          </w:tcPr>
          <w:p w14:paraId="3E352041">
            <w:pPr>
              <w:adjustRightInd w:val="0"/>
              <w:snapToGrid w:val="0"/>
              <w:jc w:val="center"/>
              <w:rPr>
                <w:rFonts w:ascii="宋体" w:hAnsi="宋体"/>
                <w:sz w:val="18"/>
                <w:szCs w:val="18"/>
              </w:rPr>
            </w:pPr>
            <w:r>
              <w:rPr>
                <w:rFonts w:ascii="宋体" w:hAnsi="宋体"/>
                <w:bCs/>
                <w:sz w:val="18"/>
                <w:szCs w:val="18"/>
              </w:rPr>
              <w:t>评定得分</w:t>
            </w:r>
          </w:p>
        </w:tc>
        <w:tc>
          <w:tcPr>
            <w:tcW w:w="2027" w:type="dxa"/>
            <w:tcBorders>
              <w:top w:val="single" w:color="auto" w:sz="8" w:space="0"/>
              <w:bottom w:val="single" w:color="auto" w:sz="8" w:space="0"/>
            </w:tcBorders>
            <w:noWrap w:val="0"/>
            <w:vAlign w:val="center"/>
          </w:tcPr>
          <w:p w14:paraId="64683F44">
            <w:pPr>
              <w:adjustRightInd w:val="0"/>
              <w:snapToGrid w:val="0"/>
              <w:jc w:val="center"/>
              <w:rPr>
                <w:rFonts w:ascii="宋体" w:hAnsi="宋体"/>
                <w:sz w:val="18"/>
                <w:szCs w:val="18"/>
              </w:rPr>
            </w:pPr>
            <w:r>
              <w:rPr>
                <w:rFonts w:ascii="宋体" w:hAnsi="宋体"/>
                <w:bCs/>
                <w:sz w:val="18"/>
                <w:szCs w:val="18"/>
              </w:rPr>
              <w:t>扣分说明</w:t>
            </w:r>
          </w:p>
        </w:tc>
        <w:tc>
          <w:tcPr>
            <w:tcW w:w="1026" w:type="dxa"/>
            <w:tcBorders>
              <w:top w:val="single" w:color="auto" w:sz="8" w:space="0"/>
              <w:bottom w:val="single" w:color="auto" w:sz="8" w:space="0"/>
            </w:tcBorders>
            <w:noWrap w:val="0"/>
            <w:vAlign w:val="center"/>
          </w:tcPr>
          <w:p w14:paraId="53E171CB">
            <w:pPr>
              <w:adjustRightInd w:val="0"/>
              <w:snapToGrid w:val="0"/>
              <w:jc w:val="center"/>
              <w:rPr>
                <w:rFonts w:ascii="宋体" w:hAnsi="宋体"/>
                <w:sz w:val="18"/>
                <w:szCs w:val="18"/>
              </w:rPr>
            </w:pPr>
            <w:r>
              <w:rPr>
                <w:rFonts w:ascii="宋体" w:hAnsi="宋体"/>
                <w:bCs/>
                <w:sz w:val="18"/>
                <w:szCs w:val="18"/>
              </w:rPr>
              <w:t>对应条款编号</w:t>
            </w:r>
          </w:p>
        </w:tc>
      </w:tr>
      <w:tr w14:paraId="2236D9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71674300">
            <w:pPr>
              <w:adjustRightInd w:val="0"/>
              <w:snapToGrid w:val="0"/>
              <w:jc w:val="center"/>
              <w:rPr>
                <w:rFonts w:hint="eastAsia" w:ascii="宋体" w:hAnsi="宋体"/>
                <w:bCs/>
                <w:sz w:val="18"/>
                <w:szCs w:val="18"/>
              </w:rPr>
            </w:pPr>
          </w:p>
        </w:tc>
        <w:tc>
          <w:tcPr>
            <w:tcW w:w="5955" w:type="dxa"/>
            <w:tcBorders>
              <w:top w:val="single" w:color="auto" w:sz="8" w:space="0"/>
              <w:bottom w:val="single" w:color="auto" w:sz="8" w:space="0"/>
            </w:tcBorders>
            <w:noWrap w:val="0"/>
            <w:vAlign w:val="center"/>
          </w:tcPr>
          <w:p w14:paraId="644A7419">
            <w:pPr>
              <w:adjustRightInd w:val="0"/>
              <w:snapToGrid w:val="0"/>
              <w:jc w:val="left"/>
              <w:rPr>
                <w:rFonts w:hint="eastAsia" w:ascii="宋体" w:hAnsi="宋体" w:eastAsia="宋体"/>
                <w:sz w:val="18"/>
                <w:szCs w:val="18"/>
                <w:lang w:eastAsia="zh-CN"/>
              </w:rPr>
            </w:pPr>
            <w:r>
              <w:rPr>
                <w:rFonts w:hint="eastAsia" w:ascii="宋体" w:hAnsi="宋体"/>
                <w:sz w:val="18"/>
                <w:szCs w:val="18"/>
              </w:rPr>
              <w:t>压设施；如与其他建筑物贴邻设置时，不应有门、窗与相邻建筑物相通；泄压设施宜采用轻质屋面板、轻质墙体和易于泄压的门、窗等，其设置应避开人员密集的场所和主要交通道路</w:t>
            </w:r>
            <w:r>
              <w:rPr>
                <w:rFonts w:hint="eastAsia" w:ascii="宋体" w:hAnsi="宋体"/>
                <w:sz w:val="18"/>
                <w:szCs w:val="18"/>
                <w:lang w:eastAsia="zh-CN"/>
              </w:rPr>
              <w:t>；</w:t>
            </w:r>
          </w:p>
          <w:p w14:paraId="0706B2C4">
            <w:pPr>
              <w:adjustRightInd w:val="0"/>
              <w:snapToGrid w:val="0"/>
              <w:jc w:val="left"/>
              <w:rPr>
                <w:rFonts w:hint="eastAsia" w:ascii="宋体" w:hAnsi="宋体" w:eastAsia="宋体"/>
                <w:sz w:val="18"/>
                <w:szCs w:val="18"/>
                <w:lang w:eastAsia="zh-CN"/>
              </w:rPr>
            </w:pPr>
            <w:r>
              <w:rPr>
                <w:rFonts w:hint="eastAsia" w:ascii="宋体" w:hAnsi="宋体"/>
                <w:sz w:val="18"/>
                <w:szCs w:val="18"/>
                <w:lang w:val="en-US" w:eastAsia="zh-CN"/>
              </w:rPr>
              <w:t>c</w:t>
            </w:r>
            <w:r>
              <w:rPr>
                <w:rFonts w:hint="eastAsia" w:ascii="宋体" w:hAnsi="宋体"/>
                <w:sz w:val="18"/>
                <w:szCs w:val="18"/>
              </w:rPr>
              <w:t>）储存有易燃易爆危险化学品的专用储存室外应设置静电消除器</w:t>
            </w:r>
            <w:r>
              <w:rPr>
                <w:rFonts w:hint="eastAsia" w:ascii="宋体" w:hAnsi="宋体"/>
                <w:sz w:val="18"/>
                <w:szCs w:val="18"/>
                <w:lang w:eastAsia="zh-CN"/>
              </w:rPr>
              <w:t>；</w:t>
            </w:r>
          </w:p>
          <w:p w14:paraId="1B49DB6E">
            <w:pPr>
              <w:adjustRightInd w:val="0"/>
              <w:snapToGrid w:val="0"/>
              <w:jc w:val="left"/>
              <w:rPr>
                <w:rFonts w:hint="eastAsia" w:ascii="宋体" w:hAnsi="宋体" w:eastAsia="宋体"/>
                <w:sz w:val="18"/>
                <w:szCs w:val="18"/>
                <w:lang w:eastAsia="zh-CN"/>
              </w:rPr>
            </w:pPr>
            <w:r>
              <w:rPr>
                <w:rFonts w:hint="eastAsia" w:ascii="宋体" w:hAnsi="宋体"/>
                <w:sz w:val="18"/>
                <w:szCs w:val="18"/>
                <w:lang w:val="en-US" w:eastAsia="zh-CN"/>
              </w:rPr>
              <w:t>d</w:t>
            </w:r>
            <w:r>
              <w:rPr>
                <w:rFonts w:hint="eastAsia" w:ascii="宋体" w:hAnsi="宋体"/>
                <w:sz w:val="18"/>
                <w:szCs w:val="18"/>
              </w:rPr>
              <w:t>）储存有易燃易爆危险化学品的专用储存室内电气设备应符合防爆要求</w:t>
            </w:r>
            <w:r>
              <w:rPr>
                <w:rFonts w:hint="eastAsia" w:ascii="宋体" w:hAnsi="宋体"/>
                <w:sz w:val="18"/>
                <w:szCs w:val="18"/>
                <w:lang w:eastAsia="zh-CN"/>
              </w:rPr>
              <w:t>；</w:t>
            </w:r>
          </w:p>
          <w:p w14:paraId="60DCE6E9">
            <w:pPr>
              <w:adjustRightInd w:val="0"/>
              <w:snapToGrid w:val="0"/>
              <w:jc w:val="left"/>
              <w:rPr>
                <w:rFonts w:hint="eastAsia" w:ascii="宋体" w:hAnsi="宋体" w:eastAsia="宋体"/>
                <w:sz w:val="18"/>
                <w:szCs w:val="18"/>
                <w:lang w:eastAsia="zh-CN"/>
              </w:rPr>
            </w:pPr>
            <w:r>
              <w:rPr>
                <w:rFonts w:hint="eastAsia" w:ascii="宋体" w:hAnsi="宋体"/>
                <w:sz w:val="18"/>
                <w:szCs w:val="18"/>
                <w:lang w:val="en-US" w:eastAsia="zh-CN"/>
              </w:rPr>
              <w:t>e</w:t>
            </w:r>
            <w:r>
              <w:rPr>
                <w:rFonts w:hint="eastAsia" w:ascii="宋体" w:hAnsi="宋体"/>
                <w:sz w:val="18"/>
                <w:szCs w:val="18"/>
              </w:rPr>
              <w:t>）储存有易燃易爆危险化学品的专用储存室</w:t>
            </w:r>
            <w:r>
              <w:rPr>
                <w:rFonts w:hint="eastAsia" w:ascii="宋体" w:hAnsi="宋体"/>
                <w:sz w:val="18"/>
                <w:szCs w:val="18"/>
                <w:lang w:eastAsia="zh-CN"/>
              </w:rPr>
              <w:t>，</w:t>
            </w:r>
            <w:r>
              <w:rPr>
                <w:rFonts w:hint="eastAsia" w:ascii="宋体" w:hAnsi="宋体"/>
                <w:sz w:val="18"/>
                <w:szCs w:val="18"/>
              </w:rPr>
              <w:t>门应向疏散方向开启</w:t>
            </w:r>
            <w:r>
              <w:rPr>
                <w:rFonts w:hint="eastAsia" w:ascii="宋体" w:hAnsi="宋体"/>
                <w:sz w:val="18"/>
                <w:szCs w:val="18"/>
                <w:lang w:eastAsia="zh-CN"/>
              </w:rPr>
              <w:t>，</w:t>
            </w:r>
            <w:r>
              <w:rPr>
                <w:rFonts w:hint="eastAsia" w:ascii="宋体" w:hAnsi="宋体"/>
                <w:sz w:val="18"/>
                <w:szCs w:val="18"/>
              </w:rPr>
              <w:t>地面平整、耐磨、防滑，不应设地沟、暗道</w:t>
            </w:r>
            <w:r>
              <w:rPr>
                <w:rFonts w:hint="eastAsia" w:ascii="宋体" w:hAnsi="宋体"/>
                <w:sz w:val="18"/>
                <w:szCs w:val="18"/>
                <w:lang w:eastAsia="zh-CN"/>
              </w:rPr>
              <w:t>，</w:t>
            </w:r>
            <w:r>
              <w:rPr>
                <w:rFonts w:hint="eastAsia" w:ascii="宋体" w:hAnsi="宋体"/>
                <w:sz w:val="18"/>
                <w:szCs w:val="18"/>
              </w:rPr>
              <w:t>门窗、地面应采用撞击时不产生火花的材料制作。采用绝缘材料作整体面层时，应采取防静电措施</w:t>
            </w:r>
            <w:r>
              <w:rPr>
                <w:rFonts w:hint="eastAsia" w:ascii="宋体" w:hAnsi="宋体"/>
                <w:sz w:val="18"/>
                <w:szCs w:val="18"/>
                <w:lang w:eastAsia="zh-CN"/>
              </w:rPr>
              <w:t>；</w:t>
            </w:r>
          </w:p>
          <w:p w14:paraId="54FD716B">
            <w:pPr>
              <w:adjustRightInd w:val="0"/>
              <w:snapToGrid w:val="0"/>
              <w:jc w:val="left"/>
              <w:rPr>
                <w:rFonts w:hint="eastAsia" w:ascii="宋体" w:hAnsi="宋体" w:eastAsia="宋体"/>
                <w:sz w:val="18"/>
                <w:szCs w:val="18"/>
                <w:lang w:eastAsia="zh-CN"/>
              </w:rPr>
            </w:pPr>
            <w:r>
              <w:rPr>
                <w:rFonts w:hint="eastAsia" w:ascii="宋体" w:hAnsi="宋体"/>
                <w:sz w:val="18"/>
                <w:szCs w:val="18"/>
                <w:lang w:val="en-US" w:eastAsia="zh-CN"/>
              </w:rPr>
              <w:t>f</w:t>
            </w:r>
            <w:r>
              <w:rPr>
                <w:rFonts w:hint="eastAsia" w:ascii="宋体" w:hAnsi="宋体"/>
                <w:sz w:val="18"/>
                <w:szCs w:val="18"/>
              </w:rPr>
              <w:t>）储存可能散发易燃气体的危险化学品专用储存室应设置防爆型通风设施，机械通风正常通风换气次数不少于6 次/h，事故排风换气次数不应少于12 次/h；并应在专用储存室外设置事故通风紧急按钮</w:t>
            </w:r>
            <w:r>
              <w:rPr>
                <w:rFonts w:hint="eastAsia" w:ascii="宋体" w:hAnsi="宋体"/>
                <w:sz w:val="18"/>
                <w:szCs w:val="18"/>
                <w:lang w:eastAsia="zh-CN"/>
              </w:rPr>
              <w:t>；</w:t>
            </w:r>
          </w:p>
          <w:p w14:paraId="6FFF0619">
            <w:pPr>
              <w:adjustRightInd w:val="0"/>
              <w:snapToGrid w:val="0"/>
              <w:jc w:val="left"/>
              <w:rPr>
                <w:rFonts w:hint="eastAsia" w:ascii="宋体" w:hAnsi="宋体"/>
                <w:sz w:val="18"/>
                <w:szCs w:val="18"/>
              </w:rPr>
            </w:pPr>
            <w:r>
              <w:rPr>
                <w:rFonts w:hint="eastAsia" w:ascii="宋体" w:hAnsi="宋体"/>
                <w:sz w:val="18"/>
                <w:szCs w:val="18"/>
                <w:lang w:val="en-US" w:eastAsia="zh-CN"/>
              </w:rPr>
              <w:t>g</w:t>
            </w:r>
            <w:r>
              <w:rPr>
                <w:rFonts w:hint="eastAsia" w:ascii="宋体" w:hAnsi="宋体"/>
                <w:sz w:val="18"/>
                <w:szCs w:val="18"/>
              </w:rPr>
              <w:t>）储存可能散发易燃气体的危险化学品专用储存室内应设置气体浓度检测报警装置。气体浓度检测报警装置应与防爆通风机联动，其安装位置应符合下列要求：</w:t>
            </w:r>
          </w:p>
          <w:p w14:paraId="196D7174">
            <w:pPr>
              <w:adjustRightInd w:val="0"/>
              <w:snapToGrid w:val="0"/>
              <w:ind w:firstLine="180" w:firstLineChars="100"/>
              <w:jc w:val="left"/>
              <w:rPr>
                <w:rFonts w:hint="eastAsia" w:ascii="宋体" w:hAnsi="宋体"/>
                <w:sz w:val="18"/>
                <w:szCs w:val="18"/>
              </w:rPr>
            </w:pPr>
            <w:r>
              <w:rPr>
                <w:rFonts w:hint="eastAsia" w:ascii="宋体" w:hAnsi="宋体"/>
                <w:sz w:val="18"/>
                <w:szCs w:val="18"/>
                <w:lang w:val="en-US" w:eastAsia="zh-CN"/>
              </w:rPr>
              <w:t>1</w:t>
            </w:r>
            <w:r>
              <w:rPr>
                <w:rFonts w:hint="eastAsia" w:ascii="宋体" w:hAnsi="宋体"/>
                <w:sz w:val="18"/>
                <w:szCs w:val="18"/>
              </w:rPr>
              <w:t>）检测比空气重的易燃气体的检测器应安装距地坪或楼地板0.3 m～0.6 m；</w:t>
            </w:r>
          </w:p>
          <w:p w14:paraId="7ECA111A">
            <w:pPr>
              <w:adjustRightInd w:val="0"/>
              <w:snapToGrid w:val="0"/>
              <w:ind w:firstLine="180" w:firstLineChars="100"/>
              <w:jc w:val="left"/>
              <w:rPr>
                <w:rFonts w:hint="eastAsia" w:ascii="宋体" w:hAnsi="宋体"/>
                <w:sz w:val="18"/>
                <w:szCs w:val="18"/>
              </w:rPr>
            </w:pPr>
            <w:r>
              <w:rPr>
                <w:rFonts w:hint="eastAsia" w:ascii="宋体" w:hAnsi="宋体"/>
                <w:sz w:val="18"/>
                <w:szCs w:val="18"/>
                <w:lang w:val="en-US" w:eastAsia="zh-CN"/>
              </w:rPr>
              <w:t>2</w:t>
            </w:r>
            <w:r>
              <w:rPr>
                <w:rFonts w:hint="eastAsia" w:ascii="宋体" w:hAnsi="宋体"/>
                <w:sz w:val="18"/>
                <w:szCs w:val="18"/>
              </w:rPr>
              <w:t>）检测比空气轻的易燃气体的检测器应安装在高处释放源0.5 m～2 m处；</w:t>
            </w:r>
          </w:p>
          <w:p w14:paraId="26A40697">
            <w:pPr>
              <w:adjustRightInd w:val="0"/>
              <w:snapToGrid w:val="0"/>
              <w:ind w:firstLine="180" w:firstLineChars="100"/>
              <w:jc w:val="left"/>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）检测器宜安装在无冲击、无振动、无强磁场干扰的场所，且周围留有不小于0.3 m的净空；</w:t>
            </w:r>
          </w:p>
          <w:p w14:paraId="635F01B1">
            <w:pPr>
              <w:adjustRightInd w:val="0"/>
              <w:snapToGrid w:val="0"/>
              <w:ind w:firstLine="0" w:firstLineChars="0"/>
              <w:jc w:val="left"/>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）气体声光报警控制器应设置在专用存储室和气瓶间外并接至有人值守的值班室内。</w:t>
            </w:r>
          </w:p>
        </w:tc>
        <w:tc>
          <w:tcPr>
            <w:tcW w:w="710" w:type="dxa"/>
            <w:tcBorders>
              <w:top w:val="single" w:color="auto" w:sz="8" w:space="0"/>
              <w:bottom w:val="single" w:color="auto" w:sz="8" w:space="0"/>
            </w:tcBorders>
            <w:noWrap w:val="0"/>
            <w:vAlign w:val="center"/>
          </w:tcPr>
          <w:p w14:paraId="419EDE6B">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11A40A98">
            <w:pPr>
              <w:widowControl/>
              <w:tabs>
                <w:tab w:val="center" w:pos="4201"/>
                <w:tab w:val="right" w:leader="dot" w:pos="9298"/>
              </w:tabs>
              <w:autoSpaceDE w:val="0"/>
              <w:autoSpaceDN w:val="0"/>
              <w:adjustRightInd w:val="0"/>
              <w:snapToGrid w:val="0"/>
              <w:ind w:right="33" w:rightChars="16"/>
              <w:jc w:val="center"/>
              <w:rPr>
                <w:rFonts w:ascii="宋体" w:hAnsi="宋体"/>
                <w:kern w:val="0"/>
                <w:sz w:val="18"/>
                <w:szCs w:val="18"/>
              </w:rPr>
            </w:pPr>
          </w:p>
        </w:tc>
        <w:tc>
          <w:tcPr>
            <w:tcW w:w="709" w:type="dxa"/>
            <w:tcBorders>
              <w:top w:val="single" w:color="auto" w:sz="8" w:space="0"/>
              <w:bottom w:val="single" w:color="auto" w:sz="8" w:space="0"/>
            </w:tcBorders>
            <w:noWrap w:val="0"/>
            <w:vAlign w:val="center"/>
          </w:tcPr>
          <w:p w14:paraId="28970947">
            <w:pPr>
              <w:widowControl/>
              <w:tabs>
                <w:tab w:val="center" w:pos="4201"/>
                <w:tab w:val="right" w:leader="dot" w:pos="9298"/>
              </w:tabs>
              <w:autoSpaceDE w:val="0"/>
              <w:autoSpaceDN w:val="0"/>
              <w:adjustRightInd w:val="0"/>
              <w:snapToGrid w:val="0"/>
              <w:ind w:right="33" w:rightChars="16"/>
              <w:jc w:val="center"/>
              <w:rPr>
                <w:rFonts w:hint="eastAsia" w:ascii="宋体" w:hAnsi="宋体" w:eastAsia="宋体"/>
                <w:kern w:val="0"/>
                <w:sz w:val="18"/>
                <w:szCs w:val="18"/>
                <w:lang w:eastAsia="zh-CN"/>
              </w:rPr>
            </w:pPr>
          </w:p>
        </w:tc>
        <w:tc>
          <w:tcPr>
            <w:tcW w:w="2549" w:type="dxa"/>
            <w:tcBorders>
              <w:top w:val="single" w:color="auto" w:sz="8" w:space="0"/>
              <w:bottom w:val="single" w:color="auto" w:sz="8" w:space="0"/>
            </w:tcBorders>
            <w:noWrap w:val="0"/>
            <w:vAlign w:val="center"/>
          </w:tcPr>
          <w:p w14:paraId="18BC8D10">
            <w:pPr>
              <w:adjustRightInd w:val="0"/>
              <w:snapToGrid w:val="0"/>
              <w:rPr>
                <w:rFonts w:hint="eastAsia" w:ascii="宋体" w:hAnsi="宋体"/>
                <w:sz w:val="18"/>
                <w:szCs w:val="18"/>
              </w:rPr>
            </w:pPr>
          </w:p>
        </w:tc>
        <w:tc>
          <w:tcPr>
            <w:tcW w:w="709" w:type="dxa"/>
            <w:tcBorders>
              <w:top w:val="single" w:color="auto" w:sz="8" w:space="0"/>
              <w:bottom w:val="single" w:color="auto" w:sz="8" w:space="0"/>
            </w:tcBorders>
            <w:noWrap w:val="0"/>
            <w:vAlign w:val="center"/>
          </w:tcPr>
          <w:p w14:paraId="5C139AF7">
            <w:pPr>
              <w:adjustRightInd w:val="0"/>
              <w:snapToGrid w:val="0"/>
              <w:jc w:val="center"/>
              <w:rPr>
                <w:rFonts w:ascii="宋体" w:hAnsi="宋体"/>
                <w:sz w:val="18"/>
                <w:szCs w:val="18"/>
              </w:rPr>
            </w:pPr>
          </w:p>
        </w:tc>
        <w:tc>
          <w:tcPr>
            <w:tcW w:w="2027" w:type="dxa"/>
            <w:tcBorders>
              <w:top w:val="single" w:color="auto" w:sz="8" w:space="0"/>
              <w:bottom w:val="single" w:color="auto" w:sz="8" w:space="0"/>
            </w:tcBorders>
            <w:noWrap w:val="0"/>
            <w:vAlign w:val="center"/>
          </w:tcPr>
          <w:p w14:paraId="2C41918C">
            <w:pPr>
              <w:adjustRightInd w:val="0"/>
              <w:snapToGrid w:val="0"/>
              <w:jc w:val="center"/>
              <w:rPr>
                <w:rFonts w:ascii="宋体" w:hAnsi="宋体"/>
                <w:bCs/>
                <w:sz w:val="18"/>
                <w:szCs w:val="18"/>
              </w:rPr>
            </w:pPr>
          </w:p>
        </w:tc>
        <w:tc>
          <w:tcPr>
            <w:tcW w:w="1026" w:type="dxa"/>
            <w:tcBorders>
              <w:top w:val="single" w:color="auto" w:sz="8" w:space="0"/>
              <w:bottom w:val="single" w:color="auto" w:sz="8" w:space="0"/>
            </w:tcBorders>
            <w:noWrap w:val="0"/>
            <w:vAlign w:val="center"/>
          </w:tcPr>
          <w:p w14:paraId="41EA8C94">
            <w:pPr>
              <w:adjustRightInd w:val="0"/>
              <w:snapToGrid w:val="0"/>
              <w:jc w:val="center"/>
              <w:rPr>
                <w:rFonts w:ascii="宋体" w:hAnsi="宋体"/>
                <w:bCs/>
                <w:sz w:val="18"/>
                <w:szCs w:val="18"/>
              </w:rPr>
            </w:pPr>
          </w:p>
        </w:tc>
      </w:tr>
      <w:tr w14:paraId="6636C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959" w:type="dxa"/>
            <w:tcBorders>
              <w:top w:val="single" w:color="auto" w:sz="8" w:space="0"/>
              <w:bottom w:val="single" w:color="auto" w:sz="8" w:space="0"/>
            </w:tcBorders>
            <w:shd w:val="clear" w:color="auto" w:fill="auto"/>
            <w:noWrap w:val="0"/>
            <w:vAlign w:val="center"/>
          </w:tcPr>
          <w:p w14:paraId="79062017">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rPr>
              <w:t>8.2</w:t>
            </w:r>
          </w:p>
        </w:tc>
        <w:tc>
          <w:tcPr>
            <w:tcW w:w="5955" w:type="dxa"/>
            <w:tcBorders>
              <w:top w:val="single" w:color="auto" w:sz="8" w:space="0"/>
              <w:bottom w:val="single" w:color="auto" w:sz="8" w:space="0"/>
            </w:tcBorders>
            <w:shd w:val="clear" w:color="auto" w:fill="auto"/>
            <w:noWrap w:val="0"/>
            <w:vAlign w:val="center"/>
          </w:tcPr>
          <w:p w14:paraId="3DAC8AFC">
            <w:pPr>
              <w:adjustRightInd w:val="0"/>
              <w:snapToGrid w:val="0"/>
              <w:jc w:val="left"/>
              <w:rPr>
                <w:rFonts w:hint="eastAsia" w:ascii="宋体" w:hAnsi="宋体"/>
                <w:sz w:val="18"/>
                <w:szCs w:val="18"/>
              </w:rPr>
            </w:pPr>
            <w:r>
              <w:rPr>
                <w:rFonts w:hint="eastAsia" w:ascii="宋体" w:hAnsi="宋体"/>
                <w:sz w:val="18"/>
                <w:szCs w:val="18"/>
              </w:rPr>
              <w:t>麻醉药品应符合下列要求：</w:t>
            </w:r>
          </w:p>
          <w:p w14:paraId="119685BE">
            <w:pPr>
              <w:adjustRightInd w:val="0"/>
              <w:snapToGrid w:val="0"/>
              <w:jc w:val="left"/>
              <w:rPr>
                <w:rFonts w:hint="eastAsia" w:ascii="宋体" w:hAnsi="宋体"/>
                <w:sz w:val="18"/>
                <w:szCs w:val="18"/>
              </w:rPr>
            </w:pPr>
            <w:r>
              <w:rPr>
                <w:rFonts w:hint="eastAsia" w:ascii="宋体" w:hAnsi="宋体"/>
                <w:sz w:val="18"/>
                <w:szCs w:val="18"/>
              </w:rPr>
              <w:t>a）</w:t>
            </w:r>
            <w:r>
              <w:rPr>
                <w:rFonts w:ascii="宋体" w:hAnsi="宋体"/>
                <w:sz w:val="18"/>
                <w:szCs w:val="18"/>
              </w:rPr>
              <w:t>应设立专库或专柜储存麻醉药品</w:t>
            </w:r>
            <w:r>
              <w:rPr>
                <w:rFonts w:hint="eastAsia" w:ascii="宋体" w:hAnsi="宋体"/>
                <w:sz w:val="18"/>
                <w:szCs w:val="18"/>
              </w:rPr>
              <w:t>，</w:t>
            </w:r>
            <w:r>
              <w:rPr>
                <w:rFonts w:ascii="宋体" w:hAnsi="宋体"/>
                <w:sz w:val="18"/>
                <w:szCs w:val="18"/>
              </w:rPr>
              <w:t>专库应设有防盗设施并安装报警装置；专柜应使用保险柜</w:t>
            </w:r>
            <w:r>
              <w:rPr>
                <w:rFonts w:hint="eastAsia" w:ascii="宋体" w:hAnsi="宋体"/>
                <w:sz w:val="18"/>
                <w:szCs w:val="18"/>
              </w:rPr>
              <w:t>；</w:t>
            </w:r>
          </w:p>
          <w:p w14:paraId="1A628870">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b）</w:t>
            </w:r>
            <w:r>
              <w:rPr>
                <w:rFonts w:ascii="宋体" w:hAnsi="宋体"/>
                <w:sz w:val="18"/>
                <w:szCs w:val="18"/>
              </w:rPr>
              <w:t>专库和专柜应实行双人双锁管理。</w:t>
            </w:r>
          </w:p>
        </w:tc>
        <w:tc>
          <w:tcPr>
            <w:tcW w:w="710" w:type="dxa"/>
            <w:tcBorders>
              <w:top w:val="single" w:color="auto" w:sz="8" w:space="0"/>
              <w:bottom w:val="single" w:color="auto" w:sz="8" w:space="0"/>
            </w:tcBorders>
            <w:shd w:val="clear" w:color="auto" w:fill="auto"/>
            <w:noWrap w:val="0"/>
            <w:vAlign w:val="center"/>
          </w:tcPr>
          <w:p w14:paraId="010B6000">
            <w:pPr>
              <w:adjustRightInd w:val="0"/>
              <w:snapToGrid w:val="0"/>
              <w:jc w:val="center"/>
              <w:rPr>
                <w:rFonts w:ascii="宋体" w:hAnsi="宋体" w:eastAsia="宋体" w:cs="Times New Roman"/>
                <w:bCs/>
                <w:kern w:val="2"/>
                <w:sz w:val="18"/>
                <w:szCs w:val="18"/>
                <w:lang w:val="en-US" w:eastAsia="zh-CN" w:bidi="ar-SA"/>
              </w:rPr>
            </w:pPr>
          </w:p>
        </w:tc>
        <w:tc>
          <w:tcPr>
            <w:tcW w:w="709" w:type="dxa"/>
            <w:tcBorders>
              <w:top w:val="single" w:color="auto" w:sz="8" w:space="0"/>
              <w:bottom w:val="single" w:color="auto" w:sz="8" w:space="0"/>
            </w:tcBorders>
            <w:shd w:val="clear" w:color="auto" w:fill="auto"/>
            <w:noWrap w:val="0"/>
            <w:vAlign w:val="center"/>
          </w:tcPr>
          <w:p w14:paraId="2ABBF385">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4</w:t>
            </w:r>
          </w:p>
        </w:tc>
        <w:tc>
          <w:tcPr>
            <w:tcW w:w="709" w:type="dxa"/>
            <w:tcBorders>
              <w:top w:val="single" w:color="auto" w:sz="8" w:space="0"/>
              <w:bottom w:val="single" w:color="auto" w:sz="8" w:space="0"/>
            </w:tcBorders>
            <w:shd w:val="clear" w:color="auto" w:fill="auto"/>
            <w:noWrap w:val="0"/>
            <w:vAlign w:val="center"/>
          </w:tcPr>
          <w:p w14:paraId="16F856C0">
            <w:pPr>
              <w:adjustRightInd w:val="0"/>
              <w:snapToGrid w:val="0"/>
              <w:jc w:val="center"/>
              <w:rPr>
                <w:rFonts w:hint="default" w:ascii="宋体" w:hAnsi="宋体" w:eastAsia="宋体" w:cs="Times New Roman"/>
                <w:bCs/>
                <w:kern w:val="2"/>
                <w:sz w:val="18"/>
                <w:szCs w:val="18"/>
                <w:lang w:val="en-US" w:eastAsia="zh-CN" w:bidi="ar-SA"/>
              </w:rPr>
            </w:pPr>
            <w:r>
              <w:rPr>
                <w:rFonts w:hint="eastAsia" w:ascii="宋体" w:hAnsi="宋体" w:cs="Times New Roman"/>
                <w:bCs/>
                <w:kern w:val="2"/>
                <w:sz w:val="18"/>
                <w:szCs w:val="18"/>
                <w:lang w:val="en-US" w:eastAsia="zh-CN" w:bidi="ar-SA"/>
              </w:rPr>
              <w:t>4</w:t>
            </w:r>
          </w:p>
        </w:tc>
        <w:tc>
          <w:tcPr>
            <w:tcW w:w="2549" w:type="dxa"/>
            <w:tcBorders>
              <w:top w:val="single" w:color="auto" w:sz="8" w:space="0"/>
              <w:bottom w:val="single" w:color="auto" w:sz="8" w:space="0"/>
            </w:tcBorders>
            <w:shd w:val="clear" w:color="auto" w:fill="auto"/>
            <w:noWrap w:val="0"/>
            <w:vAlign w:val="center"/>
          </w:tcPr>
          <w:p w14:paraId="394982A4">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一处不符合，不得分。</w:t>
            </w:r>
          </w:p>
        </w:tc>
        <w:tc>
          <w:tcPr>
            <w:tcW w:w="709" w:type="dxa"/>
            <w:tcBorders>
              <w:top w:val="single" w:color="auto" w:sz="8" w:space="0"/>
              <w:bottom w:val="single" w:color="auto" w:sz="8" w:space="0"/>
            </w:tcBorders>
            <w:shd w:val="clear" w:color="auto" w:fill="auto"/>
            <w:noWrap w:val="0"/>
            <w:vAlign w:val="center"/>
          </w:tcPr>
          <w:p w14:paraId="490473EA">
            <w:pPr>
              <w:adjustRightInd w:val="0"/>
              <w:snapToGrid w:val="0"/>
              <w:jc w:val="center"/>
              <w:rPr>
                <w:rFonts w:ascii="宋体" w:hAnsi="宋体" w:eastAsia="宋体" w:cs="Times New Roman"/>
                <w:bCs/>
                <w:kern w:val="2"/>
                <w:sz w:val="18"/>
                <w:szCs w:val="18"/>
                <w:lang w:val="en-US" w:eastAsia="zh-CN" w:bidi="ar-SA"/>
              </w:rPr>
            </w:pPr>
          </w:p>
        </w:tc>
        <w:tc>
          <w:tcPr>
            <w:tcW w:w="2027" w:type="dxa"/>
            <w:tcBorders>
              <w:top w:val="single" w:color="auto" w:sz="8" w:space="0"/>
              <w:bottom w:val="single" w:color="auto" w:sz="8" w:space="0"/>
            </w:tcBorders>
            <w:shd w:val="clear" w:color="auto" w:fill="auto"/>
            <w:noWrap w:val="0"/>
            <w:vAlign w:val="center"/>
          </w:tcPr>
          <w:p w14:paraId="4923E15A">
            <w:pPr>
              <w:adjustRightInd w:val="0"/>
              <w:snapToGrid w:val="0"/>
              <w:jc w:val="center"/>
              <w:rPr>
                <w:rFonts w:ascii="宋体" w:hAnsi="宋体" w:eastAsia="宋体" w:cs="Times New Roman"/>
                <w:bCs/>
                <w:kern w:val="2"/>
                <w:sz w:val="18"/>
                <w:szCs w:val="18"/>
                <w:lang w:val="en-US" w:eastAsia="zh-CN" w:bidi="ar-SA"/>
              </w:rPr>
            </w:pPr>
          </w:p>
        </w:tc>
        <w:tc>
          <w:tcPr>
            <w:tcW w:w="1026" w:type="dxa"/>
            <w:tcBorders>
              <w:top w:val="single" w:color="auto" w:sz="8" w:space="0"/>
              <w:bottom w:val="single" w:color="auto" w:sz="8" w:space="0"/>
            </w:tcBorders>
            <w:shd w:val="clear" w:color="auto" w:fill="auto"/>
            <w:noWrap w:val="0"/>
            <w:vAlign w:val="center"/>
          </w:tcPr>
          <w:p w14:paraId="261874F2">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.8.2</w:t>
            </w:r>
          </w:p>
        </w:tc>
      </w:tr>
      <w:tr w14:paraId="571F1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15353" w:type="dxa"/>
            <w:gridSpan w:val="9"/>
            <w:tcBorders>
              <w:top w:val="single" w:color="auto" w:sz="8" w:space="0"/>
              <w:bottom w:val="single" w:color="auto" w:sz="8" w:space="0"/>
            </w:tcBorders>
            <w:noWrap w:val="0"/>
            <w:vAlign w:val="top"/>
          </w:tcPr>
          <w:p w14:paraId="55AA7A0B">
            <w:pPr>
              <w:pStyle w:val="128"/>
              <w:rPr>
                <w:rFonts w:hint="eastAsia"/>
              </w:rPr>
            </w:pPr>
            <w:r>
              <w:rPr>
                <w:rFonts w:hint="eastAsia"/>
              </w:rPr>
              <w:t>二级否决条款用“★”予以标出。</w:t>
            </w:r>
          </w:p>
        </w:tc>
      </w:tr>
    </w:tbl>
    <w:p w14:paraId="6165E7C1">
      <w:pPr>
        <w:pStyle w:val="160"/>
        <w:rPr>
          <w:rFonts w:hint="eastAsia"/>
        </w:rPr>
      </w:pPr>
      <w:r>
        <w:rPr>
          <w:rFonts w:ascii="宋体" w:hAnsi="宋体" w:cs="Sim Sun"/>
        </w:rPr>
        <w:br w:type="page"/>
      </w:r>
      <w:bookmarkStart w:id="620" w:name="_Toc568"/>
      <w:bookmarkStart w:id="621" w:name="_Toc17789"/>
      <w:r>
        <w:br w:type="textWrapping"/>
      </w:r>
      <w:bookmarkStart w:id="622" w:name="_Toc498337286"/>
      <w:bookmarkStart w:id="623" w:name="_Toc482175064"/>
      <w:bookmarkStart w:id="624" w:name="_Toc482172346"/>
      <w:bookmarkStart w:id="625" w:name="_Toc504931857"/>
      <w:bookmarkStart w:id="626" w:name="_Toc486261047"/>
      <w:bookmarkStart w:id="627" w:name="_Toc482189191"/>
      <w:bookmarkStart w:id="628" w:name="_Toc482174158"/>
      <w:bookmarkStart w:id="629" w:name="_Toc482198503"/>
      <w:bookmarkStart w:id="630" w:name="_Toc498325691"/>
      <w:bookmarkStart w:id="631" w:name="_Toc484958286"/>
      <w:bookmarkStart w:id="632" w:name="_Toc504594732"/>
      <w:bookmarkStart w:id="633" w:name="_Toc482174642"/>
      <w:bookmarkStart w:id="634" w:name="_Toc498286364"/>
      <w:bookmarkStart w:id="635" w:name="_Toc482172287"/>
      <w:bookmarkStart w:id="636" w:name="_Toc484984819"/>
      <w:bookmarkStart w:id="637" w:name="_Toc498348151"/>
      <w:bookmarkStart w:id="638" w:name="_Toc484965510"/>
      <w:bookmarkStart w:id="639" w:name="_Toc484965780"/>
      <w:r>
        <w:rPr>
          <w:rFonts w:hint="eastAsia"/>
        </w:rPr>
        <w:t>（规范性附录）</w:t>
      </w:r>
      <w:r>
        <w:br w:type="textWrapping"/>
      </w:r>
      <w:r>
        <w:rPr>
          <w:rFonts w:hint="eastAsia"/>
        </w:rPr>
        <w:t>劳动防护用品使用要素的安全生产等级评定细则</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2462DF92">
      <w:pPr>
        <w:pStyle w:val="36"/>
        <w:rPr>
          <w:rFonts w:hint="eastAsia"/>
        </w:rPr>
      </w:pPr>
      <w:r>
        <w:rPr>
          <w:rFonts w:hint="eastAsia" w:hAnsi="宋体"/>
        </w:rPr>
        <w:t>表</w:t>
      </w:r>
      <w:r>
        <w:rPr>
          <w:rFonts w:hint="eastAsia" w:hAnsi="宋体"/>
          <w:lang w:val="en-US" w:eastAsia="zh-CN"/>
        </w:rPr>
        <w:t>J</w:t>
      </w:r>
      <w:r>
        <w:rPr>
          <w:rFonts w:hint="eastAsia" w:hAnsi="宋体"/>
        </w:rPr>
        <w:t>.1给出了劳动防护用品使用要素的安全生产等级评定细则，总分</w:t>
      </w:r>
      <w:r>
        <w:rPr>
          <w:rFonts w:hint="eastAsia" w:hAnsi="宋体"/>
          <w:lang w:val="en-US" w:eastAsia="zh-CN"/>
        </w:rPr>
        <w:t>5</w:t>
      </w:r>
      <w:r>
        <w:rPr>
          <w:rFonts w:hint="eastAsia" w:hAnsi="宋体"/>
        </w:rPr>
        <w:t>分。</w:t>
      </w:r>
    </w:p>
    <w:p w14:paraId="4D519B40">
      <w:pPr>
        <w:pStyle w:val="208"/>
        <w:numPr>
          <w:ilvl w:val="0"/>
          <w:numId w:val="0"/>
        </w:numPr>
        <w:spacing w:line="14" w:lineRule="exact"/>
        <w:ind w:left="0" w:leftChars="0" w:hanging="425" w:firstLineChars="0"/>
        <w:jc w:val="center"/>
        <w:outlineLvl w:val="0"/>
        <w:rPr>
          <w:rFonts w:hint="eastAsia"/>
          <w:vanish/>
          <w:color w:val="FFFFFF"/>
          <w:szCs w:val="24"/>
        </w:rPr>
      </w:pPr>
      <w:r>
        <w:rPr>
          <w:rFonts w:hint="eastAsia" w:ascii="Times New Roman" w:hAnsi="Times New Roman" w:eastAsia="宋体" w:cs="Times New Roman"/>
          <w:vanish/>
          <w:color w:val="FFFFFF"/>
          <w:kern w:val="2"/>
          <w:sz w:val="21"/>
          <w:szCs w:val="24"/>
          <w:lang w:val="en-US" w:eastAsia="zh-CN" w:bidi="ar-SA"/>
        </w:rPr>
        <w:t>I</w:t>
      </w:r>
    </w:p>
    <w:p w14:paraId="08DBA9D4">
      <w:pPr>
        <w:pStyle w:val="168"/>
        <w:numPr>
          <w:ilvl w:val="0"/>
          <w:numId w:val="0"/>
        </w:numPr>
        <w:spacing w:before="156" w:after="156"/>
        <w:ind w:left="567" w:hanging="567"/>
      </w:pPr>
      <w:r>
        <w:rPr>
          <w:rFonts w:hint="eastAsia"/>
        </w:rPr>
        <w:t>表</w:t>
      </w:r>
      <w:r>
        <w:rPr>
          <w:rFonts w:hint="eastAsia"/>
          <w:lang w:val="en-US" w:eastAsia="zh-CN"/>
        </w:rPr>
        <w:t>J</w:t>
      </w:r>
      <w:r>
        <w:rPr>
          <w:rFonts w:hint="eastAsia"/>
        </w:rPr>
        <w:t>.1 劳动防护用品使用要素的安全生产等级评定细则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526"/>
        <w:gridCol w:w="606"/>
        <w:gridCol w:w="605"/>
        <w:gridCol w:w="654"/>
        <w:gridCol w:w="3055"/>
        <w:gridCol w:w="605"/>
        <w:gridCol w:w="1483"/>
        <w:gridCol w:w="998"/>
      </w:tblGrid>
      <w:tr w14:paraId="1A054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2CA00C6B">
            <w:pPr>
              <w:adjustRightInd w:val="0"/>
              <w:snapToGrid w:val="0"/>
              <w:jc w:val="center"/>
              <w:rPr>
                <w:rFonts w:ascii="宋体" w:hAnsi="宋体"/>
                <w:sz w:val="18"/>
                <w:szCs w:val="18"/>
              </w:rPr>
            </w:pPr>
            <w:r>
              <w:rPr>
                <w:rFonts w:ascii="宋体" w:hAnsi="宋体"/>
                <w:bCs/>
                <w:sz w:val="18"/>
                <w:szCs w:val="18"/>
              </w:rPr>
              <w:t>序号</w:t>
            </w:r>
          </w:p>
        </w:tc>
        <w:tc>
          <w:tcPr>
            <w:tcW w:w="6526" w:type="dxa"/>
            <w:tcBorders>
              <w:top w:val="single" w:color="auto" w:sz="8" w:space="0"/>
              <w:bottom w:val="single" w:color="auto" w:sz="8" w:space="0"/>
            </w:tcBorders>
            <w:noWrap w:val="0"/>
            <w:vAlign w:val="center"/>
          </w:tcPr>
          <w:p w14:paraId="37C67F2F">
            <w:pPr>
              <w:adjustRightInd w:val="0"/>
              <w:snapToGrid w:val="0"/>
              <w:jc w:val="center"/>
              <w:rPr>
                <w:rFonts w:ascii="宋体" w:hAnsi="宋体"/>
                <w:sz w:val="18"/>
                <w:szCs w:val="18"/>
              </w:rPr>
            </w:pPr>
            <w:r>
              <w:rPr>
                <w:rFonts w:ascii="宋体" w:hAnsi="宋体"/>
                <w:bCs/>
                <w:sz w:val="18"/>
                <w:szCs w:val="18"/>
              </w:rPr>
              <w:t>评定内容</w:t>
            </w:r>
          </w:p>
        </w:tc>
        <w:tc>
          <w:tcPr>
            <w:tcW w:w="606" w:type="dxa"/>
            <w:tcBorders>
              <w:top w:val="single" w:color="auto" w:sz="8" w:space="0"/>
              <w:bottom w:val="single" w:color="auto" w:sz="8" w:space="0"/>
            </w:tcBorders>
            <w:noWrap w:val="0"/>
            <w:vAlign w:val="center"/>
          </w:tcPr>
          <w:p w14:paraId="0E45E0FC">
            <w:pPr>
              <w:adjustRightInd w:val="0"/>
              <w:snapToGrid w:val="0"/>
              <w:jc w:val="center"/>
              <w:rPr>
                <w:rFonts w:ascii="宋体" w:hAnsi="宋体"/>
                <w:sz w:val="18"/>
                <w:szCs w:val="18"/>
              </w:rPr>
            </w:pPr>
            <w:r>
              <w:rPr>
                <w:rFonts w:ascii="宋体" w:hAnsi="宋体"/>
                <w:bCs/>
                <w:sz w:val="18"/>
                <w:szCs w:val="18"/>
              </w:rPr>
              <w:t>评定要素分值</w:t>
            </w:r>
          </w:p>
        </w:tc>
        <w:tc>
          <w:tcPr>
            <w:tcW w:w="605" w:type="dxa"/>
            <w:tcBorders>
              <w:top w:val="single" w:color="auto" w:sz="8" w:space="0"/>
              <w:bottom w:val="single" w:color="auto" w:sz="8" w:space="0"/>
            </w:tcBorders>
            <w:noWrap w:val="0"/>
            <w:vAlign w:val="center"/>
          </w:tcPr>
          <w:p w14:paraId="0421BDDE">
            <w:pPr>
              <w:adjustRightInd w:val="0"/>
              <w:snapToGrid w:val="0"/>
              <w:jc w:val="center"/>
              <w:rPr>
                <w:rFonts w:ascii="宋体" w:hAnsi="宋体"/>
                <w:sz w:val="18"/>
                <w:szCs w:val="18"/>
              </w:rPr>
            </w:pPr>
            <w:r>
              <w:rPr>
                <w:rFonts w:ascii="宋体" w:hAnsi="宋体"/>
                <w:bCs/>
                <w:sz w:val="18"/>
                <w:szCs w:val="18"/>
              </w:rPr>
              <w:t>评定细项分值</w:t>
            </w:r>
          </w:p>
        </w:tc>
        <w:tc>
          <w:tcPr>
            <w:tcW w:w="654" w:type="dxa"/>
            <w:tcBorders>
              <w:top w:val="single" w:color="auto" w:sz="8" w:space="0"/>
              <w:bottom w:val="single" w:color="auto" w:sz="8" w:space="0"/>
            </w:tcBorders>
            <w:noWrap w:val="0"/>
            <w:vAlign w:val="center"/>
          </w:tcPr>
          <w:p w14:paraId="79F52620">
            <w:pPr>
              <w:adjustRightInd w:val="0"/>
              <w:snapToGrid w:val="0"/>
              <w:jc w:val="center"/>
              <w:rPr>
                <w:rFonts w:ascii="宋体" w:hAnsi="宋体"/>
                <w:sz w:val="18"/>
                <w:szCs w:val="18"/>
              </w:rPr>
            </w:pPr>
            <w:r>
              <w:rPr>
                <w:rFonts w:ascii="宋体" w:hAnsi="宋体"/>
                <w:bCs/>
                <w:sz w:val="18"/>
                <w:szCs w:val="18"/>
              </w:rPr>
              <w:t>评定条款分值</w:t>
            </w:r>
          </w:p>
        </w:tc>
        <w:tc>
          <w:tcPr>
            <w:tcW w:w="3055" w:type="dxa"/>
            <w:tcBorders>
              <w:top w:val="single" w:color="auto" w:sz="8" w:space="0"/>
              <w:bottom w:val="single" w:color="auto" w:sz="8" w:space="0"/>
            </w:tcBorders>
            <w:noWrap w:val="0"/>
            <w:vAlign w:val="center"/>
          </w:tcPr>
          <w:p w14:paraId="3529906B">
            <w:pPr>
              <w:adjustRightInd w:val="0"/>
              <w:snapToGrid w:val="0"/>
              <w:jc w:val="center"/>
              <w:rPr>
                <w:rFonts w:ascii="宋体" w:hAnsi="宋体"/>
                <w:sz w:val="18"/>
                <w:szCs w:val="18"/>
              </w:rPr>
            </w:pPr>
            <w:r>
              <w:rPr>
                <w:rFonts w:ascii="宋体" w:hAnsi="宋体"/>
                <w:bCs/>
                <w:sz w:val="18"/>
                <w:szCs w:val="18"/>
              </w:rPr>
              <w:t>评分标准</w:t>
            </w:r>
          </w:p>
        </w:tc>
        <w:tc>
          <w:tcPr>
            <w:tcW w:w="605" w:type="dxa"/>
            <w:tcBorders>
              <w:top w:val="single" w:color="auto" w:sz="8" w:space="0"/>
              <w:bottom w:val="single" w:color="auto" w:sz="8" w:space="0"/>
            </w:tcBorders>
            <w:noWrap w:val="0"/>
            <w:vAlign w:val="center"/>
          </w:tcPr>
          <w:p w14:paraId="0CA37E9E">
            <w:pPr>
              <w:adjustRightInd w:val="0"/>
              <w:snapToGrid w:val="0"/>
              <w:jc w:val="center"/>
              <w:rPr>
                <w:rFonts w:ascii="宋体" w:hAnsi="宋体"/>
                <w:sz w:val="18"/>
                <w:szCs w:val="18"/>
              </w:rPr>
            </w:pPr>
            <w:r>
              <w:rPr>
                <w:rFonts w:ascii="宋体" w:hAnsi="宋体"/>
                <w:bCs/>
                <w:sz w:val="18"/>
                <w:szCs w:val="18"/>
              </w:rPr>
              <w:t>评定得分</w:t>
            </w:r>
          </w:p>
        </w:tc>
        <w:tc>
          <w:tcPr>
            <w:tcW w:w="1483" w:type="dxa"/>
            <w:tcBorders>
              <w:top w:val="single" w:color="auto" w:sz="8" w:space="0"/>
              <w:bottom w:val="single" w:color="auto" w:sz="8" w:space="0"/>
            </w:tcBorders>
            <w:noWrap w:val="0"/>
            <w:vAlign w:val="center"/>
          </w:tcPr>
          <w:p w14:paraId="6FC94D58">
            <w:pPr>
              <w:adjustRightInd w:val="0"/>
              <w:snapToGrid w:val="0"/>
              <w:jc w:val="center"/>
              <w:rPr>
                <w:rFonts w:ascii="宋体" w:hAnsi="宋体"/>
                <w:sz w:val="18"/>
                <w:szCs w:val="18"/>
              </w:rPr>
            </w:pPr>
            <w:r>
              <w:rPr>
                <w:rFonts w:ascii="宋体" w:hAnsi="宋体"/>
                <w:bCs/>
                <w:sz w:val="18"/>
                <w:szCs w:val="18"/>
              </w:rPr>
              <w:t>扣分说明</w:t>
            </w:r>
          </w:p>
        </w:tc>
        <w:tc>
          <w:tcPr>
            <w:tcW w:w="998" w:type="dxa"/>
            <w:tcBorders>
              <w:top w:val="single" w:color="auto" w:sz="8" w:space="0"/>
              <w:bottom w:val="single" w:color="auto" w:sz="8" w:space="0"/>
            </w:tcBorders>
            <w:noWrap w:val="0"/>
            <w:vAlign w:val="center"/>
          </w:tcPr>
          <w:p w14:paraId="084D734D">
            <w:pPr>
              <w:adjustRightInd w:val="0"/>
              <w:snapToGrid w:val="0"/>
              <w:jc w:val="center"/>
              <w:rPr>
                <w:rFonts w:ascii="宋体" w:hAnsi="宋体"/>
                <w:sz w:val="18"/>
                <w:szCs w:val="18"/>
              </w:rPr>
            </w:pPr>
            <w:r>
              <w:rPr>
                <w:rFonts w:ascii="宋体" w:hAnsi="宋体"/>
                <w:bCs/>
                <w:sz w:val="18"/>
                <w:szCs w:val="18"/>
              </w:rPr>
              <w:t>对应条款编号</w:t>
            </w:r>
          </w:p>
        </w:tc>
      </w:tr>
      <w:tr w14:paraId="26E9A3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3A91AD16">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10</w:t>
            </w:r>
          </w:p>
        </w:tc>
        <w:tc>
          <w:tcPr>
            <w:tcW w:w="6526" w:type="dxa"/>
            <w:tcBorders>
              <w:top w:val="single" w:color="auto" w:sz="8" w:space="0"/>
              <w:bottom w:val="single" w:color="auto" w:sz="8" w:space="0"/>
            </w:tcBorders>
            <w:noWrap w:val="0"/>
            <w:vAlign w:val="center"/>
          </w:tcPr>
          <w:p w14:paraId="010A2CA4">
            <w:pPr>
              <w:adjustRightInd w:val="0"/>
              <w:snapToGrid w:val="0"/>
              <w:jc w:val="left"/>
              <w:rPr>
                <w:rFonts w:ascii="宋体" w:hAnsi="宋体"/>
                <w:sz w:val="18"/>
                <w:szCs w:val="18"/>
              </w:rPr>
            </w:pPr>
            <w:r>
              <w:rPr>
                <w:rFonts w:hint="eastAsia" w:ascii="宋体" w:hAnsi="宋体"/>
                <w:sz w:val="18"/>
                <w:szCs w:val="18"/>
              </w:rPr>
              <w:t>劳动防护用品使用</w:t>
            </w:r>
          </w:p>
        </w:tc>
        <w:tc>
          <w:tcPr>
            <w:tcW w:w="606" w:type="dxa"/>
            <w:tcBorders>
              <w:top w:val="single" w:color="auto" w:sz="8" w:space="0"/>
              <w:bottom w:val="single" w:color="auto" w:sz="8" w:space="0"/>
            </w:tcBorders>
            <w:noWrap w:val="0"/>
            <w:vAlign w:val="center"/>
          </w:tcPr>
          <w:p w14:paraId="11888B83">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lang w:val="en-US" w:eastAsia="zh-CN"/>
              </w:rPr>
              <w:t>5</w:t>
            </w:r>
          </w:p>
        </w:tc>
        <w:tc>
          <w:tcPr>
            <w:tcW w:w="605" w:type="dxa"/>
            <w:tcBorders>
              <w:top w:val="single" w:color="auto" w:sz="8" w:space="0"/>
              <w:bottom w:val="single" w:color="auto" w:sz="8" w:space="0"/>
            </w:tcBorders>
            <w:noWrap w:val="0"/>
            <w:vAlign w:val="center"/>
          </w:tcPr>
          <w:p w14:paraId="56D9F4C7">
            <w:pPr>
              <w:adjustRightInd w:val="0"/>
              <w:snapToGrid w:val="0"/>
              <w:jc w:val="center"/>
              <w:rPr>
                <w:rFonts w:ascii="宋体" w:hAnsi="宋体" w:cs="宋体"/>
                <w:snapToGrid w:val="0"/>
                <w:kern w:val="21"/>
                <w:sz w:val="18"/>
                <w:szCs w:val="18"/>
              </w:rPr>
            </w:pPr>
          </w:p>
        </w:tc>
        <w:tc>
          <w:tcPr>
            <w:tcW w:w="654" w:type="dxa"/>
            <w:tcBorders>
              <w:top w:val="single" w:color="auto" w:sz="8" w:space="0"/>
              <w:bottom w:val="single" w:color="auto" w:sz="8" w:space="0"/>
            </w:tcBorders>
            <w:noWrap w:val="0"/>
            <w:vAlign w:val="center"/>
          </w:tcPr>
          <w:p w14:paraId="323EE024">
            <w:pPr>
              <w:adjustRightInd w:val="0"/>
              <w:snapToGrid w:val="0"/>
              <w:ind w:firstLine="180" w:firstLineChars="100"/>
              <w:jc w:val="center"/>
              <w:rPr>
                <w:rFonts w:ascii="宋体" w:hAnsi="宋体" w:cs="宋体"/>
                <w:snapToGrid w:val="0"/>
                <w:kern w:val="21"/>
                <w:sz w:val="18"/>
                <w:szCs w:val="18"/>
              </w:rPr>
            </w:pPr>
          </w:p>
        </w:tc>
        <w:tc>
          <w:tcPr>
            <w:tcW w:w="3055" w:type="dxa"/>
            <w:tcBorders>
              <w:top w:val="single" w:color="auto" w:sz="8" w:space="0"/>
              <w:bottom w:val="single" w:color="auto" w:sz="8" w:space="0"/>
            </w:tcBorders>
            <w:noWrap w:val="0"/>
            <w:vAlign w:val="center"/>
          </w:tcPr>
          <w:p w14:paraId="66EB84EA">
            <w:pPr>
              <w:adjustRightInd w:val="0"/>
              <w:snapToGrid w:val="0"/>
              <w:jc w:val="left"/>
              <w:rPr>
                <w:rFonts w:hAnsi="宋体"/>
                <w:sz w:val="18"/>
                <w:szCs w:val="18"/>
              </w:rPr>
            </w:pPr>
          </w:p>
        </w:tc>
        <w:tc>
          <w:tcPr>
            <w:tcW w:w="605" w:type="dxa"/>
            <w:tcBorders>
              <w:top w:val="single" w:color="auto" w:sz="8" w:space="0"/>
              <w:bottom w:val="single" w:color="auto" w:sz="8" w:space="0"/>
            </w:tcBorders>
            <w:noWrap w:val="0"/>
            <w:vAlign w:val="center"/>
          </w:tcPr>
          <w:p w14:paraId="1D67CF24">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1483" w:type="dxa"/>
            <w:tcBorders>
              <w:top w:val="single" w:color="auto" w:sz="8" w:space="0"/>
              <w:bottom w:val="single" w:color="auto" w:sz="8" w:space="0"/>
            </w:tcBorders>
            <w:noWrap w:val="0"/>
            <w:vAlign w:val="center"/>
          </w:tcPr>
          <w:p w14:paraId="60EB68B7">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998" w:type="dxa"/>
            <w:tcBorders>
              <w:top w:val="single" w:color="auto" w:sz="8" w:space="0"/>
              <w:bottom w:val="single" w:color="auto" w:sz="8" w:space="0"/>
            </w:tcBorders>
            <w:noWrap w:val="0"/>
            <w:vAlign w:val="center"/>
          </w:tcPr>
          <w:p w14:paraId="7008A1A4">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lang w:eastAsia="zh-CN"/>
              </w:rPr>
              <w:t>4.9</w:t>
            </w:r>
          </w:p>
        </w:tc>
      </w:tr>
      <w:tr w14:paraId="4D467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3E184AA9">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10.</w:t>
            </w:r>
            <w:r>
              <w:rPr>
                <w:rFonts w:hint="eastAsia" w:ascii="宋体" w:hAnsi="宋体" w:cs="宋体"/>
                <w:snapToGrid w:val="0"/>
                <w:kern w:val="21"/>
                <w:sz w:val="18"/>
                <w:szCs w:val="18"/>
                <w:lang w:val="en-US" w:eastAsia="zh-CN"/>
              </w:rPr>
              <w:t>1</w:t>
            </w:r>
          </w:p>
        </w:tc>
        <w:tc>
          <w:tcPr>
            <w:tcW w:w="6526" w:type="dxa"/>
            <w:tcBorders>
              <w:top w:val="single" w:color="auto" w:sz="8" w:space="0"/>
              <w:bottom w:val="single" w:color="auto" w:sz="8" w:space="0"/>
            </w:tcBorders>
            <w:noWrap w:val="0"/>
            <w:vAlign w:val="center"/>
          </w:tcPr>
          <w:p w14:paraId="3993F01F">
            <w:pPr>
              <w:adjustRightInd w:val="0"/>
              <w:snapToGrid w:val="0"/>
              <w:jc w:val="left"/>
              <w:rPr>
                <w:rFonts w:hint="eastAsia" w:hAnsi="宋体" w:eastAsia="宋体"/>
                <w:sz w:val="18"/>
                <w:szCs w:val="18"/>
                <w:lang w:eastAsia="zh-CN"/>
              </w:rPr>
            </w:pPr>
            <w:r>
              <w:rPr>
                <w:rFonts w:hint="eastAsia" w:ascii="宋体" w:hAnsi="宋体"/>
                <w:sz w:val="18"/>
                <w:szCs w:val="18"/>
                <w:lang w:eastAsia="zh-CN"/>
              </w:rPr>
              <w:t>景区</w:t>
            </w:r>
            <w:r>
              <w:rPr>
                <w:rFonts w:hint="eastAsia" w:ascii="宋体" w:hAnsi="宋体"/>
                <w:sz w:val="18"/>
                <w:szCs w:val="18"/>
              </w:rPr>
              <w:t>应按照工作环境中主要危险特征及工作条件特点，为从业人员提供劳动防护用品，并确保从业人员正确佩戴和使用劳动防护用品</w:t>
            </w:r>
            <w:r>
              <w:rPr>
                <w:rFonts w:hint="eastAsia" w:ascii="宋体" w:hAnsi="宋体"/>
                <w:sz w:val="18"/>
                <w:szCs w:val="18"/>
                <w:lang w:eastAsia="zh-CN"/>
              </w:rPr>
              <w:t>，</w:t>
            </w:r>
            <w:r>
              <w:rPr>
                <w:rFonts w:hint="eastAsia" w:ascii="宋体" w:hAnsi="宋体"/>
                <w:sz w:val="18"/>
                <w:szCs w:val="18"/>
                <w:lang w:val="en-US" w:eastAsia="zh-CN"/>
              </w:rPr>
              <w:t>其中</w:t>
            </w:r>
            <w:r>
              <w:rPr>
                <w:rFonts w:hint="eastAsia" w:hAnsi="宋体"/>
                <w:sz w:val="18"/>
                <w:szCs w:val="18"/>
              </w:rPr>
              <w:t>作业人员劳动防护用品配备应符合下列要求</w:t>
            </w:r>
            <w:r>
              <w:rPr>
                <w:rFonts w:hint="eastAsia" w:hAnsi="宋体"/>
                <w:sz w:val="18"/>
                <w:szCs w:val="18"/>
                <w:lang w:eastAsia="zh-CN"/>
              </w:rPr>
              <w:t>：</w:t>
            </w:r>
          </w:p>
          <w:p w14:paraId="7559BF51">
            <w:pPr>
              <w:adjustRightInd w:val="0"/>
              <w:snapToGrid w:val="0"/>
              <w:jc w:val="left"/>
              <w:rPr>
                <w:rFonts w:hint="eastAsia" w:hAnsi="宋体"/>
                <w:sz w:val="18"/>
                <w:szCs w:val="18"/>
              </w:rPr>
            </w:pPr>
            <w:r>
              <w:rPr>
                <w:rFonts w:hint="eastAsia" w:ascii="宋体" w:hAnsi="宋体"/>
                <w:sz w:val="18"/>
                <w:szCs w:val="18"/>
              </w:rPr>
              <w:t>a）</w:t>
            </w:r>
            <w:r>
              <w:rPr>
                <w:rFonts w:hint="eastAsia" w:hAnsi="宋体"/>
                <w:sz w:val="18"/>
                <w:szCs w:val="18"/>
              </w:rPr>
              <w:t>水上作业时，人员进入水中作业应</w:t>
            </w:r>
            <w:r>
              <w:rPr>
                <w:rFonts w:hint="eastAsia" w:ascii="宋体" w:hAnsi="宋体"/>
                <w:sz w:val="18"/>
                <w:szCs w:val="18"/>
                <w:lang w:val="en-US" w:eastAsia="zh-CN"/>
              </w:rPr>
              <w:t>穿戴</w:t>
            </w:r>
            <w:r>
              <w:rPr>
                <w:rFonts w:hint="eastAsia" w:ascii="宋体" w:hAnsi="宋体"/>
                <w:sz w:val="18"/>
                <w:szCs w:val="18"/>
              </w:rPr>
              <w:t>防水服</w:t>
            </w:r>
            <w:r>
              <w:rPr>
                <w:rFonts w:hint="eastAsia" w:ascii="宋体" w:hAnsi="宋体"/>
                <w:sz w:val="18"/>
                <w:szCs w:val="18"/>
                <w:lang w:eastAsia="zh-CN"/>
              </w:rPr>
              <w:t>；</w:t>
            </w:r>
          </w:p>
          <w:p w14:paraId="4DCF3417">
            <w:pPr>
              <w:adjustRightInd w:val="0"/>
              <w:snapToGrid w:val="0"/>
              <w:jc w:val="left"/>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）电焊作业时应使用防护眼镜或面罩</w:t>
            </w:r>
            <w:r>
              <w:rPr>
                <w:rFonts w:hint="eastAsia" w:ascii="宋体" w:hAnsi="宋体"/>
                <w:sz w:val="18"/>
                <w:szCs w:val="18"/>
                <w:lang w:eastAsia="zh-CN"/>
              </w:rPr>
              <w:t>；</w:t>
            </w:r>
          </w:p>
          <w:p w14:paraId="4D94F2C7">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c</w:t>
            </w:r>
            <w:r>
              <w:rPr>
                <w:rFonts w:hint="eastAsia" w:ascii="宋体" w:hAnsi="宋体"/>
                <w:sz w:val="18"/>
                <w:szCs w:val="18"/>
              </w:rPr>
              <w:t>）从配药到喷撒农药杀虫的全过程，操作人员应正确佩戴橡胶安全防护手套</w:t>
            </w:r>
            <w:r>
              <w:rPr>
                <w:rFonts w:hint="eastAsia" w:ascii="宋体" w:hAnsi="宋体"/>
                <w:sz w:val="18"/>
                <w:szCs w:val="18"/>
                <w:lang w:eastAsia="zh-CN"/>
              </w:rPr>
              <w:t>、</w:t>
            </w:r>
            <w:r>
              <w:rPr>
                <w:rFonts w:hint="eastAsia" w:ascii="宋体" w:hAnsi="宋体"/>
                <w:sz w:val="18"/>
                <w:szCs w:val="18"/>
              </w:rPr>
              <w:t>防毒口罩和防护眼镜等。</w:t>
            </w:r>
          </w:p>
        </w:tc>
        <w:tc>
          <w:tcPr>
            <w:tcW w:w="606" w:type="dxa"/>
            <w:tcBorders>
              <w:top w:val="single" w:color="auto" w:sz="8" w:space="0"/>
              <w:bottom w:val="single" w:color="auto" w:sz="8" w:space="0"/>
            </w:tcBorders>
            <w:noWrap w:val="0"/>
            <w:vAlign w:val="center"/>
          </w:tcPr>
          <w:p w14:paraId="1E546692">
            <w:pPr>
              <w:adjustRightInd w:val="0"/>
              <w:snapToGrid w:val="0"/>
              <w:jc w:val="center"/>
              <w:rPr>
                <w:rFonts w:ascii="宋体" w:hAnsi="宋体" w:eastAsia="宋体" w:cs="宋体"/>
                <w:snapToGrid w:val="0"/>
                <w:kern w:val="21"/>
                <w:sz w:val="18"/>
                <w:szCs w:val="18"/>
                <w:lang w:val="en-US" w:eastAsia="zh-CN" w:bidi="ar-SA"/>
              </w:rPr>
            </w:pPr>
          </w:p>
        </w:tc>
        <w:tc>
          <w:tcPr>
            <w:tcW w:w="605" w:type="dxa"/>
            <w:tcBorders>
              <w:top w:val="single" w:color="auto" w:sz="8" w:space="0"/>
              <w:bottom w:val="single" w:color="auto" w:sz="8" w:space="0"/>
            </w:tcBorders>
            <w:noWrap w:val="0"/>
            <w:vAlign w:val="center"/>
          </w:tcPr>
          <w:p w14:paraId="5812E457">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val="en-US" w:eastAsia="zh-CN"/>
              </w:rPr>
              <w:t>5</w:t>
            </w:r>
          </w:p>
        </w:tc>
        <w:tc>
          <w:tcPr>
            <w:tcW w:w="654" w:type="dxa"/>
            <w:tcBorders>
              <w:top w:val="single" w:color="auto" w:sz="8" w:space="0"/>
              <w:bottom w:val="single" w:color="auto" w:sz="8" w:space="0"/>
            </w:tcBorders>
            <w:noWrap w:val="0"/>
            <w:vAlign w:val="center"/>
          </w:tcPr>
          <w:p w14:paraId="2137AD00">
            <w:pPr>
              <w:adjustRightInd w:val="0"/>
              <w:snapToGrid w:val="0"/>
              <w:jc w:val="center"/>
              <w:rPr>
                <w:rFonts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val="en-US" w:eastAsia="zh-CN"/>
              </w:rPr>
              <w:t>5</w:t>
            </w:r>
          </w:p>
        </w:tc>
        <w:tc>
          <w:tcPr>
            <w:tcW w:w="3055" w:type="dxa"/>
            <w:tcBorders>
              <w:top w:val="single" w:color="auto" w:sz="8" w:space="0"/>
              <w:bottom w:val="single" w:color="auto" w:sz="8" w:space="0"/>
            </w:tcBorders>
            <w:noWrap w:val="0"/>
            <w:vAlign w:val="center"/>
          </w:tcPr>
          <w:p w14:paraId="5310728A">
            <w:pPr>
              <w:adjustRightInd w:val="0"/>
              <w:snapToGrid w:val="0"/>
              <w:jc w:val="left"/>
              <w:rPr>
                <w:rFonts w:ascii="宋体" w:hAnsi="宋体" w:eastAsia="宋体" w:cs="Times New Roman"/>
                <w:kern w:val="2"/>
                <w:sz w:val="18"/>
                <w:szCs w:val="18"/>
                <w:lang w:val="en-US" w:eastAsia="zh-CN" w:bidi="ar-SA"/>
              </w:rPr>
            </w:pPr>
            <w:r>
              <w:rPr>
                <w:rFonts w:hint="eastAsia" w:ascii="宋体" w:hAnsi="宋体"/>
                <w:sz w:val="18"/>
                <w:szCs w:val="18"/>
              </w:rPr>
              <w:t>一处不符合，</w:t>
            </w:r>
            <w:r>
              <w:rPr>
                <w:rFonts w:hint="eastAsia" w:ascii="宋体" w:hAnsi="宋体"/>
                <w:sz w:val="18"/>
                <w:szCs w:val="18"/>
                <w:lang w:val="en-US" w:eastAsia="zh-CN"/>
              </w:rPr>
              <w:t>扣2分</w:t>
            </w:r>
            <w:r>
              <w:rPr>
                <w:rFonts w:hint="eastAsia" w:ascii="宋体" w:hAnsi="宋体"/>
                <w:sz w:val="18"/>
                <w:szCs w:val="18"/>
              </w:rPr>
              <w:t>。</w:t>
            </w:r>
          </w:p>
        </w:tc>
        <w:tc>
          <w:tcPr>
            <w:tcW w:w="605" w:type="dxa"/>
            <w:tcBorders>
              <w:top w:val="single" w:color="auto" w:sz="8" w:space="0"/>
              <w:bottom w:val="single" w:color="auto" w:sz="8" w:space="0"/>
            </w:tcBorders>
            <w:noWrap w:val="0"/>
            <w:vAlign w:val="center"/>
          </w:tcPr>
          <w:p w14:paraId="68A7B723">
            <w:pPr>
              <w:adjustRightInd w:val="0"/>
              <w:snapToGrid w:val="0"/>
              <w:jc w:val="center"/>
              <w:rPr>
                <w:rFonts w:ascii="宋体" w:hAnsi="宋体" w:eastAsia="宋体" w:cs="宋体"/>
                <w:snapToGrid w:val="0"/>
                <w:kern w:val="21"/>
                <w:sz w:val="18"/>
                <w:szCs w:val="18"/>
                <w:lang w:val="en-US" w:eastAsia="zh-CN" w:bidi="ar-SA"/>
              </w:rPr>
            </w:pPr>
          </w:p>
        </w:tc>
        <w:tc>
          <w:tcPr>
            <w:tcW w:w="1483" w:type="dxa"/>
            <w:tcBorders>
              <w:top w:val="single" w:color="auto" w:sz="8" w:space="0"/>
              <w:bottom w:val="single" w:color="auto" w:sz="8" w:space="0"/>
            </w:tcBorders>
            <w:noWrap w:val="0"/>
            <w:vAlign w:val="center"/>
          </w:tcPr>
          <w:p w14:paraId="4222E85D">
            <w:pPr>
              <w:adjustRightInd w:val="0"/>
              <w:snapToGrid w:val="0"/>
              <w:jc w:val="center"/>
              <w:rPr>
                <w:rFonts w:ascii="宋体" w:hAnsi="宋体" w:eastAsia="宋体" w:cs="宋体"/>
                <w:snapToGrid w:val="0"/>
                <w:kern w:val="21"/>
                <w:sz w:val="18"/>
                <w:szCs w:val="18"/>
                <w:lang w:val="en-US" w:eastAsia="zh-CN" w:bidi="ar-SA"/>
              </w:rPr>
            </w:pPr>
          </w:p>
        </w:tc>
        <w:tc>
          <w:tcPr>
            <w:tcW w:w="998" w:type="dxa"/>
            <w:tcBorders>
              <w:top w:val="single" w:color="auto" w:sz="8" w:space="0"/>
              <w:bottom w:val="single" w:color="auto" w:sz="8" w:space="0"/>
            </w:tcBorders>
            <w:noWrap w:val="0"/>
            <w:vAlign w:val="center"/>
          </w:tcPr>
          <w:p w14:paraId="2F6EB47D">
            <w:pPr>
              <w:adjustRightInd w:val="0"/>
              <w:snapToGrid w:val="0"/>
              <w:jc w:val="center"/>
              <w:rPr>
                <w:rFonts w:hint="eastAsia" w:ascii="宋体" w:hAnsi="宋体" w:cs="宋体"/>
                <w:snapToGrid w:val="0"/>
                <w:kern w:val="21"/>
                <w:sz w:val="18"/>
                <w:szCs w:val="18"/>
              </w:rPr>
            </w:pPr>
            <w:r>
              <w:rPr>
                <w:rFonts w:hint="eastAsia" w:ascii="宋体" w:hAnsi="宋体" w:cs="宋体"/>
                <w:snapToGrid w:val="0"/>
                <w:kern w:val="21"/>
                <w:sz w:val="18"/>
                <w:szCs w:val="18"/>
                <w:lang w:eastAsia="zh-CN"/>
              </w:rPr>
              <w:t>4.9</w:t>
            </w:r>
            <w:r>
              <w:rPr>
                <w:rFonts w:hint="eastAsia" w:ascii="宋体" w:hAnsi="宋体" w:cs="宋体"/>
                <w:snapToGrid w:val="0"/>
                <w:kern w:val="21"/>
                <w:sz w:val="18"/>
                <w:szCs w:val="18"/>
              </w:rPr>
              <w:t>.1</w:t>
            </w:r>
          </w:p>
          <w:p w14:paraId="699781C5">
            <w:pPr>
              <w:adjustRightInd w:val="0"/>
              <w:snapToGrid w:val="0"/>
              <w:jc w:val="center"/>
              <w:rPr>
                <w:rFonts w:hint="default" w:ascii="宋体" w:hAnsi="宋体" w:eastAsia="宋体" w:cs="宋体"/>
                <w:snapToGrid w:val="0"/>
                <w:kern w:val="21"/>
                <w:sz w:val="18"/>
                <w:szCs w:val="18"/>
                <w:lang w:val="en-US" w:eastAsia="zh-CN"/>
              </w:rPr>
            </w:pPr>
            <w:r>
              <w:rPr>
                <w:rFonts w:hint="eastAsia" w:ascii="宋体" w:hAnsi="宋体" w:cs="宋体"/>
                <w:snapToGrid w:val="0"/>
                <w:kern w:val="21"/>
                <w:sz w:val="18"/>
                <w:szCs w:val="18"/>
                <w:lang w:val="en-US" w:eastAsia="zh-CN"/>
              </w:rPr>
              <w:t>4.9.2</w:t>
            </w:r>
          </w:p>
        </w:tc>
      </w:tr>
    </w:tbl>
    <w:p w14:paraId="7332F7D2">
      <w:pPr>
        <w:pStyle w:val="174"/>
        <w:rPr>
          <w:rFonts w:hint="eastAsia"/>
        </w:rPr>
      </w:pPr>
      <w:bookmarkStart w:id="640" w:name="_Toc22166"/>
      <w:bookmarkEnd w:id="640"/>
      <w:bookmarkStart w:id="641" w:name="_Toc10637"/>
      <w:bookmarkEnd w:id="641"/>
    </w:p>
    <w:p w14:paraId="2D80C2FE">
      <w:pPr>
        <w:pStyle w:val="167"/>
        <w:numPr>
          <w:numId w:val="0"/>
        </w:numPr>
        <w:tabs>
          <w:tab w:val="clear" w:pos="0"/>
        </w:tabs>
        <w:ind w:left="0" w:leftChars="0" w:hanging="425" w:firstLineChars="0"/>
        <w:rPr>
          <w:rFonts w:hint="eastAsia"/>
        </w:rPr>
      </w:pPr>
      <w:bookmarkStart w:id="642" w:name="_Toc1434"/>
      <w:bookmarkStart w:id="643" w:name="_Toc13407"/>
      <w:r>
        <w:rPr>
          <w:rFonts w:hint="eastAsia" w:ascii="Times New Roman" w:hAnsi="Times New Roman" w:eastAsia="宋体" w:cs="Times New Roman"/>
          <w:color w:val="FFFFFF"/>
          <w:kern w:val="2"/>
          <w:sz w:val="21"/>
          <w:szCs w:val="24"/>
          <w:lang w:val="en-US" w:eastAsia="zh-CN" w:bidi="ar-SA"/>
        </w:rPr>
        <w:t>J</w:t>
      </w:r>
      <w:bookmarkEnd w:id="642"/>
      <w:bookmarkEnd w:id="643"/>
    </w:p>
    <w:p w14:paraId="365F1D5A">
      <w:pPr>
        <w:pStyle w:val="160"/>
        <w:rPr>
          <w:rFonts w:hint="eastAsia"/>
        </w:rPr>
      </w:pPr>
      <w:bookmarkStart w:id="644" w:name="_Toc5664"/>
      <w:bookmarkStart w:id="645" w:name="_Toc6357"/>
      <w:r>
        <w:br w:type="textWrapping"/>
      </w:r>
      <w:bookmarkStart w:id="646" w:name="_Toc482189192"/>
      <w:bookmarkStart w:id="647" w:name="_Toc484984820"/>
      <w:bookmarkStart w:id="648" w:name="_Toc498325692"/>
      <w:bookmarkStart w:id="649" w:name="_Toc498286365"/>
      <w:bookmarkStart w:id="650" w:name="_Toc484965781"/>
      <w:bookmarkStart w:id="651" w:name="_Toc486261048"/>
      <w:bookmarkStart w:id="652" w:name="_Toc482172347"/>
      <w:bookmarkStart w:id="653" w:name="_Toc482172288"/>
      <w:bookmarkStart w:id="654" w:name="_Toc498348152"/>
      <w:bookmarkStart w:id="655" w:name="_Toc482198504"/>
      <w:bookmarkStart w:id="656" w:name="_Toc482175065"/>
      <w:bookmarkStart w:id="657" w:name="_Toc504594733"/>
      <w:bookmarkStart w:id="658" w:name="_Toc504931858"/>
      <w:bookmarkStart w:id="659" w:name="_Toc482174643"/>
      <w:bookmarkStart w:id="660" w:name="_Toc498337287"/>
      <w:bookmarkStart w:id="661" w:name="_Toc484965511"/>
      <w:bookmarkStart w:id="662" w:name="_Toc482174159"/>
      <w:bookmarkStart w:id="663" w:name="_Toc484958287"/>
      <w:r>
        <w:rPr>
          <w:rFonts w:hint="eastAsia"/>
        </w:rPr>
        <w:t>（规范性附录）</w:t>
      </w:r>
      <w:r>
        <w:br w:type="textWrapping"/>
      </w:r>
      <w:r>
        <w:rPr>
          <w:rFonts w:hint="eastAsia"/>
        </w:rPr>
        <w:t>操作人员行为规范要素的安全生产等级评定细则</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59AFAF69">
      <w:pPr>
        <w:pStyle w:val="36"/>
        <w:rPr>
          <w:rFonts w:hint="eastAsia"/>
        </w:rPr>
      </w:pPr>
      <w:r>
        <w:rPr>
          <w:rFonts w:hint="eastAsia" w:hAnsi="宋体"/>
        </w:rPr>
        <w:t>表</w:t>
      </w:r>
      <w:r>
        <w:rPr>
          <w:rFonts w:hint="eastAsia" w:hAnsi="宋体"/>
          <w:lang w:val="en-US" w:eastAsia="zh-CN"/>
        </w:rPr>
        <w:t>K</w:t>
      </w:r>
      <w:r>
        <w:rPr>
          <w:rFonts w:hint="eastAsia" w:hAnsi="宋体"/>
        </w:rPr>
        <w:t>.1给出了操作人员行为规范要素安全生产等级评定细则，总分4</w:t>
      </w:r>
      <w:r>
        <w:rPr>
          <w:rFonts w:hint="eastAsia" w:hAnsi="宋体"/>
          <w:lang w:val="en-US" w:eastAsia="zh-CN"/>
        </w:rPr>
        <w:t>0</w:t>
      </w:r>
      <w:r>
        <w:rPr>
          <w:rFonts w:hint="eastAsia" w:hAnsi="宋体"/>
        </w:rPr>
        <w:t>分。</w:t>
      </w:r>
    </w:p>
    <w:p w14:paraId="2F0419BC">
      <w:pPr>
        <w:pStyle w:val="168"/>
        <w:numPr>
          <w:ilvl w:val="0"/>
          <w:numId w:val="0"/>
        </w:numPr>
        <w:spacing w:before="156" w:after="156"/>
        <w:ind w:left="567" w:hanging="567"/>
      </w:pPr>
      <w:r>
        <w:rPr>
          <w:rFonts w:hint="eastAsia"/>
        </w:rPr>
        <w:t>表</w:t>
      </w:r>
      <w:r>
        <w:rPr>
          <w:rFonts w:hint="eastAsia"/>
          <w:lang w:val="en-US" w:eastAsia="zh-CN"/>
        </w:rPr>
        <w:t>K</w:t>
      </w:r>
      <w:r>
        <w:rPr>
          <w:rFonts w:hint="eastAsia"/>
        </w:rPr>
        <w:t>.1 操作人员行为规范要素的安全生产等级评定细则</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59"/>
        <w:gridCol w:w="6409"/>
        <w:gridCol w:w="599"/>
        <w:gridCol w:w="596"/>
        <w:gridCol w:w="645"/>
        <w:gridCol w:w="2985"/>
        <w:gridCol w:w="596"/>
        <w:gridCol w:w="1449"/>
        <w:gridCol w:w="1115"/>
      </w:tblGrid>
      <w:tr w14:paraId="12E0A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12B491E4">
            <w:pPr>
              <w:adjustRightInd w:val="0"/>
              <w:snapToGrid w:val="0"/>
              <w:jc w:val="center"/>
              <w:rPr>
                <w:rFonts w:ascii="宋体" w:hAnsi="宋体"/>
                <w:sz w:val="18"/>
                <w:szCs w:val="18"/>
              </w:rPr>
            </w:pPr>
            <w:r>
              <w:rPr>
                <w:rFonts w:ascii="宋体" w:hAnsi="宋体"/>
                <w:bCs/>
                <w:sz w:val="18"/>
                <w:szCs w:val="18"/>
              </w:rPr>
              <w:t>序号</w:t>
            </w:r>
          </w:p>
        </w:tc>
        <w:tc>
          <w:tcPr>
            <w:tcW w:w="6409" w:type="dxa"/>
            <w:tcBorders>
              <w:top w:val="single" w:color="auto" w:sz="8" w:space="0"/>
              <w:bottom w:val="single" w:color="auto" w:sz="8" w:space="0"/>
            </w:tcBorders>
            <w:noWrap w:val="0"/>
            <w:vAlign w:val="center"/>
          </w:tcPr>
          <w:p w14:paraId="1981EB50">
            <w:pPr>
              <w:adjustRightInd w:val="0"/>
              <w:snapToGrid w:val="0"/>
              <w:jc w:val="center"/>
              <w:rPr>
                <w:rFonts w:ascii="宋体" w:hAnsi="宋体"/>
                <w:sz w:val="18"/>
                <w:szCs w:val="18"/>
              </w:rPr>
            </w:pPr>
            <w:r>
              <w:rPr>
                <w:rFonts w:ascii="宋体" w:hAnsi="宋体"/>
                <w:bCs/>
                <w:sz w:val="18"/>
                <w:szCs w:val="18"/>
              </w:rPr>
              <w:t>评定内容</w:t>
            </w:r>
          </w:p>
        </w:tc>
        <w:tc>
          <w:tcPr>
            <w:tcW w:w="599" w:type="dxa"/>
            <w:tcBorders>
              <w:top w:val="single" w:color="auto" w:sz="8" w:space="0"/>
              <w:bottom w:val="single" w:color="auto" w:sz="8" w:space="0"/>
            </w:tcBorders>
            <w:noWrap w:val="0"/>
            <w:vAlign w:val="center"/>
          </w:tcPr>
          <w:p w14:paraId="3731249D">
            <w:pPr>
              <w:adjustRightInd w:val="0"/>
              <w:snapToGrid w:val="0"/>
              <w:jc w:val="center"/>
              <w:rPr>
                <w:rFonts w:ascii="宋体" w:hAnsi="宋体"/>
                <w:sz w:val="18"/>
                <w:szCs w:val="18"/>
              </w:rPr>
            </w:pPr>
            <w:r>
              <w:rPr>
                <w:rFonts w:ascii="宋体" w:hAnsi="宋体"/>
                <w:bCs/>
                <w:sz w:val="18"/>
                <w:szCs w:val="18"/>
              </w:rPr>
              <w:t>评定要素分值</w:t>
            </w:r>
          </w:p>
        </w:tc>
        <w:tc>
          <w:tcPr>
            <w:tcW w:w="596" w:type="dxa"/>
            <w:tcBorders>
              <w:top w:val="single" w:color="auto" w:sz="8" w:space="0"/>
              <w:bottom w:val="single" w:color="auto" w:sz="8" w:space="0"/>
            </w:tcBorders>
            <w:noWrap w:val="0"/>
            <w:vAlign w:val="center"/>
          </w:tcPr>
          <w:p w14:paraId="03D5DF97">
            <w:pPr>
              <w:adjustRightInd w:val="0"/>
              <w:snapToGrid w:val="0"/>
              <w:jc w:val="center"/>
              <w:rPr>
                <w:rFonts w:ascii="宋体" w:hAnsi="宋体"/>
                <w:sz w:val="18"/>
                <w:szCs w:val="18"/>
              </w:rPr>
            </w:pPr>
            <w:r>
              <w:rPr>
                <w:rFonts w:ascii="宋体" w:hAnsi="宋体"/>
                <w:bCs/>
                <w:sz w:val="18"/>
                <w:szCs w:val="18"/>
              </w:rPr>
              <w:t>评定细项分值</w:t>
            </w:r>
          </w:p>
        </w:tc>
        <w:tc>
          <w:tcPr>
            <w:tcW w:w="645" w:type="dxa"/>
            <w:tcBorders>
              <w:top w:val="single" w:color="auto" w:sz="8" w:space="0"/>
              <w:bottom w:val="single" w:color="auto" w:sz="8" w:space="0"/>
            </w:tcBorders>
            <w:noWrap w:val="0"/>
            <w:vAlign w:val="center"/>
          </w:tcPr>
          <w:p w14:paraId="0FE57AE5">
            <w:pPr>
              <w:adjustRightInd w:val="0"/>
              <w:snapToGrid w:val="0"/>
              <w:jc w:val="center"/>
              <w:rPr>
                <w:rFonts w:ascii="宋体" w:hAnsi="宋体"/>
                <w:sz w:val="18"/>
                <w:szCs w:val="18"/>
              </w:rPr>
            </w:pPr>
            <w:r>
              <w:rPr>
                <w:rFonts w:ascii="宋体" w:hAnsi="宋体"/>
                <w:bCs/>
                <w:sz w:val="18"/>
                <w:szCs w:val="18"/>
              </w:rPr>
              <w:t>评定条款分值</w:t>
            </w:r>
          </w:p>
        </w:tc>
        <w:tc>
          <w:tcPr>
            <w:tcW w:w="2985" w:type="dxa"/>
            <w:tcBorders>
              <w:top w:val="single" w:color="auto" w:sz="8" w:space="0"/>
              <w:bottom w:val="single" w:color="auto" w:sz="8" w:space="0"/>
            </w:tcBorders>
            <w:noWrap w:val="0"/>
            <w:vAlign w:val="center"/>
          </w:tcPr>
          <w:p w14:paraId="13037F22">
            <w:pPr>
              <w:adjustRightInd w:val="0"/>
              <w:snapToGrid w:val="0"/>
              <w:jc w:val="center"/>
              <w:rPr>
                <w:rFonts w:ascii="宋体" w:hAnsi="宋体"/>
                <w:sz w:val="18"/>
                <w:szCs w:val="18"/>
              </w:rPr>
            </w:pPr>
            <w:r>
              <w:rPr>
                <w:rFonts w:ascii="宋体" w:hAnsi="宋体"/>
                <w:bCs/>
                <w:sz w:val="18"/>
                <w:szCs w:val="18"/>
              </w:rPr>
              <w:t>评分标准</w:t>
            </w:r>
          </w:p>
        </w:tc>
        <w:tc>
          <w:tcPr>
            <w:tcW w:w="596" w:type="dxa"/>
            <w:tcBorders>
              <w:top w:val="single" w:color="auto" w:sz="8" w:space="0"/>
              <w:bottom w:val="single" w:color="auto" w:sz="8" w:space="0"/>
            </w:tcBorders>
            <w:noWrap w:val="0"/>
            <w:vAlign w:val="center"/>
          </w:tcPr>
          <w:p w14:paraId="3DFA60C4">
            <w:pPr>
              <w:adjustRightInd w:val="0"/>
              <w:snapToGrid w:val="0"/>
              <w:jc w:val="center"/>
              <w:rPr>
                <w:rFonts w:ascii="宋体" w:hAnsi="宋体"/>
                <w:sz w:val="18"/>
                <w:szCs w:val="18"/>
              </w:rPr>
            </w:pPr>
            <w:r>
              <w:rPr>
                <w:rFonts w:ascii="宋体" w:hAnsi="宋体"/>
                <w:bCs/>
                <w:sz w:val="18"/>
                <w:szCs w:val="18"/>
              </w:rPr>
              <w:t>评定得分</w:t>
            </w:r>
          </w:p>
        </w:tc>
        <w:tc>
          <w:tcPr>
            <w:tcW w:w="1449" w:type="dxa"/>
            <w:tcBorders>
              <w:top w:val="single" w:color="auto" w:sz="8" w:space="0"/>
              <w:bottom w:val="single" w:color="auto" w:sz="8" w:space="0"/>
            </w:tcBorders>
            <w:noWrap w:val="0"/>
            <w:vAlign w:val="center"/>
          </w:tcPr>
          <w:p w14:paraId="30CCB3A9">
            <w:pPr>
              <w:adjustRightInd w:val="0"/>
              <w:snapToGrid w:val="0"/>
              <w:jc w:val="center"/>
              <w:rPr>
                <w:rFonts w:ascii="宋体" w:hAnsi="宋体"/>
                <w:sz w:val="18"/>
                <w:szCs w:val="18"/>
              </w:rPr>
            </w:pPr>
            <w:r>
              <w:rPr>
                <w:rFonts w:ascii="宋体" w:hAnsi="宋体"/>
                <w:bCs/>
                <w:sz w:val="18"/>
                <w:szCs w:val="18"/>
              </w:rPr>
              <w:t>扣分说明</w:t>
            </w:r>
          </w:p>
        </w:tc>
        <w:tc>
          <w:tcPr>
            <w:tcW w:w="1115" w:type="dxa"/>
            <w:tcBorders>
              <w:top w:val="single" w:color="auto" w:sz="8" w:space="0"/>
              <w:bottom w:val="single" w:color="auto" w:sz="8" w:space="0"/>
            </w:tcBorders>
            <w:noWrap w:val="0"/>
            <w:vAlign w:val="center"/>
          </w:tcPr>
          <w:p w14:paraId="23FE58A4">
            <w:pPr>
              <w:adjustRightInd w:val="0"/>
              <w:snapToGrid w:val="0"/>
              <w:jc w:val="center"/>
              <w:rPr>
                <w:rFonts w:ascii="宋体" w:hAnsi="宋体"/>
                <w:sz w:val="18"/>
                <w:szCs w:val="18"/>
              </w:rPr>
            </w:pPr>
            <w:r>
              <w:rPr>
                <w:rFonts w:ascii="宋体" w:hAnsi="宋体"/>
                <w:bCs/>
                <w:sz w:val="18"/>
                <w:szCs w:val="18"/>
              </w:rPr>
              <w:t>对应条款编号</w:t>
            </w:r>
          </w:p>
        </w:tc>
      </w:tr>
      <w:tr w14:paraId="3B64F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46686DF5">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1</w:t>
            </w:r>
            <w:r>
              <w:rPr>
                <w:rFonts w:hint="eastAsia" w:ascii="宋体" w:hAnsi="宋体" w:cs="宋体"/>
                <w:snapToGrid w:val="0"/>
                <w:kern w:val="21"/>
                <w:sz w:val="18"/>
                <w:szCs w:val="18"/>
                <w:lang w:val="en-US" w:eastAsia="zh-CN"/>
              </w:rPr>
              <w:t>0</w:t>
            </w:r>
          </w:p>
        </w:tc>
        <w:tc>
          <w:tcPr>
            <w:tcW w:w="6409" w:type="dxa"/>
            <w:tcBorders>
              <w:top w:val="single" w:color="auto" w:sz="8" w:space="0"/>
              <w:bottom w:val="single" w:color="auto" w:sz="8" w:space="0"/>
            </w:tcBorders>
            <w:noWrap w:val="0"/>
            <w:vAlign w:val="center"/>
          </w:tcPr>
          <w:p w14:paraId="212D9498">
            <w:pPr>
              <w:adjustRightInd w:val="0"/>
              <w:snapToGrid w:val="0"/>
              <w:rPr>
                <w:rFonts w:ascii="宋体" w:hAnsi="宋体"/>
                <w:sz w:val="18"/>
                <w:szCs w:val="18"/>
              </w:rPr>
            </w:pPr>
            <w:r>
              <w:rPr>
                <w:rFonts w:hint="eastAsia" w:ascii="宋体" w:hAnsi="宋体"/>
                <w:sz w:val="18"/>
                <w:szCs w:val="18"/>
              </w:rPr>
              <w:t>操作人员行为规范</w:t>
            </w:r>
          </w:p>
        </w:tc>
        <w:tc>
          <w:tcPr>
            <w:tcW w:w="599" w:type="dxa"/>
            <w:tcBorders>
              <w:top w:val="single" w:color="auto" w:sz="8" w:space="0"/>
              <w:bottom w:val="single" w:color="auto" w:sz="8" w:space="0"/>
            </w:tcBorders>
            <w:noWrap w:val="0"/>
            <w:vAlign w:val="center"/>
          </w:tcPr>
          <w:p w14:paraId="11E92D71">
            <w:pPr>
              <w:widowControl/>
              <w:tabs>
                <w:tab w:val="center" w:pos="4201"/>
                <w:tab w:val="right" w:leader="dot" w:pos="9298"/>
              </w:tabs>
              <w:autoSpaceDE w:val="0"/>
              <w:autoSpaceDN w:val="0"/>
              <w:ind w:right="33" w:rightChars="16"/>
              <w:jc w:val="center"/>
              <w:rPr>
                <w:rFonts w:hint="eastAsia" w:ascii="宋体" w:hAnsi="宋体" w:eastAsia="宋体"/>
                <w:kern w:val="0"/>
                <w:sz w:val="18"/>
                <w:szCs w:val="18"/>
                <w:lang w:val="en-US" w:eastAsia="zh-CN"/>
              </w:rPr>
            </w:pPr>
            <w:r>
              <w:rPr>
                <w:rFonts w:hint="eastAsia" w:ascii="宋体" w:hAnsi="宋体" w:cs="宋体"/>
                <w:snapToGrid w:val="0"/>
                <w:kern w:val="21"/>
                <w:sz w:val="18"/>
                <w:szCs w:val="18"/>
              </w:rPr>
              <w:t>4</w:t>
            </w:r>
            <w:r>
              <w:rPr>
                <w:rFonts w:hint="eastAsia" w:ascii="宋体" w:hAnsi="宋体" w:cs="宋体"/>
                <w:snapToGrid w:val="0"/>
                <w:kern w:val="21"/>
                <w:sz w:val="18"/>
                <w:szCs w:val="18"/>
                <w:lang w:val="en-US" w:eastAsia="zh-CN"/>
              </w:rPr>
              <w:t>0</w:t>
            </w:r>
          </w:p>
        </w:tc>
        <w:tc>
          <w:tcPr>
            <w:tcW w:w="596" w:type="dxa"/>
            <w:tcBorders>
              <w:top w:val="single" w:color="auto" w:sz="8" w:space="0"/>
              <w:bottom w:val="single" w:color="auto" w:sz="8" w:space="0"/>
            </w:tcBorders>
            <w:noWrap w:val="0"/>
            <w:vAlign w:val="top"/>
          </w:tcPr>
          <w:p w14:paraId="752CACB3">
            <w:pPr>
              <w:ind w:left="-249" w:leftChars="-119"/>
              <w:jc w:val="center"/>
              <w:rPr>
                <w:rFonts w:ascii="宋体" w:hAnsi="宋体" w:cs="宋体"/>
                <w:sz w:val="18"/>
                <w:szCs w:val="18"/>
              </w:rPr>
            </w:pPr>
          </w:p>
        </w:tc>
        <w:tc>
          <w:tcPr>
            <w:tcW w:w="645" w:type="dxa"/>
            <w:tcBorders>
              <w:top w:val="single" w:color="auto" w:sz="8" w:space="0"/>
              <w:bottom w:val="single" w:color="auto" w:sz="8" w:space="0"/>
            </w:tcBorders>
            <w:noWrap w:val="0"/>
            <w:vAlign w:val="center"/>
          </w:tcPr>
          <w:p w14:paraId="4B0D7ADD">
            <w:pPr>
              <w:ind w:firstLine="180" w:firstLineChars="100"/>
              <w:rPr>
                <w:rFonts w:ascii="宋体" w:hAnsi="宋体" w:cs="宋体"/>
                <w:sz w:val="18"/>
                <w:szCs w:val="18"/>
              </w:rPr>
            </w:pPr>
          </w:p>
        </w:tc>
        <w:tc>
          <w:tcPr>
            <w:tcW w:w="2985" w:type="dxa"/>
            <w:tcBorders>
              <w:top w:val="single" w:color="auto" w:sz="8" w:space="0"/>
              <w:bottom w:val="single" w:color="auto" w:sz="8" w:space="0"/>
            </w:tcBorders>
            <w:noWrap w:val="0"/>
            <w:vAlign w:val="center"/>
          </w:tcPr>
          <w:p w14:paraId="7EE6368D">
            <w:pPr>
              <w:jc w:val="left"/>
              <w:rPr>
                <w:rFonts w:ascii="宋体" w:hAnsi="宋体" w:cs="宋体"/>
                <w:sz w:val="18"/>
                <w:szCs w:val="18"/>
              </w:rPr>
            </w:pPr>
          </w:p>
        </w:tc>
        <w:tc>
          <w:tcPr>
            <w:tcW w:w="596" w:type="dxa"/>
            <w:tcBorders>
              <w:top w:val="single" w:color="auto" w:sz="8" w:space="0"/>
              <w:bottom w:val="single" w:color="auto" w:sz="8" w:space="0"/>
            </w:tcBorders>
            <w:noWrap w:val="0"/>
            <w:vAlign w:val="center"/>
          </w:tcPr>
          <w:p w14:paraId="061BCBA4">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1449" w:type="dxa"/>
            <w:tcBorders>
              <w:top w:val="single" w:color="auto" w:sz="8" w:space="0"/>
              <w:bottom w:val="single" w:color="auto" w:sz="8" w:space="0"/>
            </w:tcBorders>
            <w:noWrap w:val="0"/>
            <w:vAlign w:val="center"/>
          </w:tcPr>
          <w:p w14:paraId="09ABDF94">
            <w:pPr>
              <w:widowControl/>
              <w:tabs>
                <w:tab w:val="center" w:pos="4201"/>
                <w:tab w:val="right" w:leader="dot" w:pos="9298"/>
              </w:tabs>
              <w:autoSpaceDE w:val="0"/>
              <w:autoSpaceDN w:val="0"/>
              <w:ind w:right="33" w:rightChars="16"/>
              <w:jc w:val="center"/>
              <w:rPr>
                <w:rFonts w:ascii="宋体" w:hAnsi="宋体"/>
                <w:kern w:val="0"/>
                <w:sz w:val="18"/>
                <w:szCs w:val="18"/>
              </w:rPr>
            </w:pPr>
          </w:p>
        </w:tc>
        <w:tc>
          <w:tcPr>
            <w:tcW w:w="1115" w:type="dxa"/>
            <w:tcBorders>
              <w:top w:val="single" w:color="auto" w:sz="8" w:space="0"/>
              <w:bottom w:val="single" w:color="auto" w:sz="8" w:space="0"/>
            </w:tcBorders>
            <w:noWrap w:val="0"/>
            <w:vAlign w:val="center"/>
          </w:tcPr>
          <w:p w14:paraId="7CBD0186">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lang w:eastAsia="zh-CN"/>
              </w:rPr>
              <w:t>4.10</w:t>
            </w:r>
          </w:p>
        </w:tc>
      </w:tr>
      <w:tr w14:paraId="0C9B18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65EBF14A">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1</w:t>
            </w:r>
            <w:r>
              <w:rPr>
                <w:rFonts w:hint="eastAsia" w:ascii="宋体" w:hAnsi="宋体" w:cs="宋体"/>
                <w:snapToGrid w:val="0"/>
                <w:kern w:val="21"/>
                <w:sz w:val="18"/>
                <w:szCs w:val="18"/>
                <w:lang w:val="en-US" w:eastAsia="zh-CN"/>
              </w:rPr>
              <w:t>0</w:t>
            </w:r>
            <w:r>
              <w:rPr>
                <w:rFonts w:hint="eastAsia" w:ascii="宋体" w:hAnsi="宋体" w:cs="宋体"/>
                <w:snapToGrid w:val="0"/>
                <w:kern w:val="21"/>
                <w:sz w:val="18"/>
                <w:szCs w:val="18"/>
              </w:rPr>
              <w:t>.1</w:t>
            </w:r>
          </w:p>
        </w:tc>
        <w:tc>
          <w:tcPr>
            <w:tcW w:w="6409" w:type="dxa"/>
            <w:tcBorders>
              <w:top w:val="single" w:color="auto" w:sz="8" w:space="0"/>
              <w:bottom w:val="single" w:color="auto" w:sz="8" w:space="0"/>
            </w:tcBorders>
            <w:noWrap w:val="0"/>
            <w:vAlign w:val="center"/>
          </w:tcPr>
          <w:p w14:paraId="7C69E71B">
            <w:pPr>
              <w:adjustRightInd w:val="0"/>
              <w:snapToGrid w:val="0"/>
              <w:jc w:val="left"/>
              <w:rPr>
                <w:rFonts w:ascii="宋体" w:hAnsi="宋体"/>
                <w:sz w:val="18"/>
                <w:szCs w:val="18"/>
              </w:rPr>
            </w:pPr>
            <w:r>
              <w:rPr>
                <w:rFonts w:hint="eastAsia" w:ascii="宋体" w:hAnsi="宋体"/>
                <w:sz w:val="18"/>
                <w:szCs w:val="18"/>
              </w:rPr>
              <w:t>安全生产行为通则</w:t>
            </w:r>
          </w:p>
        </w:tc>
        <w:tc>
          <w:tcPr>
            <w:tcW w:w="599" w:type="dxa"/>
            <w:tcBorders>
              <w:top w:val="single" w:color="auto" w:sz="8" w:space="0"/>
              <w:bottom w:val="single" w:color="auto" w:sz="8" w:space="0"/>
            </w:tcBorders>
            <w:noWrap w:val="0"/>
            <w:vAlign w:val="center"/>
          </w:tcPr>
          <w:p w14:paraId="3799943E">
            <w:pPr>
              <w:adjustRightInd w:val="0"/>
              <w:snapToGrid w:val="0"/>
              <w:jc w:val="center"/>
              <w:rPr>
                <w:rFonts w:ascii="宋体" w:hAnsi="宋体" w:cs="宋体"/>
                <w:snapToGrid w:val="0"/>
                <w:kern w:val="21"/>
                <w:sz w:val="18"/>
                <w:szCs w:val="18"/>
              </w:rPr>
            </w:pPr>
          </w:p>
        </w:tc>
        <w:tc>
          <w:tcPr>
            <w:tcW w:w="596" w:type="dxa"/>
            <w:tcBorders>
              <w:top w:val="single" w:color="auto" w:sz="8" w:space="0"/>
              <w:bottom w:val="single" w:color="auto" w:sz="8" w:space="0"/>
            </w:tcBorders>
            <w:noWrap w:val="0"/>
            <w:vAlign w:val="center"/>
          </w:tcPr>
          <w:p w14:paraId="7E921EC5">
            <w:pPr>
              <w:adjustRightInd w:val="0"/>
              <w:snapToGrid w:val="0"/>
              <w:jc w:val="center"/>
              <w:rPr>
                <w:rFonts w:hint="default" w:ascii="宋体" w:hAnsi="宋体" w:eastAsia="宋体" w:cs="宋体"/>
                <w:snapToGrid w:val="0"/>
                <w:kern w:val="21"/>
                <w:sz w:val="18"/>
                <w:szCs w:val="18"/>
                <w:lang w:val="en-US" w:eastAsia="zh-CN"/>
              </w:rPr>
            </w:pPr>
            <w:r>
              <w:rPr>
                <w:rFonts w:hint="eastAsia" w:ascii="宋体" w:hAnsi="宋体" w:cs="宋体"/>
                <w:snapToGrid w:val="0"/>
                <w:kern w:val="21"/>
                <w:sz w:val="18"/>
                <w:szCs w:val="18"/>
                <w:lang w:val="en-US" w:eastAsia="zh-CN"/>
              </w:rPr>
              <w:t>15</w:t>
            </w:r>
          </w:p>
        </w:tc>
        <w:tc>
          <w:tcPr>
            <w:tcW w:w="645" w:type="dxa"/>
            <w:tcBorders>
              <w:top w:val="single" w:color="auto" w:sz="8" w:space="0"/>
              <w:bottom w:val="single" w:color="auto" w:sz="8" w:space="0"/>
            </w:tcBorders>
            <w:noWrap w:val="0"/>
            <w:vAlign w:val="center"/>
          </w:tcPr>
          <w:p w14:paraId="0C89473F">
            <w:pPr>
              <w:adjustRightInd w:val="0"/>
              <w:snapToGrid w:val="0"/>
              <w:jc w:val="center"/>
              <w:rPr>
                <w:rFonts w:ascii="宋体" w:hAnsi="宋体" w:cs="宋体"/>
                <w:snapToGrid w:val="0"/>
                <w:kern w:val="21"/>
                <w:sz w:val="18"/>
                <w:szCs w:val="18"/>
              </w:rPr>
            </w:pPr>
          </w:p>
        </w:tc>
        <w:tc>
          <w:tcPr>
            <w:tcW w:w="2985" w:type="dxa"/>
            <w:tcBorders>
              <w:top w:val="single" w:color="auto" w:sz="8" w:space="0"/>
              <w:bottom w:val="single" w:color="auto" w:sz="8" w:space="0"/>
            </w:tcBorders>
            <w:noWrap w:val="0"/>
            <w:vAlign w:val="center"/>
          </w:tcPr>
          <w:p w14:paraId="4E5C12D9">
            <w:pPr>
              <w:adjustRightInd w:val="0"/>
              <w:snapToGrid w:val="0"/>
              <w:jc w:val="left"/>
              <w:rPr>
                <w:rFonts w:ascii="宋体" w:hAnsi="宋体" w:cs="宋体"/>
                <w:snapToGrid w:val="0"/>
                <w:kern w:val="21"/>
                <w:sz w:val="18"/>
                <w:szCs w:val="18"/>
              </w:rPr>
            </w:pPr>
          </w:p>
        </w:tc>
        <w:tc>
          <w:tcPr>
            <w:tcW w:w="596" w:type="dxa"/>
            <w:tcBorders>
              <w:top w:val="single" w:color="auto" w:sz="8" w:space="0"/>
              <w:bottom w:val="single" w:color="auto" w:sz="8" w:space="0"/>
            </w:tcBorders>
            <w:noWrap w:val="0"/>
            <w:vAlign w:val="center"/>
          </w:tcPr>
          <w:p w14:paraId="3CB92C6A">
            <w:pPr>
              <w:adjustRightInd w:val="0"/>
              <w:snapToGrid w:val="0"/>
              <w:jc w:val="center"/>
              <w:rPr>
                <w:rFonts w:ascii="宋体" w:hAnsi="宋体" w:cs="宋体"/>
                <w:snapToGrid w:val="0"/>
                <w:kern w:val="21"/>
                <w:sz w:val="18"/>
                <w:szCs w:val="18"/>
              </w:rPr>
            </w:pPr>
          </w:p>
        </w:tc>
        <w:tc>
          <w:tcPr>
            <w:tcW w:w="1449" w:type="dxa"/>
            <w:tcBorders>
              <w:top w:val="single" w:color="auto" w:sz="8" w:space="0"/>
              <w:bottom w:val="single" w:color="auto" w:sz="8" w:space="0"/>
            </w:tcBorders>
            <w:noWrap w:val="0"/>
            <w:vAlign w:val="center"/>
          </w:tcPr>
          <w:p w14:paraId="1F06FC86">
            <w:pPr>
              <w:adjustRightInd w:val="0"/>
              <w:snapToGrid w:val="0"/>
              <w:jc w:val="center"/>
              <w:rPr>
                <w:rFonts w:ascii="宋体" w:hAnsi="宋体" w:cs="宋体"/>
                <w:snapToGrid w:val="0"/>
                <w:kern w:val="21"/>
                <w:sz w:val="18"/>
                <w:szCs w:val="18"/>
              </w:rPr>
            </w:pPr>
          </w:p>
        </w:tc>
        <w:tc>
          <w:tcPr>
            <w:tcW w:w="1115" w:type="dxa"/>
            <w:tcBorders>
              <w:top w:val="single" w:color="auto" w:sz="8" w:space="0"/>
              <w:bottom w:val="single" w:color="auto" w:sz="8" w:space="0"/>
            </w:tcBorders>
            <w:noWrap w:val="0"/>
            <w:vAlign w:val="center"/>
          </w:tcPr>
          <w:p w14:paraId="55B8DA4C">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4.10</w:t>
            </w:r>
            <w:r>
              <w:rPr>
                <w:rFonts w:hint="eastAsia" w:ascii="宋体" w:hAnsi="宋体" w:cs="宋体"/>
                <w:snapToGrid w:val="0"/>
                <w:kern w:val="21"/>
                <w:sz w:val="18"/>
                <w:szCs w:val="18"/>
              </w:rPr>
              <w:t>.1</w:t>
            </w:r>
          </w:p>
        </w:tc>
      </w:tr>
      <w:tr w14:paraId="2B105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0346FC4D">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10</w:t>
            </w:r>
            <w:r>
              <w:rPr>
                <w:rFonts w:hint="eastAsia" w:ascii="宋体" w:hAnsi="宋体" w:cs="宋体"/>
                <w:snapToGrid w:val="0"/>
                <w:kern w:val="21"/>
                <w:sz w:val="18"/>
                <w:szCs w:val="18"/>
              </w:rPr>
              <w:t>.1.1</w:t>
            </w:r>
          </w:p>
        </w:tc>
        <w:tc>
          <w:tcPr>
            <w:tcW w:w="6409" w:type="dxa"/>
            <w:tcBorders>
              <w:top w:val="single" w:color="auto" w:sz="8" w:space="0"/>
              <w:bottom w:val="single" w:color="auto" w:sz="8" w:space="0"/>
            </w:tcBorders>
            <w:noWrap w:val="0"/>
            <w:vAlign w:val="center"/>
          </w:tcPr>
          <w:p w14:paraId="1193C722">
            <w:pPr>
              <w:adjustRightInd w:val="0"/>
              <w:snapToGrid w:val="0"/>
              <w:jc w:val="left"/>
              <w:rPr>
                <w:rFonts w:hint="eastAsia" w:ascii="宋体" w:hAnsi="宋体"/>
                <w:sz w:val="18"/>
                <w:szCs w:val="18"/>
              </w:rPr>
            </w:pPr>
            <w:r>
              <w:rPr>
                <w:rFonts w:hint="eastAsia" w:ascii="宋体" w:hAnsi="宋体"/>
                <w:sz w:val="18"/>
                <w:szCs w:val="18"/>
                <w:lang w:val="en-US" w:eastAsia="zh-CN"/>
              </w:rPr>
              <w:t>操作人员</w:t>
            </w:r>
            <w:r>
              <w:rPr>
                <w:rFonts w:hint="eastAsia" w:ascii="宋体" w:hAnsi="宋体"/>
                <w:sz w:val="18"/>
                <w:szCs w:val="18"/>
              </w:rPr>
              <w:t>行为应符合下列要求：</w:t>
            </w:r>
          </w:p>
          <w:p w14:paraId="750B9B17">
            <w:pPr>
              <w:adjustRightInd w:val="0"/>
              <w:snapToGrid w:val="0"/>
              <w:jc w:val="left"/>
              <w:rPr>
                <w:rFonts w:hint="eastAsia" w:ascii="宋体" w:hAnsi="宋体"/>
                <w:sz w:val="18"/>
                <w:szCs w:val="18"/>
              </w:rPr>
            </w:pPr>
            <w:r>
              <w:rPr>
                <w:rFonts w:hint="eastAsia" w:ascii="宋体" w:hAnsi="宋体"/>
                <w:sz w:val="18"/>
                <w:szCs w:val="18"/>
              </w:rPr>
              <w:t>a）进入作业区域应遵守安全操作规程的要求，佩戴劳动防护用品，游乐设施操作人员上岗应佩戴明显标志；</w:t>
            </w:r>
          </w:p>
          <w:p w14:paraId="7BB13B9D">
            <w:pPr>
              <w:adjustRightInd w:val="0"/>
              <w:snapToGrid w:val="0"/>
              <w:jc w:val="left"/>
              <w:rPr>
                <w:rFonts w:hint="eastAsia" w:ascii="宋体" w:hAnsi="宋体"/>
                <w:sz w:val="18"/>
                <w:szCs w:val="18"/>
              </w:rPr>
            </w:pPr>
            <w:r>
              <w:rPr>
                <w:rFonts w:hint="eastAsia" w:ascii="宋体" w:hAnsi="宋体"/>
                <w:sz w:val="18"/>
                <w:szCs w:val="18"/>
              </w:rPr>
              <w:t>b）作业开始前，应按规定检查设备设施、作业环境的安全状况，发现隐患立即排除；确认无隐患后，方可按流程开始作业；</w:t>
            </w:r>
          </w:p>
          <w:p w14:paraId="1330F3D6">
            <w:pPr>
              <w:adjustRightInd w:val="0"/>
              <w:snapToGrid w:val="0"/>
              <w:jc w:val="left"/>
              <w:rPr>
                <w:rFonts w:hint="eastAsia" w:ascii="宋体" w:hAnsi="宋体"/>
                <w:sz w:val="18"/>
                <w:szCs w:val="18"/>
              </w:rPr>
            </w:pPr>
            <w:r>
              <w:rPr>
                <w:rFonts w:hint="eastAsia" w:ascii="宋体" w:hAnsi="宋体"/>
                <w:sz w:val="18"/>
                <w:szCs w:val="18"/>
                <w:lang w:val="en-US" w:eastAsia="zh-CN"/>
              </w:rPr>
              <w:t>c</w:t>
            </w:r>
            <w:r>
              <w:rPr>
                <w:rFonts w:hint="eastAsia" w:ascii="宋体" w:hAnsi="宋体"/>
                <w:sz w:val="18"/>
                <w:szCs w:val="18"/>
              </w:rPr>
              <w:t>）作业过程按安全操作规程的要求进行操作、巡查等作业，不应从事与操作无关的活动；</w:t>
            </w:r>
          </w:p>
          <w:p w14:paraId="004E61AD">
            <w:pPr>
              <w:adjustRightInd w:val="0"/>
              <w:snapToGrid w:val="0"/>
              <w:jc w:val="left"/>
              <w:rPr>
                <w:rFonts w:ascii="宋体" w:hAnsi="宋体"/>
                <w:sz w:val="18"/>
                <w:szCs w:val="18"/>
              </w:rPr>
            </w:pPr>
            <w:r>
              <w:rPr>
                <w:rFonts w:hint="eastAsia" w:ascii="宋体" w:hAnsi="宋体"/>
                <w:sz w:val="18"/>
                <w:szCs w:val="18"/>
                <w:lang w:val="en-US" w:eastAsia="zh-CN"/>
              </w:rPr>
              <w:t>d</w:t>
            </w:r>
            <w:r>
              <w:rPr>
                <w:rFonts w:hint="eastAsia" w:ascii="宋体" w:hAnsi="宋体"/>
                <w:sz w:val="18"/>
                <w:szCs w:val="18"/>
              </w:rPr>
              <w:t>）作业结束后，应切断电源等，对设备和作业环境进行检查；如有设备处在检修状态、设备故障待排除等情况，应在交接班记录内说明，并</w:t>
            </w:r>
            <w:r>
              <w:rPr>
                <w:rFonts w:hint="eastAsia" w:ascii="宋体" w:hAnsi="宋体"/>
                <w:sz w:val="18"/>
                <w:szCs w:val="18"/>
                <w:lang w:val="en-US" w:eastAsia="zh-CN"/>
              </w:rPr>
              <w:t>设置</w:t>
            </w:r>
            <w:r>
              <w:rPr>
                <w:rFonts w:hint="eastAsia" w:ascii="宋体" w:hAnsi="宋体"/>
                <w:sz w:val="18"/>
                <w:szCs w:val="18"/>
              </w:rPr>
              <w:t>安全警示</w:t>
            </w:r>
            <w:r>
              <w:rPr>
                <w:rFonts w:hint="eastAsia" w:ascii="宋体" w:hAnsi="宋体"/>
                <w:sz w:val="18"/>
                <w:szCs w:val="18"/>
                <w:lang w:val="en-US" w:eastAsia="zh-CN"/>
              </w:rPr>
              <w:t>标志</w:t>
            </w:r>
            <w:r>
              <w:rPr>
                <w:rFonts w:hint="eastAsia" w:ascii="宋体" w:hAnsi="宋体"/>
                <w:sz w:val="18"/>
                <w:szCs w:val="18"/>
              </w:rPr>
              <w:t>。</w:t>
            </w:r>
          </w:p>
        </w:tc>
        <w:tc>
          <w:tcPr>
            <w:tcW w:w="599" w:type="dxa"/>
            <w:tcBorders>
              <w:top w:val="single" w:color="auto" w:sz="8" w:space="0"/>
              <w:bottom w:val="single" w:color="auto" w:sz="8" w:space="0"/>
            </w:tcBorders>
            <w:noWrap w:val="0"/>
            <w:vAlign w:val="center"/>
          </w:tcPr>
          <w:p w14:paraId="769D5DE8">
            <w:pPr>
              <w:adjustRightInd w:val="0"/>
              <w:snapToGrid w:val="0"/>
              <w:jc w:val="center"/>
              <w:rPr>
                <w:rFonts w:ascii="宋体" w:hAnsi="宋体" w:cs="宋体"/>
                <w:snapToGrid w:val="0"/>
                <w:kern w:val="21"/>
                <w:sz w:val="18"/>
                <w:szCs w:val="18"/>
              </w:rPr>
            </w:pPr>
          </w:p>
        </w:tc>
        <w:tc>
          <w:tcPr>
            <w:tcW w:w="596" w:type="dxa"/>
            <w:tcBorders>
              <w:top w:val="single" w:color="auto" w:sz="8" w:space="0"/>
              <w:bottom w:val="single" w:color="auto" w:sz="8" w:space="0"/>
            </w:tcBorders>
            <w:noWrap w:val="0"/>
            <w:vAlign w:val="center"/>
          </w:tcPr>
          <w:p w14:paraId="4E9D8676">
            <w:pPr>
              <w:adjustRightInd w:val="0"/>
              <w:snapToGrid w:val="0"/>
              <w:jc w:val="center"/>
              <w:rPr>
                <w:rFonts w:ascii="宋体" w:hAnsi="宋体" w:cs="宋体"/>
                <w:snapToGrid w:val="0"/>
                <w:kern w:val="21"/>
                <w:sz w:val="18"/>
                <w:szCs w:val="18"/>
              </w:rPr>
            </w:pPr>
          </w:p>
        </w:tc>
        <w:tc>
          <w:tcPr>
            <w:tcW w:w="645" w:type="dxa"/>
            <w:tcBorders>
              <w:top w:val="single" w:color="auto" w:sz="8" w:space="0"/>
              <w:bottom w:val="single" w:color="auto" w:sz="8" w:space="0"/>
            </w:tcBorders>
            <w:noWrap w:val="0"/>
            <w:vAlign w:val="center"/>
          </w:tcPr>
          <w:p w14:paraId="3701588D">
            <w:pPr>
              <w:adjustRightInd w:val="0"/>
              <w:snapToGrid w:val="0"/>
              <w:jc w:val="center"/>
              <w:rPr>
                <w:rFonts w:hint="eastAsia" w:ascii="宋体" w:hAnsi="宋体" w:eastAsia="宋体" w:cs="宋体"/>
                <w:snapToGrid w:val="0"/>
                <w:kern w:val="21"/>
                <w:sz w:val="18"/>
                <w:szCs w:val="18"/>
                <w:lang w:eastAsia="zh-CN"/>
              </w:rPr>
            </w:pPr>
            <w:r>
              <w:rPr>
                <w:rFonts w:hint="eastAsia" w:ascii="宋体" w:hAnsi="宋体" w:cs="宋体"/>
                <w:snapToGrid w:val="0"/>
                <w:kern w:val="21"/>
                <w:sz w:val="18"/>
                <w:szCs w:val="18"/>
                <w:lang w:val="en-US" w:eastAsia="zh-CN"/>
              </w:rPr>
              <w:t>4</w:t>
            </w:r>
          </w:p>
        </w:tc>
        <w:tc>
          <w:tcPr>
            <w:tcW w:w="2985" w:type="dxa"/>
            <w:tcBorders>
              <w:top w:val="single" w:color="auto" w:sz="8" w:space="0"/>
              <w:bottom w:val="single" w:color="auto" w:sz="8" w:space="0"/>
            </w:tcBorders>
            <w:noWrap w:val="0"/>
            <w:vAlign w:val="center"/>
          </w:tcPr>
          <w:p w14:paraId="6C2B8714">
            <w:pPr>
              <w:adjustRightInd w:val="0"/>
              <w:snapToGrid w:val="0"/>
              <w:jc w:val="left"/>
              <w:rPr>
                <w:rFonts w:ascii="宋体" w:hAnsi="宋体"/>
                <w:sz w:val="18"/>
                <w:szCs w:val="18"/>
              </w:rPr>
            </w:pPr>
            <w:r>
              <w:rPr>
                <w:rFonts w:hint="eastAsia" w:ascii="宋体" w:hAnsi="宋体"/>
                <w:sz w:val="18"/>
                <w:szCs w:val="18"/>
              </w:rPr>
              <w:t>一处不符合</w:t>
            </w:r>
            <w:r>
              <w:rPr>
                <w:rFonts w:hint="eastAsia" w:ascii="宋体" w:hAnsi="宋体"/>
                <w:sz w:val="18"/>
                <w:szCs w:val="18"/>
                <w:lang w:val="en-US" w:eastAsia="zh-CN"/>
              </w:rPr>
              <w:t>不得分</w:t>
            </w:r>
            <w:r>
              <w:rPr>
                <w:rFonts w:hint="eastAsia" w:ascii="宋体" w:hAnsi="宋体"/>
                <w:sz w:val="18"/>
                <w:szCs w:val="18"/>
              </w:rPr>
              <w:t>。</w:t>
            </w:r>
          </w:p>
        </w:tc>
        <w:tc>
          <w:tcPr>
            <w:tcW w:w="596" w:type="dxa"/>
            <w:tcBorders>
              <w:top w:val="single" w:color="auto" w:sz="8" w:space="0"/>
              <w:bottom w:val="single" w:color="auto" w:sz="8" w:space="0"/>
            </w:tcBorders>
            <w:noWrap w:val="0"/>
            <w:vAlign w:val="center"/>
          </w:tcPr>
          <w:p w14:paraId="6CB9948C">
            <w:pPr>
              <w:adjustRightInd w:val="0"/>
              <w:snapToGrid w:val="0"/>
              <w:jc w:val="center"/>
              <w:rPr>
                <w:rFonts w:ascii="宋体" w:hAnsi="宋体" w:cs="宋体"/>
                <w:snapToGrid w:val="0"/>
                <w:kern w:val="21"/>
                <w:sz w:val="18"/>
                <w:szCs w:val="18"/>
              </w:rPr>
            </w:pPr>
          </w:p>
        </w:tc>
        <w:tc>
          <w:tcPr>
            <w:tcW w:w="1449" w:type="dxa"/>
            <w:tcBorders>
              <w:top w:val="single" w:color="auto" w:sz="8" w:space="0"/>
              <w:bottom w:val="single" w:color="auto" w:sz="8" w:space="0"/>
            </w:tcBorders>
            <w:noWrap w:val="0"/>
            <w:vAlign w:val="center"/>
          </w:tcPr>
          <w:p w14:paraId="6A8530F1">
            <w:pPr>
              <w:adjustRightInd w:val="0"/>
              <w:snapToGrid w:val="0"/>
              <w:jc w:val="center"/>
              <w:rPr>
                <w:rFonts w:ascii="宋体" w:hAnsi="宋体" w:cs="宋体"/>
                <w:snapToGrid w:val="0"/>
                <w:kern w:val="21"/>
                <w:sz w:val="18"/>
                <w:szCs w:val="18"/>
              </w:rPr>
            </w:pPr>
          </w:p>
        </w:tc>
        <w:tc>
          <w:tcPr>
            <w:tcW w:w="1115" w:type="dxa"/>
            <w:tcBorders>
              <w:top w:val="single" w:color="auto" w:sz="8" w:space="0"/>
              <w:bottom w:val="single" w:color="auto" w:sz="8" w:space="0"/>
            </w:tcBorders>
            <w:noWrap w:val="0"/>
            <w:vAlign w:val="center"/>
          </w:tcPr>
          <w:p w14:paraId="056F580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4.10</w:t>
            </w:r>
            <w:r>
              <w:rPr>
                <w:rFonts w:hint="eastAsia" w:ascii="宋体" w:hAnsi="宋体" w:cs="宋体"/>
                <w:snapToGrid w:val="0"/>
                <w:kern w:val="21"/>
                <w:sz w:val="18"/>
                <w:szCs w:val="18"/>
              </w:rPr>
              <w:t>.1.1</w:t>
            </w:r>
          </w:p>
        </w:tc>
      </w:tr>
      <w:tr w14:paraId="49BEA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59" w:type="dxa"/>
            <w:tcBorders>
              <w:top w:val="single" w:color="auto" w:sz="8" w:space="0"/>
              <w:bottom w:val="single" w:color="auto" w:sz="8" w:space="0"/>
            </w:tcBorders>
            <w:noWrap w:val="0"/>
            <w:vAlign w:val="center"/>
          </w:tcPr>
          <w:p w14:paraId="73CAF750">
            <w:pPr>
              <w:adjustRightInd w:val="0"/>
              <w:snapToGrid w:val="0"/>
              <w:jc w:val="center"/>
              <w:rPr>
                <w:rFonts w:ascii="宋体" w:hAnsi="宋体"/>
                <w:sz w:val="18"/>
                <w:szCs w:val="18"/>
              </w:rPr>
            </w:pPr>
            <w:r>
              <w:rPr>
                <w:rFonts w:hint="eastAsia" w:ascii="宋体" w:hAnsi="宋体"/>
                <w:sz w:val="18"/>
                <w:szCs w:val="18"/>
                <w:lang w:eastAsia="zh-CN"/>
              </w:rPr>
              <w:t>10</w:t>
            </w:r>
            <w:r>
              <w:rPr>
                <w:rFonts w:ascii="宋体" w:hAnsi="宋体"/>
                <w:sz w:val="18"/>
                <w:szCs w:val="18"/>
              </w:rPr>
              <w:t>.1</w:t>
            </w:r>
            <w:r>
              <w:rPr>
                <w:rFonts w:hint="eastAsia" w:ascii="宋体" w:hAnsi="宋体"/>
                <w:sz w:val="18"/>
                <w:szCs w:val="18"/>
              </w:rPr>
              <w:t>.2</w:t>
            </w:r>
          </w:p>
        </w:tc>
        <w:tc>
          <w:tcPr>
            <w:tcW w:w="6409" w:type="dxa"/>
            <w:tcBorders>
              <w:top w:val="single" w:color="auto" w:sz="8" w:space="0"/>
              <w:bottom w:val="single" w:color="auto" w:sz="8" w:space="0"/>
            </w:tcBorders>
            <w:noWrap w:val="0"/>
            <w:vAlign w:val="center"/>
          </w:tcPr>
          <w:p w14:paraId="7E5A69D0">
            <w:pPr>
              <w:adjustRightInd w:val="0"/>
              <w:snapToGrid w:val="0"/>
              <w:jc w:val="left"/>
              <w:rPr>
                <w:rFonts w:hint="eastAsia" w:ascii="宋体" w:hAnsi="宋体"/>
                <w:sz w:val="18"/>
                <w:szCs w:val="18"/>
              </w:rPr>
            </w:pPr>
            <w:r>
              <w:rPr>
                <w:rFonts w:hint="eastAsia" w:ascii="宋体" w:hAnsi="宋体"/>
                <w:sz w:val="18"/>
                <w:szCs w:val="18"/>
              </w:rPr>
              <w:t>水上清淤作业应符合下列要求：</w:t>
            </w:r>
          </w:p>
          <w:p w14:paraId="427A7872">
            <w:pPr>
              <w:adjustRightInd w:val="0"/>
              <w:snapToGrid w:val="0"/>
              <w:jc w:val="left"/>
              <w:rPr>
                <w:rFonts w:hint="eastAsia" w:ascii="宋体" w:hAnsi="宋体"/>
                <w:sz w:val="18"/>
                <w:szCs w:val="18"/>
              </w:rPr>
            </w:pPr>
            <w:r>
              <w:rPr>
                <w:rFonts w:hint="eastAsia" w:ascii="宋体" w:hAnsi="宋体"/>
                <w:sz w:val="18"/>
                <w:szCs w:val="18"/>
              </w:rPr>
              <w:t>a）作业使用的船只应定期检查，无破损，无漏水；</w:t>
            </w:r>
          </w:p>
          <w:p w14:paraId="2B5B02B5">
            <w:pPr>
              <w:adjustRightInd w:val="0"/>
              <w:snapToGrid w:val="0"/>
              <w:jc w:val="left"/>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）人员进入水中作业前应确认水深，超过1 m时应使用船只作业，并为作业人员配备救生衣及绳索等救生用具；</w:t>
            </w:r>
          </w:p>
          <w:p w14:paraId="5C7346A7">
            <w:pPr>
              <w:adjustRightInd w:val="0"/>
              <w:snapToGrid w:val="0"/>
              <w:jc w:val="left"/>
              <w:rPr>
                <w:rFonts w:ascii="宋体" w:hAnsi="宋体"/>
                <w:sz w:val="18"/>
                <w:szCs w:val="18"/>
              </w:rPr>
            </w:pPr>
            <w:r>
              <w:rPr>
                <w:rFonts w:hint="eastAsia" w:ascii="宋体" w:hAnsi="宋体"/>
                <w:sz w:val="18"/>
                <w:szCs w:val="18"/>
                <w:lang w:val="en-US" w:eastAsia="zh-CN"/>
              </w:rPr>
              <w:t>c</w:t>
            </w:r>
            <w:r>
              <w:rPr>
                <w:rFonts w:hint="eastAsia" w:ascii="宋体" w:hAnsi="宋体"/>
                <w:sz w:val="18"/>
                <w:szCs w:val="18"/>
              </w:rPr>
              <w:t>）在人体可能陷入的沼泽地内作业时，人员应系安全绳索，由岸上人员拉住绳索负责监护。</w:t>
            </w:r>
          </w:p>
        </w:tc>
        <w:tc>
          <w:tcPr>
            <w:tcW w:w="599" w:type="dxa"/>
            <w:tcBorders>
              <w:top w:val="single" w:color="auto" w:sz="8" w:space="0"/>
              <w:bottom w:val="single" w:color="auto" w:sz="8" w:space="0"/>
            </w:tcBorders>
            <w:noWrap w:val="0"/>
            <w:vAlign w:val="center"/>
          </w:tcPr>
          <w:p w14:paraId="69E23067">
            <w:pPr>
              <w:adjustRightInd w:val="0"/>
              <w:snapToGrid w:val="0"/>
              <w:jc w:val="center"/>
              <w:rPr>
                <w:rFonts w:ascii="宋体" w:hAnsi="宋体" w:cs="宋体"/>
                <w:snapToGrid w:val="0"/>
                <w:kern w:val="21"/>
                <w:sz w:val="18"/>
                <w:szCs w:val="18"/>
              </w:rPr>
            </w:pPr>
          </w:p>
        </w:tc>
        <w:tc>
          <w:tcPr>
            <w:tcW w:w="596" w:type="dxa"/>
            <w:tcBorders>
              <w:top w:val="single" w:color="auto" w:sz="8" w:space="0"/>
              <w:bottom w:val="single" w:color="auto" w:sz="8" w:space="0"/>
            </w:tcBorders>
            <w:noWrap w:val="0"/>
            <w:vAlign w:val="center"/>
          </w:tcPr>
          <w:p w14:paraId="029AFAA9">
            <w:pPr>
              <w:adjustRightInd w:val="0"/>
              <w:snapToGrid w:val="0"/>
              <w:jc w:val="center"/>
              <w:rPr>
                <w:rFonts w:ascii="宋体" w:hAnsi="宋体" w:cs="宋体"/>
                <w:snapToGrid w:val="0"/>
                <w:kern w:val="21"/>
                <w:sz w:val="18"/>
                <w:szCs w:val="18"/>
              </w:rPr>
            </w:pPr>
          </w:p>
        </w:tc>
        <w:tc>
          <w:tcPr>
            <w:tcW w:w="645" w:type="dxa"/>
            <w:tcBorders>
              <w:top w:val="single" w:color="auto" w:sz="8" w:space="0"/>
              <w:bottom w:val="single" w:color="auto" w:sz="8" w:space="0"/>
            </w:tcBorders>
            <w:noWrap w:val="0"/>
            <w:vAlign w:val="center"/>
          </w:tcPr>
          <w:p w14:paraId="60D48851">
            <w:pPr>
              <w:adjustRightInd w:val="0"/>
              <w:snapToGrid w:val="0"/>
              <w:jc w:val="center"/>
              <w:rPr>
                <w:rFonts w:hint="eastAsia" w:ascii="宋体" w:hAnsi="宋体" w:cs="宋体"/>
                <w:snapToGrid w:val="0"/>
                <w:kern w:val="21"/>
                <w:sz w:val="18"/>
                <w:szCs w:val="18"/>
              </w:rPr>
            </w:pPr>
            <w:r>
              <w:rPr>
                <w:rFonts w:hint="eastAsia" w:ascii="宋体" w:hAnsi="宋体" w:cs="宋体"/>
                <w:snapToGrid w:val="0"/>
                <w:kern w:val="21"/>
                <w:sz w:val="18"/>
                <w:szCs w:val="18"/>
              </w:rPr>
              <w:t>2</w:t>
            </w:r>
          </w:p>
        </w:tc>
        <w:tc>
          <w:tcPr>
            <w:tcW w:w="2985" w:type="dxa"/>
            <w:tcBorders>
              <w:top w:val="single" w:color="auto" w:sz="8" w:space="0"/>
              <w:bottom w:val="single" w:color="auto" w:sz="8" w:space="0"/>
            </w:tcBorders>
            <w:noWrap w:val="0"/>
            <w:vAlign w:val="center"/>
          </w:tcPr>
          <w:p w14:paraId="0A3C1D2E">
            <w:pPr>
              <w:adjustRightInd w:val="0"/>
              <w:snapToGrid w:val="0"/>
              <w:jc w:val="left"/>
              <w:rPr>
                <w:rFonts w:ascii="宋体" w:hAnsi="宋体"/>
                <w:sz w:val="18"/>
                <w:szCs w:val="18"/>
              </w:rPr>
            </w:pPr>
            <w:r>
              <w:rPr>
                <w:rFonts w:hint="eastAsia" w:ascii="宋体" w:hAnsi="宋体"/>
                <w:sz w:val="18"/>
                <w:szCs w:val="18"/>
              </w:rPr>
              <w:t>一处不符合</w:t>
            </w:r>
            <w:r>
              <w:rPr>
                <w:rFonts w:hint="eastAsia" w:ascii="宋体" w:hAnsi="宋体"/>
                <w:sz w:val="18"/>
                <w:szCs w:val="18"/>
                <w:lang w:val="en-US" w:eastAsia="zh-CN"/>
              </w:rPr>
              <w:t>不得分</w:t>
            </w:r>
            <w:r>
              <w:rPr>
                <w:rFonts w:hint="eastAsia" w:ascii="宋体" w:hAnsi="宋体"/>
                <w:sz w:val="18"/>
                <w:szCs w:val="18"/>
              </w:rPr>
              <w:t>。</w:t>
            </w:r>
          </w:p>
        </w:tc>
        <w:tc>
          <w:tcPr>
            <w:tcW w:w="596" w:type="dxa"/>
            <w:tcBorders>
              <w:top w:val="single" w:color="auto" w:sz="8" w:space="0"/>
              <w:bottom w:val="single" w:color="auto" w:sz="8" w:space="0"/>
            </w:tcBorders>
            <w:noWrap w:val="0"/>
            <w:vAlign w:val="center"/>
          </w:tcPr>
          <w:p w14:paraId="079F38D9">
            <w:pPr>
              <w:adjustRightInd w:val="0"/>
              <w:snapToGrid w:val="0"/>
              <w:jc w:val="center"/>
              <w:rPr>
                <w:rFonts w:ascii="宋体" w:hAnsi="宋体" w:cs="宋体"/>
                <w:snapToGrid w:val="0"/>
                <w:kern w:val="21"/>
                <w:sz w:val="18"/>
                <w:szCs w:val="18"/>
              </w:rPr>
            </w:pPr>
          </w:p>
        </w:tc>
        <w:tc>
          <w:tcPr>
            <w:tcW w:w="1449" w:type="dxa"/>
            <w:tcBorders>
              <w:top w:val="single" w:color="auto" w:sz="8" w:space="0"/>
              <w:bottom w:val="single" w:color="auto" w:sz="8" w:space="0"/>
            </w:tcBorders>
            <w:noWrap w:val="0"/>
            <w:vAlign w:val="center"/>
          </w:tcPr>
          <w:p w14:paraId="50746E99">
            <w:pPr>
              <w:adjustRightInd w:val="0"/>
              <w:snapToGrid w:val="0"/>
              <w:jc w:val="center"/>
              <w:rPr>
                <w:rFonts w:ascii="宋体" w:hAnsi="宋体" w:cs="宋体"/>
                <w:snapToGrid w:val="0"/>
                <w:kern w:val="21"/>
                <w:sz w:val="18"/>
                <w:szCs w:val="18"/>
              </w:rPr>
            </w:pPr>
          </w:p>
        </w:tc>
        <w:tc>
          <w:tcPr>
            <w:tcW w:w="1115" w:type="dxa"/>
            <w:tcBorders>
              <w:top w:val="single" w:color="auto" w:sz="8" w:space="0"/>
              <w:bottom w:val="single" w:color="auto" w:sz="8" w:space="0"/>
            </w:tcBorders>
            <w:noWrap w:val="0"/>
            <w:vAlign w:val="center"/>
          </w:tcPr>
          <w:p w14:paraId="33CD882A">
            <w:pPr>
              <w:adjustRightInd w:val="0"/>
              <w:snapToGrid w:val="0"/>
              <w:jc w:val="center"/>
              <w:rPr>
                <w:rFonts w:ascii="宋体" w:hAnsi="宋体" w:cs="宋体"/>
                <w:snapToGrid w:val="0"/>
                <w:kern w:val="21"/>
                <w:sz w:val="18"/>
                <w:szCs w:val="18"/>
              </w:rPr>
            </w:pPr>
            <w:r>
              <w:rPr>
                <w:rFonts w:hint="eastAsia" w:ascii="宋体" w:hAnsi="宋体"/>
                <w:sz w:val="18"/>
                <w:szCs w:val="18"/>
                <w:lang w:eastAsia="zh-CN"/>
              </w:rPr>
              <w:t>4.10</w:t>
            </w:r>
            <w:r>
              <w:rPr>
                <w:rFonts w:hint="eastAsia" w:ascii="宋体" w:hAnsi="宋体"/>
                <w:sz w:val="18"/>
                <w:szCs w:val="18"/>
              </w:rPr>
              <w:t>.1.2</w:t>
            </w:r>
          </w:p>
        </w:tc>
      </w:tr>
    </w:tbl>
    <w:p w14:paraId="2A1E65FF">
      <w:pPr>
        <w:pStyle w:val="168"/>
        <w:numPr>
          <w:ilvl w:val="0"/>
          <w:numId w:val="0"/>
        </w:numPr>
        <w:spacing w:before="156" w:after="156"/>
        <w:ind w:left="567" w:hanging="567"/>
      </w:pPr>
      <w:r>
        <w:br w:type="page"/>
      </w:r>
      <w:r>
        <w:rPr>
          <w:rFonts w:hint="eastAsia"/>
        </w:rPr>
        <w:t>表</w:t>
      </w:r>
      <w:r>
        <w:rPr>
          <w:rFonts w:hint="eastAsia"/>
          <w:lang w:val="en-US" w:eastAsia="zh-CN"/>
        </w:rPr>
        <w:t>K</w:t>
      </w:r>
      <w:r>
        <w:rPr>
          <w:rFonts w:hint="eastAsia"/>
        </w:rPr>
        <w:t>.1 操作人员行为规范要素的安全生产等级评定细则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483"/>
        <w:gridCol w:w="602"/>
        <w:gridCol w:w="602"/>
        <w:gridCol w:w="651"/>
        <w:gridCol w:w="3034"/>
        <w:gridCol w:w="602"/>
        <w:gridCol w:w="1274"/>
        <w:gridCol w:w="1284"/>
      </w:tblGrid>
      <w:tr w14:paraId="32141D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444CEF60">
            <w:pPr>
              <w:adjustRightInd w:val="0"/>
              <w:snapToGrid w:val="0"/>
              <w:jc w:val="center"/>
              <w:rPr>
                <w:sz w:val="18"/>
                <w:szCs w:val="18"/>
              </w:rPr>
            </w:pPr>
            <w:r>
              <w:rPr>
                <w:bCs/>
                <w:sz w:val="18"/>
                <w:szCs w:val="18"/>
              </w:rPr>
              <w:t>序号</w:t>
            </w:r>
          </w:p>
        </w:tc>
        <w:tc>
          <w:tcPr>
            <w:tcW w:w="6483" w:type="dxa"/>
            <w:tcBorders>
              <w:top w:val="single" w:color="auto" w:sz="8" w:space="0"/>
              <w:bottom w:val="single" w:color="auto" w:sz="8" w:space="0"/>
            </w:tcBorders>
            <w:noWrap w:val="0"/>
            <w:vAlign w:val="center"/>
          </w:tcPr>
          <w:p w14:paraId="074D7676">
            <w:pPr>
              <w:adjustRightInd w:val="0"/>
              <w:snapToGrid w:val="0"/>
              <w:jc w:val="center"/>
              <w:rPr>
                <w:rFonts w:ascii="宋体" w:hAnsi="宋体"/>
                <w:sz w:val="18"/>
                <w:szCs w:val="18"/>
              </w:rPr>
            </w:pPr>
            <w:r>
              <w:rPr>
                <w:rFonts w:ascii="宋体" w:hAnsi="宋体"/>
                <w:bCs/>
                <w:sz w:val="18"/>
                <w:szCs w:val="18"/>
              </w:rPr>
              <w:t>评定内容</w:t>
            </w:r>
          </w:p>
        </w:tc>
        <w:tc>
          <w:tcPr>
            <w:tcW w:w="602" w:type="dxa"/>
            <w:tcBorders>
              <w:top w:val="single" w:color="auto" w:sz="8" w:space="0"/>
              <w:bottom w:val="single" w:color="auto" w:sz="8" w:space="0"/>
            </w:tcBorders>
            <w:noWrap w:val="0"/>
            <w:vAlign w:val="center"/>
          </w:tcPr>
          <w:p w14:paraId="3EC0EFF5">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41DB1D0F">
            <w:pPr>
              <w:adjustRightInd w:val="0"/>
              <w:snapToGrid w:val="0"/>
              <w:jc w:val="center"/>
              <w:rPr>
                <w:rFonts w:ascii="宋体" w:hAnsi="宋体"/>
                <w:sz w:val="18"/>
                <w:szCs w:val="18"/>
              </w:rPr>
            </w:pPr>
            <w:r>
              <w:rPr>
                <w:rFonts w:ascii="宋体" w:hAnsi="宋体"/>
                <w:bCs/>
                <w:sz w:val="18"/>
                <w:szCs w:val="18"/>
              </w:rPr>
              <w:t>评定细项分值</w:t>
            </w:r>
          </w:p>
        </w:tc>
        <w:tc>
          <w:tcPr>
            <w:tcW w:w="651" w:type="dxa"/>
            <w:tcBorders>
              <w:top w:val="single" w:color="auto" w:sz="8" w:space="0"/>
              <w:bottom w:val="single" w:color="auto" w:sz="8" w:space="0"/>
            </w:tcBorders>
            <w:noWrap w:val="0"/>
            <w:vAlign w:val="center"/>
          </w:tcPr>
          <w:p w14:paraId="19A1E129">
            <w:pPr>
              <w:adjustRightInd w:val="0"/>
              <w:snapToGrid w:val="0"/>
              <w:jc w:val="center"/>
              <w:rPr>
                <w:rFonts w:ascii="宋体" w:hAnsi="宋体"/>
                <w:sz w:val="18"/>
                <w:szCs w:val="18"/>
              </w:rPr>
            </w:pPr>
            <w:r>
              <w:rPr>
                <w:rFonts w:ascii="宋体" w:hAnsi="宋体"/>
                <w:bCs/>
                <w:sz w:val="18"/>
                <w:szCs w:val="18"/>
              </w:rPr>
              <w:t>评定条款分值</w:t>
            </w:r>
          </w:p>
        </w:tc>
        <w:tc>
          <w:tcPr>
            <w:tcW w:w="3034" w:type="dxa"/>
            <w:tcBorders>
              <w:top w:val="single" w:color="auto" w:sz="8" w:space="0"/>
              <w:bottom w:val="single" w:color="auto" w:sz="8" w:space="0"/>
            </w:tcBorders>
            <w:noWrap w:val="0"/>
            <w:vAlign w:val="center"/>
          </w:tcPr>
          <w:p w14:paraId="29014B6E">
            <w:pPr>
              <w:adjustRightInd w:val="0"/>
              <w:snapToGrid w:val="0"/>
              <w:jc w:val="center"/>
              <w:rPr>
                <w:sz w:val="18"/>
                <w:szCs w:val="18"/>
              </w:rPr>
            </w:pPr>
            <w:r>
              <w:rPr>
                <w:bCs/>
                <w:sz w:val="18"/>
                <w:szCs w:val="18"/>
              </w:rPr>
              <w:t>评分标准</w:t>
            </w:r>
          </w:p>
        </w:tc>
        <w:tc>
          <w:tcPr>
            <w:tcW w:w="602" w:type="dxa"/>
            <w:tcBorders>
              <w:top w:val="single" w:color="auto" w:sz="8" w:space="0"/>
              <w:bottom w:val="single" w:color="auto" w:sz="8" w:space="0"/>
            </w:tcBorders>
            <w:noWrap w:val="0"/>
            <w:vAlign w:val="center"/>
          </w:tcPr>
          <w:p w14:paraId="5DAB6B9C">
            <w:pPr>
              <w:adjustRightInd w:val="0"/>
              <w:snapToGrid w:val="0"/>
              <w:jc w:val="center"/>
              <w:rPr>
                <w:rFonts w:ascii="宋体" w:hAnsi="宋体"/>
                <w:sz w:val="18"/>
                <w:szCs w:val="18"/>
              </w:rPr>
            </w:pPr>
            <w:r>
              <w:rPr>
                <w:rFonts w:ascii="宋体" w:hAnsi="宋体"/>
                <w:bCs/>
                <w:sz w:val="18"/>
                <w:szCs w:val="18"/>
              </w:rPr>
              <w:t>评定得分</w:t>
            </w:r>
          </w:p>
        </w:tc>
        <w:tc>
          <w:tcPr>
            <w:tcW w:w="1274" w:type="dxa"/>
            <w:tcBorders>
              <w:top w:val="single" w:color="auto" w:sz="8" w:space="0"/>
              <w:bottom w:val="single" w:color="auto" w:sz="8" w:space="0"/>
            </w:tcBorders>
            <w:noWrap w:val="0"/>
            <w:vAlign w:val="center"/>
          </w:tcPr>
          <w:p w14:paraId="75611F41">
            <w:pPr>
              <w:adjustRightInd w:val="0"/>
              <w:snapToGrid w:val="0"/>
              <w:jc w:val="center"/>
              <w:rPr>
                <w:rFonts w:ascii="宋体" w:hAnsi="宋体"/>
                <w:sz w:val="18"/>
                <w:szCs w:val="18"/>
              </w:rPr>
            </w:pPr>
            <w:r>
              <w:rPr>
                <w:rFonts w:ascii="宋体" w:hAnsi="宋体"/>
                <w:bCs/>
                <w:sz w:val="18"/>
                <w:szCs w:val="18"/>
              </w:rPr>
              <w:t>扣分说明</w:t>
            </w:r>
          </w:p>
        </w:tc>
        <w:tc>
          <w:tcPr>
            <w:tcW w:w="1284" w:type="dxa"/>
            <w:tcBorders>
              <w:top w:val="single" w:color="auto" w:sz="8" w:space="0"/>
              <w:bottom w:val="single" w:color="auto" w:sz="8" w:space="0"/>
            </w:tcBorders>
            <w:noWrap w:val="0"/>
            <w:vAlign w:val="center"/>
          </w:tcPr>
          <w:p w14:paraId="79B6A806">
            <w:pPr>
              <w:adjustRightInd w:val="0"/>
              <w:snapToGrid w:val="0"/>
              <w:jc w:val="center"/>
              <w:rPr>
                <w:rFonts w:ascii="宋体" w:hAnsi="宋体"/>
                <w:sz w:val="18"/>
                <w:szCs w:val="18"/>
              </w:rPr>
            </w:pPr>
            <w:r>
              <w:rPr>
                <w:rFonts w:ascii="宋体" w:hAnsi="宋体"/>
                <w:bCs/>
                <w:sz w:val="18"/>
                <w:szCs w:val="18"/>
              </w:rPr>
              <w:t>对应条款编号</w:t>
            </w:r>
          </w:p>
        </w:tc>
      </w:tr>
      <w:tr w14:paraId="54EBE6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71C37A61">
            <w:pPr>
              <w:adjustRightInd w:val="0"/>
              <w:snapToGrid w:val="0"/>
              <w:jc w:val="center"/>
              <w:rPr>
                <w:rFonts w:ascii="宋体" w:hAnsi="宋体"/>
                <w:bCs/>
                <w:sz w:val="18"/>
                <w:szCs w:val="18"/>
              </w:rPr>
            </w:pPr>
            <w:r>
              <w:rPr>
                <w:rFonts w:hint="eastAsia" w:ascii="宋体" w:hAnsi="宋体"/>
                <w:sz w:val="18"/>
                <w:szCs w:val="18"/>
                <w:lang w:eastAsia="zh-CN"/>
              </w:rPr>
              <w:t>10</w:t>
            </w:r>
            <w:r>
              <w:rPr>
                <w:rFonts w:ascii="宋体" w:hAnsi="宋体"/>
                <w:sz w:val="18"/>
                <w:szCs w:val="18"/>
              </w:rPr>
              <w:t>.1</w:t>
            </w:r>
            <w:r>
              <w:rPr>
                <w:rFonts w:hint="eastAsia" w:ascii="宋体" w:hAnsi="宋体"/>
                <w:sz w:val="18"/>
                <w:szCs w:val="18"/>
              </w:rPr>
              <w:t>.3</w:t>
            </w:r>
          </w:p>
        </w:tc>
        <w:tc>
          <w:tcPr>
            <w:tcW w:w="6483" w:type="dxa"/>
            <w:tcBorders>
              <w:top w:val="single" w:color="auto" w:sz="8" w:space="0"/>
              <w:bottom w:val="single" w:color="auto" w:sz="8" w:space="0"/>
            </w:tcBorders>
            <w:noWrap w:val="0"/>
            <w:vAlign w:val="center"/>
          </w:tcPr>
          <w:p w14:paraId="31B3B2F9">
            <w:pPr>
              <w:adjustRightInd w:val="0"/>
              <w:snapToGrid w:val="0"/>
              <w:jc w:val="left"/>
              <w:rPr>
                <w:rFonts w:hint="eastAsia" w:ascii="宋体" w:hAnsi="宋体"/>
                <w:sz w:val="18"/>
                <w:szCs w:val="18"/>
              </w:rPr>
            </w:pPr>
            <w:r>
              <w:rPr>
                <w:rFonts w:hint="eastAsia" w:ascii="宋体" w:hAnsi="宋体"/>
                <w:sz w:val="18"/>
                <w:szCs w:val="18"/>
              </w:rPr>
              <w:t>漂流活动应符合下列要求：</w:t>
            </w:r>
          </w:p>
          <w:p w14:paraId="7416F088">
            <w:pPr>
              <w:adjustRightInd w:val="0"/>
              <w:snapToGrid w:val="0"/>
              <w:jc w:val="left"/>
              <w:rPr>
                <w:rFonts w:hint="eastAsia" w:ascii="宋体" w:hAnsi="宋体"/>
                <w:sz w:val="18"/>
                <w:szCs w:val="18"/>
              </w:rPr>
            </w:pPr>
            <w:r>
              <w:rPr>
                <w:rFonts w:hint="eastAsia" w:ascii="宋体" w:hAnsi="宋体"/>
                <w:sz w:val="18"/>
                <w:szCs w:val="18"/>
              </w:rPr>
              <w:t>a）</w:t>
            </w:r>
            <w:r>
              <w:rPr>
                <w:rFonts w:ascii="宋体" w:hAnsi="宋体"/>
                <w:sz w:val="18"/>
                <w:szCs w:val="18"/>
              </w:rPr>
              <w:t>在漂流活动开始前，漂流工具操作人员</w:t>
            </w:r>
            <w:r>
              <w:rPr>
                <w:rFonts w:hint="eastAsia" w:ascii="宋体" w:hAnsi="宋体"/>
                <w:sz w:val="18"/>
                <w:szCs w:val="18"/>
              </w:rPr>
              <w:t>应</w:t>
            </w:r>
            <w:r>
              <w:rPr>
                <w:rFonts w:ascii="宋体" w:hAnsi="宋体"/>
                <w:sz w:val="18"/>
                <w:szCs w:val="18"/>
              </w:rPr>
              <w:t>向旅游者宣讲漂流旅游安全知识，介绍漂流工具上的安全设施及使用方法，说明漂流旅游中的安全注意事项和发生意外事故后的应急办法，并公布游客安全须知</w:t>
            </w:r>
            <w:r>
              <w:rPr>
                <w:rFonts w:hint="eastAsia" w:ascii="宋体" w:hAnsi="宋体"/>
                <w:sz w:val="18"/>
                <w:szCs w:val="18"/>
              </w:rPr>
              <w:t>；</w:t>
            </w:r>
            <w:r>
              <w:rPr>
                <w:rFonts w:ascii="宋体" w:hAnsi="宋体"/>
                <w:sz w:val="18"/>
                <w:szCs w:val="18"/>
              </w:rPr>
              <w:t>对健康条件不适合参加漂流活动的游客，应予以警告和劝阻</w:t>
            </w:r>
            <w:r>
              <w:rPr>
                <w:rFonts w:hint="eastAsia" w:ascii="宋体" w:hAnsi="宋体"/>
                <w:sz w:val="18"/>
                <w:szCs w:val="18"/>
              </w:rPr>
              <w:t>；漂流过程中到达危险地段前应事先告知游客；</w:t>
            </w:r>
          </w:p>
          <w:p w14:paraId="45FC8B96">
            <w:pPr>
              <w:adjustRightInd w:val="0"/>
              <w:snapToGrid w:val="0"/>
              <w:jc w:val="left"/>
              <w:rPr>
                <w:rFonts w:hint="eastAsia" w:ascii="宋体" w:hAnsi="宋体"/>
                <w:sz w:val="18"/>
                <w:szCs w:val="18"/>
              </w:rPr>
            </w:pPr>
            <w:r>
              <w:rPr>
                <w:rFonts w:hint="eastAsia" w:ascii="宋体" w:hAnsi="宋体"/>
                <w:sz w:val="18"/>
                <w:szCs w:val="18"/>
              </w:rPr>
              <w:t>b）不应在暴雨、洪水、上游泄洪情况下以及水位超过警戒线时冒险漂流；漂流工具操作人员不应在风力超过</w:t>
            </w:r>
            <w:r>
              <w:rPr>
                <w:rFonts w:hint="eastAsia" w:ascii="宋体" w:hAnsi="宋体"/>
                <w:sz w:val="18"/>
                <w:szCs w:val="18"/>
                <w:lang w:val="en-US" w:eastAsia="zh-CN"/>
              </w:rPr>
              <w:t>四</w:t>
            </w:r>
            <w:r>
              <w:rPr>
                <w:rFonts w:hint="eastAsia" w:ascii="宋体" w:hAnsi="宋体"/>
                <w:sz w:val="18"/>
                <w:szCs w:val="18"/>
              </w:rPr>
              <w:t>级、深度超过2 m的区域漂流。</w:t>
            </w:r>
          </w:p>
        </w:tc>
        <w:tc>
          <w:tcPr>
            <w:tcW w:w="602" w:type="dxa"/>
            <w:tcBorders>
              <w:top w:val="single" w:color="auto" w:sz="8" w:space="0"/>
              <w:bottom w:val="single" w:color="auto" w:sz="8" w:space="0"/>
            </w:tcBorders>
            <w:noWrap w:val="0"/>
            <w:vAlign w:val="center"/>
          </w:tcPr>
          <w:p w14:paraId="7EF227CE">
            <w:pPr>
              <w:adjustRightInd w:val="0"/>
              <w:snapToGrid w:val="0"/>
              <w:jc w:val="center"/>
              <w:rPr>
                <w:rFonts w:ascii="宋体" w:hAnsi="宋体"/>
                <w:bCs/>
                <w:sz w:val="18"/>
                <w:szCs w:val="18"/>
              </w:rPr>
            </w:pPr>
          </w:p>
        </w:tc>
        <w:tc>
          <w:tcPr>
            <w:tcW w:w="602" w:type="dxa"/>
            <w:tcBorders>
              <w:top w:val="single" w:color="auto" w:sz="8" w:space="0"/>
              <w:bottom w:val="single" w:color="auto" w:sz="8" w:space="0"/>
            </w:tcBorders>
            <w:noWrap w:val="0"/>
            <w:vAlign w:val="center"/>
          </w:tcPr>
          <w:p w14:paraId="11306FED">
            <w:pPr>
              <w:adjustRightInd w:val="0"/>
              <w:snapToGrid w:val="0"/>
              <w:jc w:val="center"/>
              <w:rPr>
                <w:rFonts w:ascii="宋体" w:hAnsi="宋体"/>
                <w:bCs/>
                <w:sz w:val="18"/>
                <w:szCs w:val="18"/>
              </w:rPr>
            </w:pPr>
          </w:p>
        </w:tc>
        <w:tc>
          <w:tcPr>
            <w:tcW w:w="651" w:type="dxa"/>
            <w:tcBorders>
              <w:top w:val="single" w:color="auto" w:sz="8" w:space="0"/>
              <w:bottom w:val="single" w:color="auto" w:sz="8" w:space="0"/>
            </w:tcBorders>
            <w:noWrap w:val="0"/>
            <w:vAlign w:val="center"/>
          </w:tcPr>
          <w:p w14:paraId="23FEB231">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2</w:t>
            </w:r>
          </w:p>
        </w:tc>
        <w:tc>
          <w:tcPr>
            <w:tcW w:w="3034" w:type="dxa"/>
            <w:tcBorders>
              <w:top w:val="single" w:color="auto" w:sz="8" w:space="0"/>
              <w:bottom w:val="single" w:color="auto" w:sz="8" w:space="0"/>
            </w:tcBorders>
            <w:noWrap w:val="0"/>
            <w:vAlign w:val="center"/>
          </w:tcPr>
          <w:p w14:paraId="3311A308">
            <w:pPr>
              <w:adjustRightInd w:val="0"/>
              <w:snapToGrid w:val="0"/>
              <w:jc w:val="left"/>
              <w:rPr>
                <w:rFonts w:hint="eastAsia" w:ascii="宋体" w:hAnsi="宋体"/>
                <w:sz w:val="18"/>
                <w:szCs w:val="18"/>
              </w:rPr>
            </w:pPr>
            <w:r>
              <w:rPr>
                <w:rFonts w:hint="eastAsia" w:ascii="宋体" w:hAnsi="宋体"/>
                <w:sz w:val="18"/>
                <w:szCs w:val="18"/>
              </w:rPr>
              <w:t>一处不符合</w:t>
            </w:r>
            <w:r>
              <w:rPr>
                <w:rFonts w:hint="eastAsia" w:ascii="宋体" w:hAnsi="宋体"/>
                <w:sz w:val="18"/>
                <w:szCs w:val="18"/>
                <w:lang w:val="en-US" w:eastAsia="zh-CN"/>
              </w:rPr>
              <w:t>不得分</w:t>
            </w:r>
            <w:r>
              <w:rPr>
                <w:rFonts w:hint="eastAsia" w:ascii="宋体" w:hAnsi="宋体"/>
                <w:sz w:val="18"/>
                <w:szCs w:val="18"/>
              </w:rPr>
              <w:t>。</w:t>
            </w:r>
          </w:p>
        </w:tc>
        <w:tc>
          <w:tcPr>
            <w:tcW w:w="602" w:type="dxa"/>
            <w:tcBorders>
              <w:top w:val="single" w:color="auto" w:sz="8" w:space="0"/>
              <w:bottom w:val="single" w:color="auto" w:sz="8" w:space="0"/>
            </w:tcBorders>
            <w:noWrap w:val="0"/>
            <w:vAlign w:val="center"/>
          </w:tcPr>
          <w:p w14:paraId="60A500E6">
            <w:pPr>
              <w:adjustRightInd w:val="0"/>
              <w:snapToGrid w:val="0"/>
              <w:jc w:val="center"/>
              <w:rPr>
                <w:rFonts w:ascii="宋体" w:hAnsi="宋体"/>
                <w:bCs/>
                <w:sz w:val="18"/>
                <w:szCs w:val="18"/>
              </w:rPr>
            </w:pPr>
          </w:p>
        </w:tc>
        <w:tc>
          <w:tcPr>
            <w:tcW w:w="1274" w:type="dxa"/>
            <w:tcBorders>
              <w:top w:val="single" w:color="auto" w:sz="8" w:space="0"/>
              <w:bottom w:val="single" w:color="auto" w:sz="8" w:space="0"/>
            </w:tcBorders>
            <w:noWrap w:val="0"/>
            <w:vAlign w:val="center"/>
          </w:tcPr>
          <w:p w14:paraId="7237C266">
            <w:pPr>
              <w:adjustRightInd w:val="0"/>
              <w:snapToGrid w:val="0"/>
              <w:jc w:val="center"/>
              <w:rPr>
                <w:rFonts w:ascii="宋体" w:hAnsi="宋体"/>
                <w:bCs/>
                <w:sz w:val="18"/>
                <w:szCs w:val="18"/>
              </w:rPr>
            </w:pPr>
          </w:p>
        </w:tc>
        <w:tc>
          <w:tcPr>
            <w:tcW w:w="1284" w:type="dxa"/>
            <w:tcBorders>
              <w:top w:val="single" w:color="auto" w:sz="8" w:space="0"/>
              <w:bottom w:val="single" w:color="auto" w:sz="8" w:space="0"/>
            </w:tcBorders>
            <w:noWrap w:val="0"/>
            <w:vAlign w:val="center"/>
          </w:tcPr>
          <w:p w14:paraId="5925292F">
            <w:pPr>
              <w:adjustRightInd w:val="0"/>
              <w:snapToGrid w:val="0"/>
              <w:jc w:val="center"/>
              <w:rPr>
                <w:rFonts w:ascii="宋体" w:hAnsi="宋体"/>
                <w:bCs/>
                <w:sz w:val="18"/>
                <w:szCs w:val="18"/>
              </w:rPr>
            </w:pPr>
            <w:r>
              <w:rPr>
                <w:rFonts w:hint="eastAsia" w:ascii="宋体" w:hAnsi="宋体"/>
                <w:bCs/>
                <w:sz w:val="18"/>
                <w:szCs w:val="18"/>
                <w:lang w:eastAsia="zh-CN"/>
              </w:rPr>
              <w:t>4.10</w:t>
            </w:r>
            <w:r>
              <w:rPr>
                <w:rFonts w:hint="eastAsia" w:ascii="宋体" w:hAnsi="宋体"/>
                <w:bCs/>
                <w:sz w:val="18"/>
                <w:szCs w:val="18"/>
              </w:rPr>
              <w:t>.1.3</w:t>
            </w:r>
          </w:p>
        </w:tc>
      </w:tr>
      <w:tr w14:paraId="34DA10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695AA7CF">
            <w:pPr>
              <w:adjustRightInd w:val="0"/>
              <w:snapToGrid w:val="0"/>
              <w:jc w:val="center"/>
              <w:rPr>
                <w:rFonts w:hint="eastAsia" w:ascii="宋体" w:hAnsi="宋体" w:eastAsia="宋体"/>
                <w:sz w:val="18"/>
                <w:szCs w:val="18"/>
                <w:lang w:eastAsia="zh-CN"/>
              </w:rPr>
            </w:pPr>
            <w:r>
              <w:rPr>
                <w:rFonts w:hint="eastAsia" w:ascii="宋体" w:hAnsi="宋体"/>
                <w:sz w:val="18"/>
                <w:szCs w:val="18"/>
                <w:lang w:eastAsia="zh-CN"/>
              </w:rPr>
              <w:t>10</w:t>
            </w:r>
            <w:r>
              <w:rPr>
                <w:rFonts w:ascii="宋体" w:hAnsi="宋体"/>
                <w:sz w:val="18"/>
                <w:szCs w:val="18"/>
              </w:rPr>
              <w:t>.1</w:t>
            </w:r>
            <w:r>
              <w:rPr>
                <w:rFonts w:hint="eastAsia" w:ascii="宋体" w:hAnsi="宋体"/>
                <w:sz w:val="18"/>
                <w:szCs w:val="18"/>
              </w:rPr>
              <w:t>.</w:t>
            </w:r>
            <w:r>
              <w:rPr>
                <w:rFonts w:hint="eastAsia" w:ascii="宋体" w:hAnsi="宋体"/>
                <w:sz w:val="18"/>
                <w:szCs w:val="18"/>
                <w:lang w:val="en-US" w:eastAsia="zh-CN"/>
              </w:rPr>
              <w:t>4</w:t>
            </w:r>
          </w:p>
        </w:tc>
        <w:tc>
          <w:tcPr>
            <w:tcW w:w="6483" w:type="dxa"/>
            <w:tcBorders>
              <w:top w:val="single" w:color="auto" w:sz="8" w:space="0"/>
              <w:bottom w:val="single" w:color="auto" w:sz="8" w:space="0"/>
            </w:tcBorders>
            <w:noWrap w:val="0"/>
            <w:vAlign w:val="center"/>
          </w:tcPr>
          <w:p w14:paraId="3932A352">
            <w:pPr>
              <w:adjustRightInd w:val="0"/>
              <w:snapToGrid w:val="0"/>
              <w:jc w:val="left"/>
              <w:rPr>
                <w:rFonts w:hint="eastAsia" w:ascii="宋体" w:hAnsi="宋体"/>
                <w:sz w:val="18"/>
                <w:szCs w:val="18"/>
              </w:rPr>
            </w:pPr>
            <w:r>
              <w:rPr>
                <w:rFonts w:hint="eastAsia" w:ascii="宋体" w:hAnsi="宋体"/>
                <w:sz w:val="18"/>
                <w:szCs w:val="18"/>
              </w:rPr>
              <w:t>动物饲养作业应下列要求：</w:t>
            </w:r>
          </w:p>
          <w:p w14:paraId="60B4A408">
            <w:pPr>
              <w:adjustRightInd w:val="0"/>
              <w:snapToGrid w:val="0"/>
              <w:jc w:val="left"/>
              <w:rPr>
                <w:rFonts w:hint="eastAsia" w:ascii="宋体" w:hAnsi="宋体"/>
                <w:sz w:val="18"/>
                <w:szCs w:val="18"/>
              </w:rPr>
            </w:pPr>
            <w:r>
              <w:rPr>
                <w:rFonts w:hint="eastAsia" w:ascii="宋体" w:hAnsi="宋体"/>
                <w:sz w:val="18"/>
                <w:szCs w:val="18"/>
              </w:rPr>
              <w:t>a）每个笼舍应有定点的饲养员</w:t>
            </w:r>
            <w:r>
              <w:rPr>
                <w:rFonts w:hint="eastAsia" w:ascii="宋体" w:hAnsi="宋体"/>
                <w:sz w:val="18"/>
                <w:szCs w:val="18"/>
                <w:lang w:eastAsia="zh-CN"/>
              </w:rPr>
              <w:t>，</w:t>
            </w:r>
            <w:r>
              <w:rPr>
                <w:rFonts w:hint="eastAsia" w:ascii="宋体" w:hAnsi="宋体" w:cs="Times New Roman"/>
                <w:sz w:val="18"/>
                <w:szCs w:val="18"/>
              </w:rPr>
              <w:t>笼舍钥匙由饲养员负责管理</w:t>
            </w:r>
            <w:r>
              <w:rPr>
                <w:rFonts w:hint="eastAsia" w:ascii="宋体" w:hAnsi="宋体"/>
                <w:sz w:val="18"/>
                <w:szCs w:val="18"/>
              </w:rPr>
              <w:t>；</w:t>
            </w:r>
          </w:p>
          <w:p w14:paraId="5F61DD7D">
            <w:pPr>
              <w:adjustRightInd w:val="0"/>
              <w:snapToGrid w:val="0"/>
              <w:jc w:val="left"/>
              <w:rPr>
                <w:rFonts w:hint="eastAsia" w:ascii="宋体" w:hAnsi="宋体"/>
                <w:sz w:val="18"/>
                <w:szCs w:val="18"/>
              </w:rPr>
            </w:pPr>
            <w:r>
              <w:rPr>
                <w:rFonts w:hint="eastAsia" w:ascii="宋体" w:hAnsi="宋体"/>
                <w:sz w:val="18"/>
                <w:szCs w:val="18"/>
                <w:lang w:val="en-US" w:eastAsia="zh-CN"/>
              </w:rPr>
              <w:t>b</w:t>
            </w:r>
            <w:r>
              <w:rPr>
                <w:rFonts w:hint="eastAsia" w:ascii="宋体" w:hAnsi="宋体"/>
                <w:sz w:val="18"/>
                <w:szCs w:val="18"/>
              </w:rPr>
              <w:t>）每日对笼舍安全度和动物身体状况进行检查，并填写相关记录；</w:t>
            </w:r>
          </w:p>
          <w:p w14:paraId="7DFB7641">
            <w:pPr>
              <w:adjustRightInd w:val="0"/>
              <w:snapToGrid w:val="0"/>
              <w:jc w:val="left"/>
              <w:rPr>
                <w:rFonts w:hint="eastAsia" w:ascii="宋体" w:hAnsi="宋体"/>
                <w:sz w:val="18"/>
                <w:szCs w:val="18"/>
              </w:rPr>
            </w:pPr>
            <w:r>
              <w:rPr>
                <w:rFonts w:hint="eastAsia" w:ascii="宋体" w:hAnsi="宋体"/>
                <w:sz w:val="18"/>
                <w:szCs w:val="18"/>
              </w:rPr>
              <w:t>c）</w:t>
            </w:r>
            <w:r>
              <w:rPr>
                <w:rFonts w:hint="eastAsia" w:ascii="宋体" w:hAnsi="宋体"/>
                <w:sz w:val="18"/>
                <w:szCs w:val="18"/>
                <w:lang w:val="en-US" w:eastAsia="zh-CN"/>
              </w:rPr>
              <w:t>应</w:t>
            </w:r>
            <w:r>
              <w:rPr>
                <w:rFonts w:hint="eastAsia" w:ascii="宋体" w:hAnsi="宋体"/>
                <w:sz w:val="18"/>
                <w:szCs w:val="18"/>
              </w:rPr>
              <w:t>建立凶猛动物清单，并按照</w:t>
            </w:r>
            <w:r>
              <w:rPr>
                <w:rFonts w:ascii="宋体" w:hAnsi="宋体"/>
                <w:sz w:val="18"/>
                <w:szCs w:val="18"/>
              </w:rPr>
              <w:t>凶猛程度</w:t>
            </w:r>
            <w:r>
              <w:rPr>
                <w:rFonts w:hint="eastAsia" w:ascii="宋体" w:hAnsi="宋体"/>
                <w:sz w:val="18"/>
                <w:szCs w:val="18"/>
              </w:rPr>
              <w:t>进行分级，</w:t>
            </w:r>
            <w:r>
              <w:rPr>
                <w:rFonts w:ascii="宋体" w:hAnsi="宋体"/>
                <w:sz w:val="18"/>
                <w:szCs w:val="18"/>
              </w:rPr>
              <w:t>规定每级凶猛动物现场管理和作业安全要求</w:t>
            </w:r>
            <w:r>
              <w:rPr>
                <w:rFonts w:hint="eastAsia" w:ascii="宋体" w:hAnsi="宋体"/>
                <w:sz w:val="18"/>
                <w:szCs w:val="18"/>
              </w:rPr>
              <w:t>；</w:t>
            </w:r>
          </w:p>
          <w:p w14:paraId="3927A2D4">
            <w:pPr>
              <w:adjustRightInd w:val="0"/>
              <w:snapToGrid w:val="0"/>
              <w:jc w:val="left"/>
              <w:rPr>
                <w:rFonts w:hint="eastAsia" w:ascii="宋体" w:hAnsi="宋体"/>
                <w:sz w:val="18"/>
                <w:szCs w:val="18"/>
              </w:rPr>
            </w:pPr>
            <w:r>
              <w:rPr>
                <w:rFonts w:hint="eastAsia" w:ascii="宋体" w:hAnsi="宋体"/>
                <w:sz w:val="18"/>
                <w:szCs w:val="18"/>
              </w:rPr>
              <w:t>d）饲养场所应定期进行清扫、消毒；</w:t>
            </w:r>
          </w:p>
          <w:p w14:paraId="5CCFEEE8">
            <w:pPr>
              <w:adjustRightInd w:val="0"/>
              <w:snapToGrid w:val="0"/>
              <w:jc w:val="left"/>
              <w:rPr>
                <w:rFonts w:hint="eastAsia" w:ascii="宋体" w:hAnsi="宋体"/>
                <w:sz w:val="18"/>
                <w:szCs w:val="18"/>
              </w:rPr>
            </w:pPr>
            <w:r>
              <w:rPr>
                <w:rFonts w:hint="eastAsia" w:ascii="宋体" w:hAnsi="宋体"/>
                <w:sz w:val="18"/>
                <w:szCs w:val="18"/>
                <w:lang w:val="en-US" w:eastAsia="zh-CN"/>
              </w:rPr>
              <w:t>e</w:t>
            </w:r>
            <w:r>
              <w:rPr>
                <w:rFonts w:hint="eastAsia" w:ascii="宋体" w:hAnsi="宋体"/>
                <w:sz w:val="18"/>
                <w:szCs w:val="18"/>
              </w:rPr>
              <w:t>）进入可接触动物的笼舍，应持有必要的防护用具</w:t>
            </w:r>
            <w:r>
              <w:rPr>
                <w:rFonts w:hint="eastAsia" w:ascii="宋体" w:hAnsi="宋体"/>
                <w:sz w:val="18"/>
                <w:szCs w:val="18"/>
                <w:lang w:eastAsia="zh-CN"/>
              </w:rPr>
              <w:t>。</w:t>
            </w:r>
          </w:p>
        </w:tc>
        <w:tc>
          <w:tcPr>
            <w:tcW w:w="602" w:type="dxa"/>
            <w:tcBorders>
              <w:top w:val="single" w:color="auto" w:sz="8" w:space="0"/>
              <w:bottom w:val="single" w:color="auto" w:sz="8" w:space="0"/>
            </w:tcBorders>
            <w:noWrap w:val="0"/>
            <w:vAlign w:val="center"/>
          </w:tcPr>
          <w:p w14:paraId="084594CC">
            <w:pPr>
              <w:adjustRightInd w:val="0"/>
              <w:snapToGrid w:val="0"/>
              <w:jc w:val="center"/>
              <w:rPr>
                <w:rFonts w:ascii="宋体" w:hAnsi="宋体"/>
                <w:bCs/>
                <w:sz w:val="18"/>
                <w:szCs w:val="18"/>
              </w:rPr>
            </w:pPr>
          </w:p>
        </w:tc>
        <w:tc>
          <w:tcPr>
            <w:tcW w:w="602" w:type="dxa"/>
            <w:tcBorders>
              <w:top w:val="single" w:color="auto" w:sz="8" w:space="0"/>
              <w:bottom w:val="single" w:color="auto" w:sz="8" w:space="0"/>
            </w:tcBorders>
            <w:noWrap w:val="0"/>
            <w:vAlign w:val="center"/>
          </w:tcPr>
          <w:p w14:paraId="14CDF14E">
            <w:pPr>
              <w:adjustRightInd w:val="0"/>
              <w:snapToGrid w:val="0"/>
              <w:jc w:val="center"/>
              <w:rPr>
                <w:rFonts w:ascii="宋体" w:hAnsi="宋体"/>
                <w:bCs/>
                <w:sz w:val="18"/>
                <w:szCs w:val="18"/>
              </w:rPr>
            </w:pPr>
          </w:p>
        </w:tc>
        <w:tc>
          <w:tcPr>
            <w:tcW w:w="651" w:type="dxa"/>
            <w:tcBorders>
              <w:top w:val="single" w:color="auto" w:sz="8" w:space="0"/>
              <w:bottom w:val="single" w:color="auto" w:sz="8" w:space="0"/>
            </w:tcBorders>
            <w:noWrap w:val="0"/>
            <w:vAlign w:val="center"/>
          </w:tcPr>
          <w:p w14:paraId="6DB0F5C6">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val="en-US" w:eastAsia="zh-CN"/>
              </w:rPr>
              <w:t>4</w:t>
            </w:r>
          </w:p>
        </w:tc>
        <w:tc>
          <w:tcPr>
            <w:tcW w:w="3034" w:type="dxa"/>
            <w:tcBorders>
              <w:top w:val="single" w:color="auto" w:sz="8" w:space="0"/>
              <w:bottom w:val="single" w:color="auto" w:sz="8" w:space="0"/>
            </w:tcBorders>
            <w:noWrap w:val="0"/>
            <w:vAlign w:val="center"/>
          </w:tcPr>
          <w:p w14:paraId="33929E78">
            <w:pPr>
              <w:adjustRightInd w:val="0"/>
              <w:snapToGrid w:val="0"/>
              <w:jc w:val="left"/>
              <w:rPr>
                <w:rFonts w:hint="eastAsia" w:ascii="宋体" w:hAnsi="宋体"/>
                <w:sz w:val="18"/>
                <w:szCs w:val="18"/>
              </w:rPr>
            </w:pPr>
            <w:r>
              <w:rPr>
                <w:rFonts w:hint="eastAsia" w:ascii="宋体" w:hAnsi="宋体"/>
                <w:sz w:val="18"/>
                <w:szCs w:val="18"/>
              </w:rPr>
              <w:t>一处不符合</w:t>
            </w:r>
            <w:r>
              <w:rPr>
                <w:rFonts w:hint="eastAsia" w:ascii="宋体" w:hAnsi="宋体"/>
                <w:sz w:val="18"/>
                <w:szCs w:val="18"/>
                <w:lang w:val="en-US" w:eastAsia="zh-CN"/>
              </w:rPr>
              <w:t>不得分</w:t>
            </w:r>
            <w:r>
              <w:rPr>
                <w:rFonts w:hint="eastAsia" w:ascii="宋体" w:hAnsi="宋体"/>
                <w:sz w:val="18"/>
                <w:szCs w:val="18"/>
              </w:rPr>
              <w:t>。</w:t>
            </w:r>
          </w:p>
        </w:tc>
        <w:tc>
          <w:tcPr>
            <w:tcW w:w="602" w:type="dxa"/>
            <w:tcBorders>
              <w:top w:val="single" w:color="auto" w:sz="8" w:space="0"/>
              <w:bottom w:val="single" w:color="auto" w:sz="8" w:space="0"/>
            </w:tcBorders>
            <w:noWrap w:val="0"/>
            <w:vAlign w:val="center"/>
          </w:tcPr>
          <w:p w14:paraId="57DA9D50">
            <w:pPr>
              <w:adjustRightInd w:val="0"/>
              <w:snapToGrid w:val="0"/>
              <w:jc w:val="center"/>
              <w:rPr>
                <w:rFonts w:ascii="宋体" w:hAnsi="宋体"/>
                <w:bCs/>
                <w:sz w:val="18"/>
                <w:szCs w:val="18"/>
              </w:rPr>
            </w:pPr>
          </w:p>
        </w:tc>
        <w:tc>
          <w:tcPr>
            <w:tcW w:w="1274" w:type="dxa"/>
            <w:tcBorders>
              <w:top w:val="single" w:color="auto" w:sz="8" w:space="0"/>
              <w:bottom w:val="single" w:color="auto" w:sz="8" w:space="0"/>
            </w:tcBorders>
            <w:noWrap w:val="0"/>
            <w:vAlign w:val="center"/>
          </w:tcPr>
          <w:p w14:paraId="20EB6D8E">
            <w:pPr>
              <w:adjustRightInd w:val="0"/>
              <w:snapToGrid w:val="0"/>
              <w:jc w:val="center"/>
              <w:rPr>
                <w:rFonts w:ascii="宋体" w:hAnsi="宋体"/>
                <w:bCs/>
                <w:sz w:val="18"/>
                <w:szCs w:val="18"/>
              </w:rPr>
            </w:pPr>
          </w:p>
        </w:tc>
        <w:tc>
          <w:tcPr>
            <w:tcW w:w="1284" w:type="dxa"/>
            <w:tcBorders>
              <w:top w:val="single" w:color="auto" w:sz="8" w:space="0"/>
              <w:bottom w:val="single" w:color="auto" w:sz="8" w:space="0"/>
            </w:tcBorders>
            <w:noWrap w:val="0"/>
            <w:vAlign w:val="center"/>
          </w:tcPr>
          <w:p w14:paraId="6DB1D9D5">
            <w:pPr>
              <w:adjustRightInd w:val="0"/>
              <w:snapToGrid w:val="0"/>
              <w:jc w:val="center"/>
              <w:rPr>
                <w:rFonts w:hint="eastAsia" w:ascii="宋体" w:hAnsi="宋体" w:eastAsia="宋体"/>
                <w:bCs/>
                <w:sz w:val="18"/>
                <w:szCs w:val="18"/>
                <w:lang w:eastAsia="zh-CN"/>
              </w:rPr>
            </w:pPr>
            <w:r>
              <w:rPr>
                <w:rFonts w:hint="eastAsia" w:ascii="宋体" w:hAnsi="宋体"/>
                <w:bCs/>
                <w:sz w:val="18"/>
                <w:szCs w:val="18"/>
                <w:lang w:eastAsia="zh-CN"/>
              </w:rPr>
              <w:t>4.10</w:t>
            </w:r>
            <w:r>
              <w:rPr>
                <w:rFonts w:hint="eastAsia" w:ascii="宋体" w:hAnsi="宋体"/>
                <w:bCs/>
                <w:sz w:val="18"/>
                <w:szCs w:val="18"/>
              </w:rPr>
              <w:t>.1.</w:t>
            </w:r>
            <w:r>
              <w:rPr>
                <w:rFonts w:hint="eastAsia" w:ascii="宋体" w:hAnsi="宋体"/>
                <w:bCs/>
                <w:sz w:val="18"/>
                <w:szCs w:val="18"/>
                <w:lang w:val="en-US" w:eastAsia="zh-CN"/>
              </w:rPr>
              <w:t>4</w:t>
            </w:r>
          </w:p>
        </w:tc>
      </w:tr>
      <w:tr w14:paraId="35127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shd w:val="clear"/>
            <w:noWrap w:val="0"/>
            <w:vAlign w:val="center"/>
          </w:tcPr>
          <w:p w14:paraId="748CB70A">
            <w:pPr>
              <w:adjustRightInd w:val="0"/>
              <w:snapToGrid w:val="0"/>
              <w:jc w:val="center"/>
              <w:rPr>
                <w:rFonts w:hint="eastAsia" w:ascii="宋体" w:hAnsi="宋体" w:eastAsia="宋体" w:cs="Times New Roman"/>
                <w:kern w:val="2"/>
                <w:sz w:val="18"/>
                <w:szCs w:val="18"/>
                <w:lang w:val="en-US" w:eastAsia="zh-CN" w:bidi="ar-SA"/>
              </w:rPr>
            </w:pPr>
            <w:r>
              <w:rPr>
                <w:rFonts w:hint="eastAsia" w:ascii="宋体" w:hAnsi="宋体"/>
                <w:sz w:val="18"/>
                <w:szCs w:val="18"/>
                <w:lang w:eastAsia="zh-CN"/>
              </w:rPr>
              <w:t>10</w:t>
            </w:r>
            <w:r>
              <w:rPr>
                <w:rFonts w:ascii="宋体" w:hAnsi="宋体"/>
                <w:sz w:val="18"/>
                <w:szCs w:val="18"/>
              </w:rPr>
              <w:t>.1</w:t>
            </w:r>
            <w:r>
              <w:rPr>
                <w:rFonts w:hint="eastAsia" w:ascii="宋体" w:hAnsi="宋体"/>
                <w:sz w:val="18"/>
                <w:szCs w:val="18"/>
              </w:rPr>
              <w:t>.</w:t>
            </w:r>
            <w:r>
              <w:rPr>
                <w:rFonts w:hint="eastAsia" w:ascii="宋体" w:hAnsi="宋体"/>
                <w:sz w:val="18"/>
                <w:szCs w:val="18"/>
                <w:lang w:val="en-US" w:eastAsia="zh-CN"/>
              </w:rPr>
              <w:t>5</w:t>
            </w:r>
          </w:p>
        </w:tc>
        <w:tc>
          <w:tcPr>
            <w:tcW w:w="6483" w:type="dxa"/>
            <w:tcBorders>
              <w:top w:val="single" w:color="auto" w:sz="8" w:space="0"/>
              <w:bottom w:val="single" w:color="auto" w:sz="8" w:space="0"/>
            </w:tcBorders>
            <w:shd w:val="clear"/>
            <w:noWrap w:val="0"/>
            <w:vAlign w:val="center"/>
          </w:tcPr>
          <w:p w14:paraId="56777A8C">
            <w:pPr>
              <w:adjustRightInd w:val="0"/>
              <w:snapToGrid w:val="0"/>
              <w:jc w:val="left"/>
              <w:rPr>
                <w:rFonts w:hint="eastAsia" w:ascii="宋体" w:hAnsi="宋体"/>
                <w:sz w:val="18"/>
                <w:szCs w:val="18"/>
              </w:rPr>
            </w:pPr>
            <w:r>
              <w:rPr>
                <w:rFonts w:hint="eastAsia" w:ascii="宋体" w:hAnsi="宋体"/>
                <w:sz w:val="18"/>
                <w:szCs w:val="18"/>
              </w:rPr>
              <w:t>绿化养护作业应符合下列要求：</w:t>
            </w:r>
          </w:p>
          <w:p w14:paraId="1129FDB0">
            <w:pPr>
              <w:adjustRightInd w:val="0"/>
              <w:snapToGrid w:val="0"/>
              <w:jc w:val="left"/>
              <w:rPr>
                <w:rFonts w:hint="eastAsia" w:ascii="宋体" w:hAnsi="宋体"/>
                <w:sz w:val="18"/>
                <w:szCs w:val="18"/>
              </w:rPr>
            </w:pPr>
            <w:r>
              <w:rPr>
                <w:rFonts w:hint="eastAsia" w:ascii="宋体" w:hAnsi="宋体"/>
                <w:sz w:val="18"/>
                <w:szCs w:val="18"/>
              </w:rPr>
              <w:t>a）枯枝死叉应及时修剪，风力达到</w:t>
            </w:r>
            <w:r>
              <w:rPr>
                <w:rFonts w:hint="eastAsia" w:ascii="宋体" w:hAnsi="宋体"/>
                <w:sz w:val="18"/>
                <w:szCs w:val="18"/>
                <w:lang w:val="en-US" w:eastAsia="zh-CN"/>
              </w:rPr>
              <w:t>五</w:t>
            </w:r>
            <w:r>
              <w:rPr>
                <w:rFonts w:hint="eastAsia" w:ascii="宋体" w:hAnsi="宋体"/>
                <w:sz w:val="18"/>
                <w:szCs w:val="18"/>
              </w:rPr>
              <w:t>级时不应上树作业；</w:t>
            </w:r>
          </w:p>
          <w:p w14:paraId="01074C7D">
            <w:pPr>
              <w:adjustRightInd w:val="0"/>
              <w:snapToGrid w:val="0"/>
              <w:jc w:val="left"/>
              <w:rPr>
                <w:rFonts w:hint="eastAsia" w:ascii="宋体" w:hAnsi="宋体"/>
                <w:sz w:val="18"/>
                <w:szCs w:val="18"/>
              </w:rPr>
            </w:pPr>
            <w:r>
              <w:rPr>
                <w:rFonts w:hint="eastAsia" w:ascii="宋体" w:hAnsi="宋体"/>
                <w:sz w:val="18"/>
                <w:szCs w:val="18"/>
              </w:rPr>
              <w:t>b）大树修剪时应确定作业区域，设专人负责警戒</w:t>
            </w:r>
            <w:r>
              <w:rPr>
                <w:rFonts w:hint="eastAsia" w:ascii="宋体" w:hAnsi="宋体"/>
                <w:sz w:val="18"/>
                <w:szCs w:val="18"/>
                <w:lang w:eastAsia="zh-CN"/>
              </w:rPr>
              <w:t>、</w:t>
            </w:r>
            <w:r>
              <w:rPr>
                <w:rFonts w:hint="eastAsia" w:ascii="宋体" w:hAnsi="宋体"/>
                <w:sz w:val="18"/>
                <w:szCs w:val="18"/>
                <w:lang w:val="en-US" w:eastAsia="zh-CN"/>
              </w:rPr>
              <w:t>隔离</w:t>
            </w:r>
            <w:r>
              <w:rPr>
                <w:rFonts w:hint="eastAsia" w:ascii="宋体" w:hAnsi="宋体"/>
                <w:sz w:val="18"/>
                <w:szCs w:val="18"/>
              </w:rPr>
              <w:t>和疏导交通；</w:t>
            </w:r>
          </w:p>
          <w:p w14:paraId="6743CA8F">
            <w:pPr>
              <w:adjustRightInd w:val="0"/>
              <w:snapToGrid w:val="0"/>
              <w:jc w:val="left"/>
              <w:rPr>
                <w:rFonts w:hint="eastAsia" w:ascii="宋体" w:hAnsi="宋体"/>
                <w:sz w:val="18"/>
                <w:szCs w:val="18"/>
              </w:rPr>
            </w:pPr>
            <w:r>
              <w:rPr>
                <w:rFonts w:hint="eastAsia" w:ascii="宋体" w:hAnsi="宋体"/>
                <w:sz w:val="18"/>
                <w:szCs w:val="18"/>
              </w:rPr>
              <w:t>c）高处修剪树枝时，安全带应拴挂于牢固的枝干上后方可作业；</w:t>
            </w:r>
          </w:p>
          <w:p w14:paraId="2FF8E8EB">
            <w:pPr>
              <w:adjustRightInd w:val="0"/>
              <w:snapToGrid w:val="0"/>
              <w:jc w:val="left"/>
              <w:rPr>
                <w:rFonts w:hint="eastAsia" w:ascii="宋体" w:hAnsi="宋体"/>
                <w:sz w:val="18"/>
                <w:szCs w:val="18"/>
              </w:rPr>
            </w:pPr>
            <w:r>
              <w:rPr>
                <w:rFonts w:hint="eastAsia" w:ascii="宋体" w:hAnsi="宋体"/>
                <w:sz w:val="18"/>
                <w:szCs w:val="18"/>
              </w:rPr>
              <w:t>d）景区开放期间不应喷撒农药，风力达到</w:t>
            </w:r>
            <w:r>
              <w:rPr>
                <w:rFonts w:hint="eastAsia" w:ascii="宋体" w:hAnsi="宋体"/>
                <w:sz w:val="18"/>
                <w:szCs w:val="18"/>
                <w:lang w:val="en-US" w:eastAsia="zh-CN"/>
              </w:rPr>
              <w:t>三</w:t>
            </w:r>
            <w:r>
              <w:rPr>
                <w:rFonts w:hint="eastAsia" w:ascii="宋体" w:hAnsi="宋体"/>
                <w:sz w:val="18"/>
                <w:szCs w:val="18"/>
              </w:rPr>
              <w:t>级时不应喷洒农药；</w:t>
            </w:r>
          </w:p>
          <w:p w14:paraId="13464111">
            <w:pPr>
              <w:adjustRightInd w:val="0"/>
              <w:snapToGrid w:val="0"/>
              <w:jc w:val="left"/>
              <w:rPr>
                <w:rFonts w:hint="eastAsia" w:ascii="宋体" w:hAnsi="宋体"/>
                <w:sz w:val="18"/>
                <w:szCs w:val="18"/>
              </w:rPr>
            </w:pPr>
            <w:r>
              <w:rPr>
                <w:rFonts w:hint="eastAsia" w:ascii="宋体" w:hAnsi="宋体"/>
                <w:sz w:val="18"/>
                <w:szCs w:val="18"/>
              </w:rPr>
              <w:t>e)按照农药产品标签使用农药；</w:t>
            </w:r>
          </w:p>
          <w:p w14:paraId="1EEB4E20">
            <w:pPr>
              <w:adjustRightInd w:val="0"/>
              <w:snapToGrid w:val="0"/>
              <w:jc w:val="left"/>
              <w:rPr>
                <w:rFonts w:hint="eastAsia" w:ascii="宋体" w:hAnsi="宋体"/>
                <w:sz w:val="18"/>
                <w:szCs w:val="18"/>
              </w:rPr>
            </w:pPr>
            <w:r>
              <w:rPr>
                <w:rFonts w:hint="eastAsia" w:ascii="宋体" w:hAnsi="宋体"/>
                <w:sz w:val="18"/>
                <w:szCs w:val="18"/>
                <w:lang w:val="en-US" w:eastAsia="zh-CN"/>
              </w:rPr>
              <w:t>f</w:t>
            </w:r>
            <w:r>
              <w:rPr>
                <w:rFonts w:hint="eastAsia" w:ascii="宋体" w:hAnsi="宋体"/>
                <w:sz w:val="18"/>
                <w:szCs w:val="18"/>
              </w:rPr>
              <w:t>)施药前后应保持农药包装标签完好；</w:t>
            </w:r>
          </w:p>
          <w:p w14:paraId="68BFEF70">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g</w:t>
            </w:r>
            <w:r>
              <w:rPr>
                <w:rFonts w:hint="eastAsia" w:ascii="宋体" w:hAnsi="宋体"/>
                <w:sz w:val="18"/>
                <w:szCs w:val="18"/>
              </w:rPr>
              <w:t>)配药应按照标签或说明书选用配置方法，配药过程中不应用手直接接触农药或搅拌稀释农药，应采用专用器具配置并使用工具搅拌。</w:t>
            </w:r>
          </w:p>
        </w:tc>
        <w:tc>
          <w:tcPr>
            <w:tcW w:w="602" w:type="dxa"/>
            <w:tcBorders>
              <w:top w:val="single" w:color="auto" w:sz="8" w:space="0"/>
              <w:bottom w:val="single" w:color="auto" w:sz="8" w:space="0"/>
            </w:tcBorders>
            <w:shd w:val="clear"/>
            <w:noWrap w:val="0"/>
            <w:vAlign w:val="center"/>
          </w:tcPr>
          <w:p w14:paraId="155D49DC">
            <w:pPr>
              <w:adjustRightInd w:val="0"/>
              <w:snapToGrid w:val="0"/>
              <w:jc w:val="center"/>
              <w:rPr>
                <w:rFonts w:ascii="宋体" w:hAnsi="宋体" w:eastAsia="宋体" w:cs="Times New Roman"/>
                <w:bCs/>
                <w:kern w:val="2"/>
                <w:sz w:val="18"/>
                <w:szCs w:val="18"/>
                <w:lang w:val="en-US" w:eastAsia="zh-CN" w:bidi="ar-SA"/>
              </w:rPr>
            </w:pPr>
          </w:p>
        </w:tc>
        <w:tc>
          <w:tcPr>
            <w:tcW w:w="602" w:type="dxa"/>
            <w:tcBorders>
              <w:top w:val="single" w:color="auto" w:sz="8" w:space="0"/>
              <w:bottom w:val="single" w:color="auto" w:sz="8" w:space="0"/>
            </w:tcBorders>
            <w:shd w:val="clear"/>
            <w:noWrap w:val="0"/>
            <w:vAlign w:val="center"/>
          </w:tcPr>
          <w:p w14:paraId="03B84E1D">
            <w:pPr>
              <w:adjustRightInd w:val="0"/>
              <w:snapToGrid w:val="0"/>
              <w:jc w:val="center"/>
              <w:rPr>
                <w:rFonts w:ascii="宋体" w:hAnsi="宋体" w:eastAsia="宋体" w:cs="Times New Roman"/>
                <w:bCs/>
                <w:kern w:val="2"/>
                <w:sz w:val="18"/>
                <w:szCs w:val="18"/>
                <w:lang w:val="en-US" w:eastAsia="zh-CN" w:bidi="ar-SA"/>
              </w:rPr>
            </w:pPr>
          </w:p>
        </w:tc>
        <w:tc>
          <w:tcPr>
            <w:tcW w:w="651" w:type="dxa"/>
            <w:tcBorders>
              <w:top w:val="single" w:color="auto" w:sz="8" w:space="0"/>
              <w:bottom w:val="single" w:color="auto" w:sz="8" w:space="0"/>
            </w:tcBorders>
            <w:shd w:val="clear"/>
            <w:noWrap w:val="0"/>
            <w:vAlign w:val="center"/>
          </w:tcPr>
          <w:p w14:paraId="16246E3F">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val="en-US" w:eastAsia="zh-CN"/>
              </w:rPr>
              <w:t>3</w:t>
            </w:r>
          </w:p>
        </w:tc>
        <w:tc>
          <w:tcPr>
            <w:tcW w:w="3034" w:type="dxa"/>
            <w:tcBorders>
              <w:top w:val="single" w:color="auto" w:sz="8" w:space="0"/>
              <w:bottom w:val="single" w:color="auto" w:sz="8" w:space="0"/>
            </w:tcBorders>
            <w:shd w:val="clear"/>
            <w:noWrap w:val="0"/>
            <w:vAlign w:val="center"/>
          </w:tcPr>
          <w:p w14:paraId="5FFCA28C">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一处不符合扣</w:t>
            </w:r>
            <w:r>
              <w:rPr>
                <w:rFonts w:ascii="宋体" w:hAnsi="宋体"/>
                <w:sz w:val="18"/>
                <w:szCs w:val="18"/>
              </w:rPr>
              <w:t>2</w:t>
            </w:r>
            <w:r>
              <w:rPr>
                <w:rFonts w:hint="eastAsia" w:ascii="宋体" w:hAnsi="宋体"/>
                <w:sz w:val="18"/>
                <w:szCs w:val="18"/>
              </w:rPr>
              <w:t>分。</w:t>
            </w:r>
          </w:p>
        </w:tc>
        <w:tc>
          <w:tcPr>
            <w:tcW w:w="602" w:type="dxa"/>
            <w:tcBorders>
              <w:top w:val="single" w:color="auto" w:sz="8" w:space="0"/>
              <w:bottom w:val="single" w:color="auto" w:sz="8" w:space="0"/>
            </w:tcBorders>
            <w:shd w:val="clear"/>
            <w:noWrap w:val="0"/>
            <w:vAlign w:val="center"/>
          </w:tcPr>
          <w:p w14:paraId="6ECCF78B">
            <w:pPr>
              <w:adjustRightInd w:val="0"/>
              <w:snapToGrid w:val="0"/>
              <w:jc w:val="center"/>
              <w:rPr>
                <w:rFonts w:ascii="宋体" w:hAnsi="宋体" w:eastAsia="宋体" w:cs="Times New Roman"/>
                <w:bCs/>
                <w:kern w:val="2"/>
                <w:sz w:val="18"/>
                <w:szCs w:val="18"/>
                <w:lang w:val="en-US" w:eastAsia="zh-CN" w:bidi="ar-SA"/>
              </w:rPr>
            </w:pPr>
          </w:p>
        </w:tc>
        <w:tc>
          <w:tcPr>
            <w:tcW w:w="1274" w:type="dxa"/>
            <w:tcBorders>
              <w:top w:val="single" w:color="auto" w:sz="8" w:space="0"/>
              <w:bottom w:val="single" w:color="auto" w:sz="8" w:space="0"/>
            </w:tcBorders>
            <w:shd w:val="clear"/>
            <w:noWrap w:val="0"/>
            <w:vAlign w:val="center"/>
          </w:tcPr>
          <w:p w14:paraId="25134DBB">
            <w:pPr>
              <w:adjustRightInd w:val="0"/>
              <w:snapToGrid w:val="0"/>
              <w:jc w:val="center"/>
              <w:rPr>
                <w:rFonts w:ascii="宋体" w:hAnsi="宋体" w:eastAsia="宋体" w:cs="Times New Roman"/>
                <w:bCs/>
                <w:kern w:val="2"/>
                <w:sz w:val="18"/>
                <w:szCs w:val="18"/>
                <w:lang w:val="en-US" w:eastAsia="zh-CN" w:bidi="ar-SA"/>
              </w:rPr>
            </w:pPr>
          </w:p>
        </w:tc>
        <w:tc>
          <w:tcPr>
            <w:tcW w:w="1284" w:type="dxa"/>
            <w:tcBorders>
              <w:top w:val="single" w:color="auto" w:sz="8" w:space="0"/>
              <w:bottom w:val="single" w:color="auto" w:sz="8" w:space="0"/>
            </w:tcBorders>
            <w:shd w:val="clear"/>
            <w:noWrap w:val="0"/>
            <w:vAlign w:val="center"/>
          </w:tcPr>
          <w:p w14:paraId="1AB08695">
            <w:pPr>
              <w:adjustRightInd w:val="0"/>
              <w:snapToGrid w:val="0"/>
              <w:jc w:val="center"/>
              <w:rPr>
                <w:rFonts w:hint="eastAsia" w:ascii="宋体" w:hAnsi="宋体" w:eastAsia="宋体" w:cs="Times New Roman"/>
                <w:bCs/>
                <w:kern w:val="2"/>
                <w:sz w:val="18"/>
                <w:szCs w:val="18"/>
                <w:lang w:val="en-US" w:eastAsia="zh-CN" w:bidi="ar-SA"/>
              </w:rPr>
            </w:pPr>
            <w:r>
              <w:rPr>
                <w:rFonts w:hint="eastAsia" w:ascii="宋体" w:hAnsi="宋体"/>
                <w:bCs/>
                <w:sz w:val="18"/>
                <w:szCs w:val="18"/>
                <w:lang w:eastAsia="zh-CN"/>
              </w:rPr>
              <w:t>4.10</w:t>
            </w:r>
            <w:r>
              <w:rPr>
                <w:rFonts w:hint="eastAsia" w:ascii="宋体" w:hAnsi="宋体"/>
                <w:bCs/>
                <w:sz w:val="18"/>
                <w:szCs w:val="18"/>
              </w:rPr>
              <w:t>.1.</w:t>
            </w:r>
            <w:r>
              <w:rPr>
                <w:rFonts w:hint="eastAsia" w:ascii="宋体" w:hAnsi="宋体"/>
                <w:bCs/>
                <w:sz w:val="18"/>
                <w:szCs w:val="18"/>
                <w:lang w:val="en-US" w:eastAsia="zh-CN"/>
              </w:rPr>
              <w:t>5</w:t>
            </w:r>
          </w:p>
        </w:tc>
      </w:tr>
      <w:tr w14:paraId="7CA2F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shd w:val="clear"/>
            <w:vAlign w:val="center"/>
          </w:tcPr>
          <w:p w14:paraId="36E63994">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eastAsia="zh-CN"/>
              </w:rPr>
              <w:t>10</w:t>
            </w:r>
            <w:r>
              <w:rPr>
                <w:rFonts w:hint="eastAsia" w:ascii="宋体" w:hAnsi="宋体" w:cs="宋体"/>
                <w:snapToGrid w:val="0"/>
                <w:kern w:val="21"/>
                <w:sz w:val="18"/>
                <w:szCs w:val="18"/>
              </w:rPr>
              <w:t>.2</w:t>
            </w:r>
          </w:p>
        </w:tc>
        <w:tc>
          <w:tcPr>
            <w:tcW w:w="0" w:type="auto"/>
            <w:shd w:val="clear"/>
            <w:vAlign w:val="center"/>
          </w:tcPr>
          <w:p w14:paraId="68EB16A8">
            <w:pPr>
              <w:ind w:right="33" w:rightChars="16"/>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危险作业</w:t>
            </w:r>
          </w:p>
        </w:tc>
        <w:tc>
          <w:tcPr>
            <w:tcW w:w="0" w:type="auto"/>
            <w:shd w:val="clear"/>
            <w:vAlign w:val="center"/>
          </w:tcPr>
          <w:p w14:paraId="34509B8B">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497ABEAE">
            <w:pPr>
              <w:adjustRightInd w:val="0"/>
              <w:snapToGrid w:val="0"/>
              <w:jc w:val="center"/>
              <w:rPr>
                <w:rFonts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25</w:t>
            </w:r>
          </w:p>
        </w:tc>
        <w:tc>
          <w:tcPr>
            <w:tcW w:w="0" w:type="auto"/>
            <w:shd w:val="clear"/>
            <w:vAlign w:val="center"/>
          </w:tcPr>
          <w:p w14:paraId="599889E4">
            <w:pPr>
              <w:adjustRightInd w:val="0"/>
              <w:snapToGrid w:val="0"/>
              <w:jc w:val="center"/>
              <w:rPr>
                <w:rFonts w:hint="eastAsia" w:ascii="宋体" w:hAnsi="宋体" w:eastAsia="宋体" w:cs="宋体"/>
                <w:snapToGrid w:val="0"/>
                <w:kern w:val="21"/>
                <w:sz w:val="18"/>
                <w:szCs w:val="18"/>
                <w:lang w:val="en-US" w:eastAsia="zh-CN" w:bidi="ar-SA"/>
              </w:rPr>
            </w:pPr>
          </w:p>
        </w:tc>
        <w:tc>
          <w:tcPr>
            <w:tcW w:w="0" w:type="auto"/>
            <w:shd w:val="clear"/>
            <w:vAlign w:val="center"/>
          </w:tcPr>
          <w:p w14:paraId="499793EE">
            <w:pPr>
              <w:widowControl/>
              <w:tabs>
                <w:tab w:val="center" w:pos="4201"/>
                <w:tab w:val="right" w:leader="dot" w:pos="9298"/>
              </w:tabs>
              <w:autoSpaceDE w:val="0"/>
              <w:autoSpaceDN w:val="0"/>
              <w:ind w:right="33" w:rightChars="16"/>
              <w:jc w:val="left"/>
              <w:rPr>
                <w:rFonts w:hint="eastAsia" w:ascii="宋体" w:hAnsi="宋体" w:eastAsia="宋体" w:cs="Times New Roman"/>
                <w:kern w:val="0"/>
                <w:sz w:val="18"/>
                <w:szCs w:val="18"/>
                <w:lang w:val="en-US" w:eastAsia="zh-CN" w:bidi="ar-SA"/>
              </w:rPr>
            </w:pPr>
          </w:p>
        </w:tc>
        <w:tc>
          <w:tcPr>
            <w:tcW w:w="0" w:type="auto"/>
            <w:shd w:val="clear"/>
            <w:vAlign w:val="center"/>
          </w:tcPr>
          <w:p w14:paraId="0A9EF020">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562FB70B">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778EAFC3">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eastAsia="zh-CN"/>
              </w:rPr>
              <w:t>4.10</w:t>
            </w:r>
            <w:r>
              <w:rPr>
                <w:rFonts w:hint="eastAsia" w:ascii="宋体" w:hAnsi="宋体" w:cs="宋体"/>
                <w:snapToGrid w:val="0"/>
                <w:kern w:val="21"/>
                <w:sz w:val="18"/>
                <w:szCs w:val="18"/>
              </w:rPr>
              <w:t>.2</w:t>
            </w:r>
          </w:p>
        </w:tc>
      </w:tr>
      <w:tr w14:paraId="2610B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0" w:type="auto"/>
            <w:shd w:val="clear"/>
            <w:vAlign w:val="center"/>
          </w:tcPr>
          <w:p w14:paraId="7811AA6D">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eastAsia="zh-CN"/>
              </w:rPr>
              <w:t>10</w:t>
            </w:r>
            <w:r>
              <w:rPr>
                <w:rFonts w:hint="eastAsia" w:ascii="宋体" w:hAnsi="宋体" w:cs="宋体"/>
                <w:snapToGrid w:val="0"/>
                <w:kern w:val="21"/>
                <w:sz w:val="18"/>
                <w:szCs w:val="18"/>
              </w:rPr>
              <w:t>.2.1</w:t>
            </w:r>
          </w:p>
        </w:tc>
        <w:tc>
          <w:tcPr>
            <w:tcW w:w="0" w:type="auto"/>
            <w:shd w:val="clear"/>
            <w:vAlign w:val="center"/>
          </w:tcPr>
          <w:p w14:paraId="3887810F">
            <w:pPr>
              <w:adjustRightInd w:val="0"/>
              <w:snapToGrid w:val="0"/>
              <w:jc w:val="left"/>
              <w:rPr>
                <w:rFonts w:ascii="宋体" w:hAnsi="宋体"/>
                <w:sz w:val="18"/>
                <w:szCs w:val="18"/>
              </w:rPr>
            </w:pPr>
            <w:r>
              <w:rPr>
                <w:rFonts w:hint="eastAsia" w:ascii="宋体" w:hAnsi="宋体"/>
                <w:sz w:val="18"/>
                <w:szCs w:val="18"/>
              </w:rPr>
              <w:t>危险作业审批应符合下列要求：</w:t>
            </w:r>
          </w:p>
          <w:p w14:paraId="33B8B5E7">
            <w:pPr>
              <w:adjustRightInd w:val="0"/>
              <w:snapToGrid w:val="0"/>
              <w:jc w:val="left"/>
              <w:rPr>
                <w:rFonts w:ascii="宋体" w:hAnsi="宋体"/>
                <w:sz w:val="18"/>
                <w:szCs w:val="18"/>
              </w:rPr>
            </w:pPr>
            <w:r>
              <w:rPr>
                <w:rFonts w:hint="eastAsia" w:ascii="宋体" w:hAnsi="宋体"/>
                <w:sz w:val="18"/>
                <w:szCs w:val="18"/>
              </w:rPr>
              <w:t>a）作业前应进行审批，到现场作业时应携带危险作业审批单；</w:t>
            </w:r>
          </w:p>
          <w:p w14:paraId="47CE7251">
            <w:pPr>
              <w:adjustRightInd w:val="0"/>
              <w:snapToGrid w:val="0"/>
              <w:jc w:val="left"/>
              <w:rPr>
                <w:rFonts w:ascii="宋体" w:hAnsi="宋体"/>
                <w:sz w:val="18"/>
                <w:szCs w:val="18"/>
              </w:rPr>
            </w:pPr>
            <w:r>
              <w:rPr>
                <w:rFonts w:hint="eastAsia" w:ascii="宋体" w:hAnsi="宋体"/>
                <w:sz w:val="18"/>
                <w:szCs w:val="18"/>
              </w:rPr>
              <w:t>b）审批表中应规定作业地点、作业人员、作业时限、安全交底人和监护人等；</w:t>
            </w:r>
          </w:p>
          <w:p w14:paraId="513585B1">
            <w:pPr>
              <w:adjustRightInd w:val="0"/>
              <w:snapToGrid w:val="0"/>
              <w:jc w:val="left"/>
              <w:rPr>
                <w:rFonts w:ascii="宋体" w:hAnsi="宋体"/>
                <w:sz w:val="18"/>
                <w:szCs w:val="18"/>
              </w:rPr>
            </w:pPr>
            <w:r>
              <w:rPr>
                <w:rFonts w:hint="eastAsia" w:ascii="宋体" w:hAnsi="宋体"/>
                <w:sz w:val="18"/>
                <w:szCs w:val="18"/>
              </w:rPr>
              <w:t>c）审批前应对现场作业条件、作业前安全准备事项等进行验证并保存记录；</w:t>
            </w:r>
          </w:p>
          <w:p w14:paraId="56CCB743">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d）人员更换或作业条件变动时，应重新审批。</w:t>
            </w:r>
          </w:p>
        </w:tc>
        <w:tc>
          <w:tcPr>
            <w:tcW w:w="0" w:type="auto"/>
            <w:shd w:val="clear"/>
            <w:vAlign w:val="center"/>
          </w:tcPr>
          <w:p w14:paraId="34AC5B12">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6034DD9F">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7F56CD80">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5</w:t>
            </w:r>
          </w:p>
        </w:tc>
        <w:tc>
          <w:tcPr>
            <w:tcW w:w="0" w:type="auto"/>
            <w:shd w:val="clear"/>
            <w:vAlign w:val="center"/>
          </w:tcPr>
          <w:p w14:paraId="2431B843">
            <w:pPr>
              <w:adjustRightInd w:val="0"/>
              <w:snapToGrid w:val="0"/>
              <w:jc w:val="left"/>
              <w:rPr>
                <w:rFonts w:hint="eastAsia" w:ascii="宋体" w:hAnsi="宋体"/>
                <w:sz w:val="18"/>
                <w:szCs w:val="18"/>
              </w:rPr>
            </w:pPr>
            <w:r>
              <w:rPr>
                <w:rFonts w:hint="eastAsia" w:ascii="宋体" w:hAnsi="宋体"/>
                <w:sz w:val="18"/>
                <w:szCs w:val="18"/>
              </w:rPr>
              <w:t>1）作业前未审批的，</w:t>
            </w:r>
            <w:r>
              <w:rPr>
                <w:rFonts w:hint="eastAsia" w:ascii="宋体" w:hAnsi="宋体"/>
                <w:sz w:val="18"/>
                <w:szCs w:val="18"/>
                <w:lang w:val="en-US" w:eastAsia="zh-CN"/>
              </w:rPr>
              <w:t>不得分</w:t>
            </w:r>
            <w:r>
              <w:rPr>
                <w:rFonts w:hint="eastAsia" w:ascii="宋体" w:hAnsi="宋体"/>
                <w:sz w:val="18"/>
                <w:szCs w:val="18"/>
              </w:rPr>
              <w:t>；</w:t>
            </w:r>
          </w:p>
          <w:p w14:paraId="0192923D">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rPr>
              <w:t>2）其他一处不符合扣</w:t>
            </w:r>
            <w:r>
              <w:rPr>
                <w:rFonts w:hint="eastAsia" w:ascii="宋体" w:hAnsi="宋体"/>
                <w:sz w:val="18"/>
                <w:szCs w:val="18"/>
                <w:lang w:val="en-US" w:eastAsia="zh-CN"/>
              </w:rPr>
              <w:t>2</w:t>
            </w:r>
            <w:r>
              <w:rPr>
                <w:rFonts w:hint="eastAsia" w:ascii="宋体" w:hAnsi="宋体"/>
                <w:sz w:val="18"/>
                <w:szCs w:val="18"/>
              </w:rPr>
              <w:t>分。</w:t>
            </w:r>
          </w:p>
        </w:tc>
        <w:tc>
          <w:tcPr>
            <w:tcW w:w="0" w:type="auto"/>
            <w:shd w:val="clear"/>
            <w:vAlign w:val="center"/>
          </w:tcPr>
          <w:p w14:paraId="195A9878">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2115812D">
            <w:pPr>
              <w:adjustRightInd w:val="0"/>
              <w:snapToGrid w:val="0"/>
              <w:jc w:val="center"/>
              <w:rPr>
                <w:rFonts w:ascii="宋体" w:hAnsi="宋体" w:eastAsia="宋体" w:cs="宋体"/>
                <w:snapToGrid w:val="0"/>
                <w:kern w:val="21"/>
                <w:sz w:val="18"/>
                <w:szCs w:val="18"/>
                <w:lang w:val="en-US" w:eastAsia="zh-CN" w:bidi="ar-SA"/>
              </w:rPr>
            </w:pPr>
          </w:p>
        </w:tc>
        <w:tc>
          <w:tcPr>
            <w:tcW w:w="0" w:type="auto"/>
            <w:shd w:val="clear"/>
            <w:vAlign w:val="center"/>
          </w:tcPr>
          <w:p w14:paraId="28D4284F">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lang w:eastAsia="zh-CN"/>
              </w:rPr>
              <w:t>4.10</w:t>
            </w:r>
            <w:r>
              <w:rPr>
                <w:rFonts w:hint="eastAsia" w:ascii="宋体" w:hAnsi="宋体" w:cs="宋体"/>
                <w:snapToGrid w:val="0"/>
                <w:kern w:val="21"/>
                <w:sz w:val="18"/>
                <w:szCs w:val="18"/>
              </w:rPr>
              <w:t>.2.</w:t>
            </w:r>
            <w:r>
              <w:rPr>
                <w:rFonts w:hint="eastAsia" w:ascii="宋体" w:hAnsi="宋体" w:cs="宋体"/>
                <w:snapToGrid w:val="0"/>
                <w:kern w:val="21"/>
                <w:sz w:val="18"/>
                <w:szCs w:val="18"/>
                <w:lang w:val="en-US" w:eastAsia="zh-CN"/>
              </w:rPr>
              <w:t>1</w:t>
            </w:r>
          </w:p>
        </w:tc>
      </w:tr>
    </w:tbl>
    <w:p w14:paraId="145B9F44">
      <w:pPr>
        <w:pStyle w:val="168"/>
        <w:numPr>
          <w:ilvl w:val="0"/>
          <w:numId w:val="0"/>
        </w:numPr>
        <w:spacing w:before="156" w:after="156"/>
        <w:ind w:left="567" w:hanging="567"/>
      </w:pPr>
      <w:r>
        <w:br w:type="page"/>
      </w:r>
      <w:r>
        <w:rPr>
          <w:rFonts w:hint="eastAsia"/>
        </w:rPr>
        <w:t>表</w:t>
      </w:r>
      <w:r>
        <w:rPr>
          <w:rFonts w:hint="eastAsia"/>
          <w:lang w:val="en-US" w:eastAsia="zh-CN"/>
        </w:rPr>
        <w:t>K</w:t>
      </w:r>
      <w:r>
        <w:rPr>
          <w:rFonts w:hint="eastAsia"/>
        </w:rPr>
        <w:t>.1 操作人员行为规范要素的安全生产等级评定细则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483"/>
        <w:gridCol w:w="602"/>
        <w:gridCol w:w="602"/>
        <w:gridCol w:w="651"/>
        <w:gridCol w:w="3034"/>
        <w:gridCol w:w="602"/>
        <w:gridCol w:w="1274"/>
        <w:gridCol w:w="1284"/>
      </w:tblGrid>
      <w:tr w14:paraId="0BF46C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78486396">
            <w:pPr>
              <w:adjustRightInd w:val="0"/>
              <w:snapToGrid w:val="0"/>
              <w:jc w:val="center"/>
              <w:rPr>
                <w:rFonts w:ascii="宋体" w:hAnsi="宋体"/>
                <w:sz w:val="18"/>
                <w:szCs w:val="18"/>
              </w:rPr>
            </w:pPr>
            <w:r>
              <w:rPr>
                <w:rFonts w:ascii="宋体" w:hAnsi="宋体"/>
                <w:bCs/>
                <w:sz w:val="18"/>
                <w:szCs w:val="18"/>
              </w:rPr>
              <w:t>序号</w:t>
            </w:r>
          </w:p>
        </w:tc>
        <w:tc>
          <w:tcPr>
            <w:tcW w:w="6483" w:type="dxa"/>
            <w:tcBorders>
              <w:top w:val="single" w:color="auto" w:sz="8" w:space="0"/>
              <w:bottom w:val="single" w:color="auto" w:sz="8" w:space="0"/>
            </w:tcBorders>
            <w:noWrap w:val="0"/>
            <w:vAlign w:val="center"/>
          </w:tcPr>
          <w:p w14:paraId="215A774C">
            <w:pPr>
              <w:adjustRightInd w:val="0"/>
              <w:snapToGrid w:val="0"/>
              <w:jc w:val="center"/>
              <w:rPr>
                <w:rFonts w:ascii="宋体" w:hAnsi="宋体"/>
                <w:sz w:val="18"/>
                <w:szCs w:val="18"/>
              </w:rPr>
            </w:pPr>
            <w:r>
              <w:rPr>
                <w:rFonts w:ascii="宋体" w:hAnsi="宋体"/>
                <w:bCs/>
                <w:sz w:val="18"/>
                <w:szCs w:val="18"/>
              </w:rPr>
              <w:t>评定内容</w:t>
            </w:r>
          </w:p>
        </w:tc>
        <w:tc>
          <w:tcPr>
            <w:tcW w:w="602" w:type="dxa"/>
            <w:tcBorders>
              <w:top w:val="single" w:color="auto" w:sz="8" w:space="0"/>
              <w:bottom w:val="single" w:color="auto" w:sz="8" w:space="0"/>
            </w:tcBorders>
            <w:noWrap w:val="0"/>
            <w:vAlign w:val="center"/>
          </w:tcPr>
          <w:p w14:paraId="7B8FA4DA">
            <w:pPr>
              <w:adjustRightInd w:val="0"/>
              <w:snapToGrid w:val="0"/>
              <w:jc w:val="center"/>
              <w:rPr>
                <w:rFonts w:ascii="宋体" w:hAnsi="宋体"/>
                <w:sz w:val="18"/>
                <w:szCs w:val="18"/>
              </w:rPr>
            </w:pPr>
            <w:r>
              <w:rPr>
                <w:rFonts w:ascii="宋体" w:hAnsi="宋体"/>
                <w:bCs/>
                <w:sz w:val="18"/>
                <w:szCs w:val="18"/>
              </w:rPr>
              <w:t>评定要素分值</w:t>
            </w:r>
          </w:p>
        </w:tc>
        <w:tc>
          <w:tcPr>
            <w:tcW w:w="602" w:type="dxa"/>
            <w:tcBorders>
              <w:top w:val="single" w:color="auto" w:sz="8" w:space="0"/>
              <w:bottom w:val="single" w:color="auto" w:sz="8" w:space="0"/>
            </w:tcBorders>
            <w:noWrap w:val="0"/>
            <w:vAlign w:val="center"/>
          </w:tcPr>
          <w:p w14:paraId="5AD4D527">
            <w:pPr>
              <w:adjustRightInd w:val="0"/>
              <w:snapToGrid w:val="0"/>
              <w:jc w:val="center"/>
              <w:rPr>
                <w:rFonts w:ascii="宋体" w:hAnsi="宋体"/>
                <w:sz w:val="18"/>
                <w:szCs w:val="18"/>
              </w:rPr>
            </w:pPr>
            <w:r>
              <w:rPr>
                <w:rFonts w:ascii="宋体" w:hAnsi="宋体"/>
                <w:bCs/>
                <w:sz w:val="18"/>
                <w:szCs w:val="18"/>
              </w:rPr>
              <w:t>评定细项分值</w:t>
            </w:r>
          </w:p>
        </w:tc>
        <w:tc>
          <w:tcPr>
            <w:tcW w:w="651" w:type="dxa"/>
            <w:tcBorders>
              <w:top w:val="single" w:color="auto" w:sz="8" w:space="0"/>
              <w:bottom w:val="single" w:color="auto" w:sz="8" w:space="0"/>
            </w:tcBorders>
            <w:noWrap w:val="0"/>
            <w:vAlign w:val="center"/>
          </w:tcPr>
          <w:p w14:paraId="6E3784EE">
            <w:pPr>
              <w:adjustRightInd w:val="0"/>
              <w:snapToGrid w:val="0"/>
              <w:jc w:val="center"/>
              <w:rPr>
                <w:rFonts w:ascii="宋体" w:hAnsi="宋体"/>
                <w:sz w:val="18"/>
                <w:szCs w:val="18"/>
              </w:rPr>
            </w:pPr>
            <w:r>
              <w:rPr>
                <w:rFonts w:ascii="宋体" w:hAnsi="宋体"/>
                <w:bCs/>
                <w:sz w:val="18"/>
                <w:szCs w:val="18"/>
              </w:rPr>
              <w:t>评定条款分值</w:t>
            </w:r>
          </w:p>
        </w:tc>
        <w:tc>
          <w:tcPr>
            <w:tcW w:w="3034" w:type="dxa"/>
            <w:tcBorders>
              <w:top w:val="single" w:color="auto" w:sz="8" w:space="0"/>
              <w:bottom w:val="single" w:color="auto" w:sz="8" w:space="0"/>
            </w:tcBorders>
            <w:noWrap w:val="0"/>
            <w:vAlign w:val="center"/>
          </w:tcPr>
          <w:p w14:paraId="3B943343">
            <w:pPr>
              <w:adjustRightInd w:val="0"/>
              <w:snapToGrid w:val="0"/>
              <w:jc w:val="center"/>
              <w:rPr>
                <w:rFonts w:ascii="宋体" w:hAnsi="宋体"/>
                <w:sz w:val="18"/>
                <w:szCs w:val="18"/>
              </w:rPr>
            </w:pPr>
            <w:r>
              <w:rPr>
                <w:rFonts w:ascii="宋体" w:hAnsi="宋体"/>
                <w:bCs/>
                <w:sz w:val="18"/>
                <w:szCs w:val="18"/>
              </w:rPr>
              <w:t>评分标准</w:t>
            </w:r>
          </w:p>
        </w:tc>
        <w:tc>
          <w:tcPr>
            <w:tcW w:w="602" w:type="dxa"/>
            <w:tcBorders>
              <w:top w:val="single" w:color="auto" w:sz="8" w:space="0"/>
              <w:bottom w:val="single" w:color="auto" w:sz="8" w:space="0"/>
            </w:tcBorders>
            <w:noWrap w:val="0"/>
            <w:vAlign w:val="center"/>
          </w:tcPr>
          <w:p w14:paraId="59CFEFCF">
            <w:pPr>
              <w:adjustRightInd w:val="0"/>
              <w:snapToGrid w:val="0"/>
              <w:jc w:val="center"/>
              <w:rPr>
                <w:rFonts w:ascii="宋体" w:hAnsi="宋体"/>
                <w:sz w:val="18"/>
                <w:szCs w:val="18"/>
              </w:rPr>
            </w:pPr>
            <w:r>
              <w:rPr>
                <w:rFonts w:ascii="宋体" w:hAnsi="宋体"/>
                <w:bCs/>
                <w:sz w:val="18"/>
                <w:szCs w:val="18"/>
              </w:rPr>
              <w:t>评定得分</w:t>
            </w:r>
          </w:p>
        </w:tc>
        <w:tc>
          <w:tcPr>
            <w:tcW w:w="1274" w:type="dxa"/>
            <w:tcBorders>
              <w:top w:val="single" w:color="auto" w:sz="8" w:space="0"/>
              <w:bottom w:val="single" w:color="auto" w:sz="8" w:space="0"/>
            </w:tcBorders>
            <w:noWrap w:val="0"/>
            <w:vAlign w:val="center"/>
          </w:tcPr>
          <w:p w14:paraId="322BFB94">
            <w:pPr>
              <w:adjustRightInd w:val="0"/>
              <w:snapToGrid w:val="0"/>
              <w:jc w:val="center"/>
              <w:rPr>
                <w:rFonts w:ascii="宋体" w:hAnsi="宋体"/>
                <w:sz w:val="18"/>
                <w:szCs w:val="18"/>
              </w:rPr>
            </w:pPr>
            <w:r>
              <w:rPr>
                <w:rFonts w:ascii="宋体" w:hAnsi="宋体"/>
                <w:bCs/>
                <w:sz w:val="18"/>
                <w:szCs w:val="18"/>
              </w:rPr>
              <w:t>扣分说明</w:t>
            </w:r>
          </w:p>
        </w:tc>
        <w:tc>
          <w:tcPr>
            <w:tcW w:w="1284" w:type="dxa"/>
            <w:tcBorders>
              <w:top w:val="single" w:color="auto" w:sz="8" w:space="0"/>
              <w:bottom w:val="single" w:color="auto" w:sz="8" w:space="0"/>
            </w:tcBorders>
            <w:noWrap w:val="0"/>
            <w:vAlign w:val="center"/>
          </w:tcPr>
          <w:p w14:paraId="15D931C8">
            <w:pPr>
              <w:adjustRightInd w:val="0"/>
              <w:snapToGrid w:val="0"/>
              <w:jc w:val="center"/>
              <w:rPr>
                <w:rFonts w:ascii="宋体" w:hAnsi="宋体"/>
                <w:sz w:val="18"/>
                <w:szCs w:val="18"/>
              </w:rPr>
            </w:pPr>
            <w:r>
              <w:rPr>
                <w:rFonts w:ascii="宋体" w:hAnsi="宋体"/>
                <w:bCs/>
                <w:sz w:val="18"/>
                <w:szCs w:val="18"/>
              </w:rPr>
              <w:t>对应条款编号</w:t>
            </w:r>
          </w:p>
        </w:tc>
      </w:tr>
      <w:tr w14:paraId="68213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652336C7">
            <w:pPr>
              <w:adjustRightInd w:val="0"/>
              <w:snapToGrid w:val="0"/>
              <w:jc w:val="center"/>
              <w:rPr>
                <w:rFonts w:ascii="宋体" w:hAnsi="宋体" w:cs="宋体"/>
                <w:snapToGrid w:val="0"/>
                <w:kern w:val="21"/>
                <w:sz w:val="18"/>
                <w:szCs w:val="18"/>
              </w:rPr>
            </w:pPr>
            <w:r>
              <w:rPr>
                <w:rFonts w:hint="eastAsia" w:ascii="宋体" w:hAnsi="宋体"/>
                <w:sz w:val="18"/>
                <w:szCs w:val="18"/>
                <w:lang w:eastAsia="zh-CN"/>
              </w:rPr>
              <w:t>10</w:t>
            </w:r>
            <w:r>
              <w:rPr>
                <w:rFonts w:hint="eastAsia" w:ascii="宋体" w:hAnsi="宋体"/>
                <w:sz w:val="18"/>
                <w:szCs w:val="18"/>
              </w:rPr>
              <w:t>.2.2</w:t>
            </w:r>
          </w:p>
        </w:tc>
        <w:tc>
          <w:tcPr>
            <w:tcW w:w="6483" w:type="dxa"/>
            <w:tcBorders>
              <w:top w:val="single" w:color="auto" w:sz="8" w:space="0"/>
              <w:bottom w:val="single" w:color="auto" w:sz="8" w:space="0"/>
            </w:tcBorders>
            <w:noWrap w:val="0"/>
            <w:vAlign w:val="center"/>
          </w:tcPr>
          <w:p w14:paraId="29304E1C">
            <w:pPr>
              <w:adjustRightInd w:val="0"/>
              <w:snapToGrid w:val="0"/>
              <w:jc w:val="left"/>
              <w:rPr>
                <w:rFonts w:ascii="宋体" w:hAnsi="宋体"/>
                <w:sz w:val="18"/>
                <w:szCs w:val="18"/>
              </w:rPr>
            </w:pPr>
            <w:r>
              <w:rPr>
                <w:rFonts w:hint="eastAsia" w:ascii="宋体" w:hAnsi="宋体"/>
                <w:sz w:val="18"/>
                <w:szCs w:val="18"/>
              </w:rPr>
              <w:t>危险作业交底与监护应符合下列要求：</w:t>
            </w:r>
          </w:p>
          <w:p w14:paraId="4275E2D7">
            <w:pPr>
              <w:adjustRightInd w:val="0"/>
              <w:snapToGrid w:val="0"/>
              <w:jc w:val="left"/>
              <w:rPr>
                <w:rFonts w:ascii="宋体" w:hAnsi="宋体"/>
                <w:sz w:val="18"/>
                <w:szCs w:val="18"/>
              </w:rPr>
            </w:pPr>
            <w:r>
              <w:rPr>
                <w:rFonts w:hint="eastAsia" w:ascii="宋体" w:hAnsi="宋体"/>
                <w:sz w:val="18"/>
                <w:szCs w:val="18"/>
              </w:rPr>
              <w:t>a）作业前，应由安全交底人对作业人员进行现场安全告知交底，内容应包括作业存在的危险因素、作业前、作业中和作业后的安全措施、发生紧急情况时的应急措施等，并保存记录；</w:t>
            </w:r>
          </w:p>
          <w:p w14:paraId="5CFCA1FF">
            <w:pPr>
              <w:adjustRightInd w:val="0"/>
              <w:snapToGrid w:val="0"/>
              <w:jc w:val="left"/>
              <w:rPr>
                <w:rFonts w:ascii="宋体" w:hAnsi="宋体"/>
                <w:sz w:val="18"/>
                <w:szCs w:val="18"/>
              </w:rPr>
            </w:pPr>
            <w:r>
              <w:rPr>
                <w:rFonts w:hint="eastAsia" w:ascii="宋体" w:hAnsi="宋体"/>
                <w:sz w:val="18"/>
                <w:szCs w:val="18"/>
              </w:rPr>
              <w:t>b）监护人应在作业前、作业中、作业后对危险作业全过程进行监护。</w:t>
            </w:r>
          </w:p>
        </w:tc>
        <w:tc>
          <w:tcPr>
            <w:tcW w:w="602" w:type="dxa"/>
            <w:tcBorders>
              <w:top w:val="single" w:color="auto" w:sz="8" w:space="0"/>
              <w:bottom w:val="single" w:color="auto" w:sz="8" w:space="0"/>
            </w:tcBorders>
            <w:noWrap w:val="0"/>
            <w:vAlign w:val="center"/>
          </w:tcPr>
          <w:p w14:paraId="15076822">
            <w:pPr>
              <w:adjustRightInd w:val="0"/>
              <w:snapToGrid w:val="0"/>
              <w:jc w:val="center"/>
              <w:rPr>
                <w:rFonts w:ascii="宋体" w:hAnsi="宋体" w:cs="宋体"/>
                <w:snapToGrid w:val="0"/>
                <w:kern w:val="21"/>
                <w:sz w:val="18"/>
                <w:szCs w:val="18"/>
              </w:rPr>
            </w:pPr>
          </w:p>
        </w:tc>
        <w:tc>
          <w:tcPr>
            <w:tcW w:w="602" w:type="dxa"/>
            <w:tcBorders>
              <w:top w:val="single" w:color="auto" w:sz="8" w:space="0"/>
              <w:bottom w:val="single" w:color="auto" w:sz="8" w:space="0"/>
            </w:tcBorders>
            <w:noWrap w:val="0"/>
            <w:vAlign w:val="center"/>
          </w:tcPr>
          <w:p w14:paraId="0AF00C03">
            <w:pPr>
              <w:adjustRightInd w:val="0"/>
              <w:snapToGrid w:val="0"/>
              <w:jc w:val="center"/>
              <w:rPr>
                <w:rFonts w:ascii="宋体" w:hAnsi="宋体" w:cs="宋体"/>
                <w:snapToGrid w:val="0"/>
                <w:kern w:val="21"/>
                <w:sz w:val="18"/>
                <w:szCs w:val="18"/>
              </w:rPr>
            </w:pPr>
          </w:p>
        </w:tc>
        <w:tc>
          <w:tcPr>
            <w:tcW w:w="651" w:type="dxa"/>
            <w:tcBorders>
              <w:top w:val="single" w:color="auto" w:sz="8" w:space="0"/>
              <w:bottom w:val="single" w:color="auto" w:sz="8" w:space="0"/>
            </w:tcBorders>
            <w:noWrap w:val="0"/>
            <w:vAlign w:val="center"/>
          </w:tcPr>
          <w:p w14:paraId="16C80B51">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5</w:t>
            </w:r>
          </w:p>
        </w:tc>
        <w:tc>
          <w:tcPr>
            <w:tcW w:w="3034" w:type="dxa"/>
            <w:tcBorders>
              <w:top w:val="single" w:color="auto" w:sz="8" w:space="0"/>
              <w:bottom w:val="single" w:color="auto" w:sz="8" w:space="0"/>
            </w:tcBorders>
            <w:noWrap w:val="0"/>
            <w:vAlign w:val="center"/>
          </w:tcPr>
          <w:p w14:paraId="4249CB3F">
            <w:pPr>
              <w:adjustRightInd w:val="0"/>
              <w:snapToGrid w:val="0"/>
              <w:jc w:val="left"/>
              <w:rPr>
                <w:rFonts w:hint="eastAsia" w:ascii="宋体" w:hAnsi="宋体"/>
                <w:sz w:val="18"/>
                <w:szCs w:val="18"/>
              </w:rPr>
            </w:pPr>
            <w:r>
              <w:rPr>
                <w:rFonts w:hint="eastAsia" w:ascii="宋体" w:hAnsi="宋体"/>
                <w:sz w:val="18"/>
                <w:szCs w:val="18"/>
              </w:rPr>
              <w:t>1）作业前未进行现场安全告知交底，</w:t>
            </w:r>
            <w:r>
              <w:rPr>
                <w:rFonts w:hint="eastAsia" w:ascii="宋体" w:hAnsi="宋体"/>
                <w:sz w:val="18"/>
                <w:szCs w:val="18"/>
                <w:lang w:val="en-US" w:eastAsia="zh-CN"/>
              </w:rPr>
              <w:t>不得分</w:t>
            </w:r>
            <w:r>
              <w:rPr>
                <w:rFonts w:hint="eastAsia" w:ascii="宋体" w:hAnsi="宋体"/>
                <w:sz w:val="18"/>
                <w:szCs w:val="18"/>
              </w:rPr>
              <w:t>；</w:t>
            </w:r>
          </w:p>
          <w:p w14:paraId="7CB2D378">
            <w:pPr>
              <w:adjustRightInd w:val="0"/>
              <w:snapToGrid w:val="0"/>
              <w:jc w:val="left"/>
              <w:rPr>
                <w:rFonts w:hint="eastAsia" w:ascii="宋体" w:hAnsi="宋体"/>
                <w:sz w:val="18"/>
                <w:szCs w:val="18"/>
              </w:rPr>
            </w:pPr>
            <w:r>
              <w:rPr>
                <w:rFonts w:hint="eastAsia" w:ascii="宋体" w:hAnsi="宋体"/>
                <w:sz w:val="18"/>
                <w:szCs w:val="18"/>
              </w:rPr>
              <w:t>2）交底内容不符合要求的扣</w:t>
            </w:r>
            <w:r>
              <w:rPr>
                <w:rFonts w:hint="eastAsia" w:ascii="宋体" w:hAnsi="宋体"/>
                <w:sz w:val="18"/>
                <w:szCs w:val="18"/>
                <w:lang w:val="en-US" w:eastAsia="zh-CN"/>
              </w:rPr>
              <w:t>3</w:t>
            </w:r>
            <w:r>
              <w:rPr>
                <w:rFonts w:hint="eastAsia" w:ascii="宋体" w:hAnsi="宋体"/>
                <w:sz w:val="18"/>
                <w:szCs w:val="18"/>
              </w:rPr>
              <w:t>分；</w:t>
            </w:r>
          </w:p>
          <w:p w14:paraId="03647D8F">
            <w:pPr>
              <w:adjustRightInd w:val="0"/>
              <w:snapToGrid w:val="0"/>
              <w:jc w:val="left"/>
              <w:rPr>
                <w:rFonts w:hint="eastAsia" w:ascii="宋体" w:hAnsi="宋体"/>
                <w:sz w:val="18"/>
                <w:szCs w:val="18"/>
              </w:rPr>
            </w:pPr>
            <w:r>
              <w:rPr>
                <w:rFonts w:hint="eastAsia" w:ascii="宋体" w:hAnsi="宋体"/>
                <w:sz w:val="18"/>
                <w:szCs w:val="18"/>
              </w:rPr>
              <w:t>3）监护人未</w:t>
            </w:r>
            <w:r>
              <w:rPr>
                <w:rFonts w:hint="eastAsia" w:ascii="宋体" w:hAnsi="宋体"/>
                <w:sz w:val="18"/>
                <w:szCs w:val="18"/>
                <w:lang w:val="en-US" w:eastAsia="zh-CN"/>
              </w:rPr>
              <w:t>全程</w:t>
            </w:r>
            <w:r>
              <w:rPr>
                <w:rFonts w:hint="eastAsia" w:ascii="宋体" w:hAnsi="宋体"/>
                <w:sz w:val="18"/>
                <w:szCs w:val="18"/>
              </w:rPr>
              <w:t>监护的扣</w:t>
            </w:r>
            <w:r>
              <w:rPr>
                <w:rFonts w:hint="eastAsia" w:ascii="宋体" w:hAnsi="宋体"/>
                <w:sz w:val="18"/>
                <w:szCs w:val="18"/>
                <w:lang w:val="en-US" w:eastAsia="zh-CN"/>
              </w:rPr>
              <w:t>3</w:t>
            </w:r>
            <w:r>
              <w:rPr>
                <w:rFonts w:hint="eastAsia" w:ascii="宋体" w:hAnsi="宋体"/>
                <w:sz w:val="18"/>
                <w:szCs w:val="18"/>
              </w:rPr>
              <w:t>分；</w:t>
            </w:r>
          </w:p>
          <w:p w14:paraId="147064A9">
            <w:pPr>
              <w:adjustRightInd w:val="0"/>
              <w:snapToGrid w:val="0"/>
              <w:jc w:val="left"/>
              <w:rPr>
                <w:rFonts w:ascii="宋体" w:hAnsi="宋体"/>
                <w:sz w:val="18"/>
                <w:szCs w:val="18"/>
              </w:rPr>
            </w:pPr>
            <w:r>
              <w:rPr>
                <w:rFonts w:hint="eastAsia" w:ascii="宋体" w:hAnsi="宋体"/>
                <w:sz w:val="18"/>
                <w:szCs w:val="18"/>
              </w:rPr>
              <w:t>4）其他一处不符合扣2分。</w:t>
            </w:r>
          </w:p>
        </w:tc>
        <w:tc>
          <w:tcPr>
            <w:tcW w:w="602" w:type="dxa"/>
            <w:tcBorders>
              <w:top w:val="single" w:color="auto" w:sz="8" w:space="0"/>
              <w:bottom w:val="single" w:color="auto" w:sz="8" w:space="0"/>
            </w:tcBorders>
            <w:noWrap w:val="0"/>
            <w:vAlign w:val="center"/>
          </w:tcPr>
          <w:p w14:paraId="75B8F306">
            <w:pPr>
              <w:adjustRightInd w:val="0"/>
              <w:snapToGrid w:val="0"/>
              <w:jc w:val="center"/>
              <w:rPr>
                <w:rFonts w:ascii="宋体" w:hAnsi="宋体" w:cs="宋体"/>
                <w:snapToGrid w:val="0"/>
                <w:kern w:val="21"/>
                <w:sz w:val="18"/>
                <w:szCs w:val="18"/>
              </w:rPr>
            </w:pPr>
          </w:p>
        </w:tc>
        <w:tc>
          <w:tcPr>
            <w:tcW w:w="1274" w:type="dxa"/>
            <w:tcBorders>
              <w:top w:val="single" w:color="auto" w:sz="8" w:space="0"/>
              <w:bottom w:val="single" w:color="auto" w:sz="8" w:space="0"/>
            </w:tcBorders>
            <w:noWrap w:val="0"/>
            <w:vAlign w:val="center"/>
          </w:tcPr>
          <w:p w14:paraId="5B29E71E">
            <w:pPr>
              <w:adjustRightInd w:val="0"/>
              <w:snapToGrid w:val="0"/>
              <w:jc w:val="center"/>
              <w:rPr>
                <w:rFonts w:ascii="宋体" w:hAnsi="宋体" w:cs="宋体"/>
                <w:snapToGrid w:val="0"/>
                <w:kern w:val="21"/>
                <w:sz w:val="18"/>
                <w:szCs w:val="18"/>
              </w:rPr>
            </w:pPr>
          </w:p>
        </w:tc>
        <w:tc>
          <w:tcPr>
            <w:tcW w:w="1284" w:type="dxa"/>
            <w:tcBorders>
              <w:top w:val="single" w:color="auto" w:sz="8" w:space="0"/>
              <w:bottom w:val="single" w:color="auto" w:sz="8" w:space="0"/>
            </w:tcBorders>
            <w:noWrap w:val="0"/>
            <w:vAlign w:val="center"/>
          </w:tcPr>
          <w:p w14:paraId="735B87DD">
            <w:pPr>
              <w:adjustRightInd w:val="0"/>
              <w:snapToGrid w:val="0"/>
              <w:jc w:val="center"/>
              <w:rPr>
                <w:rFonts w:ascii="宋体" w:hAnsi="宋体" w:cs="宋体"/>
                <w:snapToGrid w:val="0"/>
                <w:kern w:val="21"/>
                <w:sz w:val="18"/>
                <w:szCs w:val="18"/>
              </w:rPr>
            </w:pPr>
            <w:r>
              <w:rPr>
                <w:rFonts w:hint="eastAsia" w:ascii="宋体" w:hAnsi="宋体"/>
                <w:sz w:val="18"/>
                <w:szCs w:val="18"/>
                <w:lang w:eastAsia="zh-CN"/>
              </w:rPr>
              <w:t>4.10</w:t>
            </w:r>
            <w:r>
              <w:rPr>
                <w:rFonts w:hint="eastAsia" w:ascii="宋体" w:hAnsi="宋体"/>
                <w:sz w:val="18"/>
                <w:szCs w:val="18"/>
              </w:rPr>
              <w:t>.2.</w:t>
            </w:r>
            <w:r>
              <w:rPr>
                <w:rFonts w:hint="eastAsia" w:ascii="宋体" w:hAnsi="宋体"/>
                <w:sz w:val="18"/>
                <w:szCs w:val="18"/>
                <w:lang w:val="en-US" w:eastAsia="zh-CN"/>
              </w:rPr>
              <w:t>2</w:t>
            </w:r>
          </w:p>
        </w:tc>
      </w:tr>
      <w:tr w14:paraId="016B26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6FA7229E">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10</w:t>
            </w:r>
            <w:r>
              <w:rPr>
                <w:rFonts w:hint="eastAsia" w:ascii="宋体" w:hAnsi="宋体" w:cs="宋体"/>
                <w:snapToGrid w:val="0"/>
                <w:kern w:val="21"/>
                <w:sz w:val="18"/>
                <w:szCs w:val="18"/>
              </w:rPr>
              <w:t>.2.3</w:t>
            </w:r>
          </w:p>
        </w:tc>
        <w:tc>
          <w:tcPr>
            <w:tcW w:w="6483" w:type="dxa"/>
            <w:tcBorders>
              <w:top w:val="single" w:color="auto" w:sz="8" w:space="0"/>
              <w:bottom w:val="single" w:color="auto" w:sz="8" w:space="0"/>
            </w:tcBorders>
            <w:noWrap w:val="0"/>
            <w:vAlign w:val="center"/>
          </w:tcPr>
          <w:p w14:paraId="5C14482A">
            <w:pPr>
              <w:adjustRightInd w:val="0"/>
              <w:snapToGrid w:val="0"/>
              <w:jc w:val="left"/>
              <w:rPr>
                <w:rFonts w:ascii="宋体" w:hAnsi="宋体"/>
                <w:sz w:val="18"/>
                <w:szCs w:val="18"/>
              </w:rPr>
            </w:pPr>
            <w:r>
              <w:rPr>
                <w:rFonts w:hint="eastAsia" w:ascii="宋体" w:hAnsi="宋体"/>
                <w:sz w:val="18"/>
                <w:szCs w:val="18"/>
              </w:rPr>
              <w:t>动火作业应符合下列要求：</w:t>
            </w:r>
          </w:p>
          <w:p w14:paraId="425DD2DB">
            <w:pPr>
              <w:numPr>
                <w:ilvl w:val="0"/>
                <w:numId w:val="76"/>
              </w:numPr>
              <w:adjustRightInd w:val="0"/>
              <w:snapToGrid w:val="0"/>
              <w:jc w:val="left"/>
              <w:rPr>
                <w:rFonts w:hint="eastAsia" w:ascii="宋体" w:hAnsi="宋体"/>
                <w:sz w:val="18"/>
                <w:szCs w:val="18"/>
              </w:rPr>
            </w:pPr>
            <w:r>
              <w:rPr>
                <w:rFonts w:hint="eastAsia" w:ascii="宋体" w:hAnsi="宋体"/>
                <w:sz w:val="18"/>
                <w:szCs w:val="18"/>
              </w:rPr>
              <w:t>营业期间不应进行动火施工；</w:t>
            </w:r>
          </w:p>
          <w:p w14:paraId="2D061617">
            <w:pPr>
              <w:numPr>
                <w:ilvl w:val="0"/>
                <w:numId w:val="76"/>
              </w:numPr>
              <w:adjustRightInd w:val="0"/>
              <w:snapToGrid w:val="0"/>
              <w:jc w:val="left"/>
              <w:rPr>
                <w:rFonts w:hint="eastAsia" w:ascii="宋体" w:hAnsi="宋体"/>
                <w:sz w:val="18"/>
                <w:szCs w:val="18"/>
              </w:rPr>
            </w:pPr>
            <w:r>
              <w:rPr>
                <w:rFonts w:hint="eastAsia" w:ascii="宋体" w:hAnsi="宋体"/>
                <w:sz w:val="18"/>
                <w:szCs w:val="18"/>
              </w:rPr>
              <w:t>动火现场周边应配备灭火器材；</w:t>
            </w:r>
          </w:p>
          <w:p w14:paraId="7B0368B1">
            <w:pPr>
              <w:numPr>
                <w:ilvl w:val="0"/>
                <w:numId w:val="76"/>
              </w:numPr>
              <w:adjustRightInd w:val="0"/>
              <w:snapToGrid w:val="0"/>
              <w:jc w:val="left"/>
              <w:rPr>
                <w:rFonts w:hint="eastAsia" w:ascii="宋体" w:hAnsi="宋体"/>
                <w:sz w:val="18"/>
                <w:szCs w:val="18"/>
              </w:rPr>
            </w:pPr>
            <w:r>
              <w:rPr>
                <w:rFonts w:hint="eastAsia" w:ascii="宋体" w:hAnsi="宋体"/>
                <w:sz w:val="18"/>
                <w:szCs w:val="18"/>
              </w:rPr>
              <w:t>作业前应清理现场可燃物、易燃物，动火点周围或其下方如有可燃物、电缆桥架、空洞、窨井、地沟、水封设施等，应检查分析并采取清理或封盖等措施；</w:t>
            </w:r>
          </w:p>
          <w:p w14:paraId="0F67BD9A">
            <w:pPr>
              <w:numPr>
                <w:ilvl w:val="0"/>
                <w:numId w:val="76"/>
              </w:numPr>
              <w:adjustRightInd w:val="0"/>
              <w:snapToGrid w:val="0"/>
              <w:jc w:val="left"/>
              <w:rPr>
                <w:rFonts w:hint="eastAsia" w:ascii="宋体" w:hAnsi="宋体"/>
                <w:sz w:val="18"/>
                <w:szCs w:val="18"/>
              </w:rPr>
            </w:pPr>
            <w:r>
              <w:rPr>
                <w:rFonts w:hint="eastAsia" w:ascii="宋体" w:hAnsi="宋体"/>
                <w:sz w:val="18"/>
                <w:szCs w:val="18"/>
              </w:rPr>
              <w:t>需要动火作业的区域，应与营业区域进行防火分隔；</w:t>
            </w:r>
          </w:p>
          <w:p w14:paraId="6567F2FC">
            <w:pPr>
              <w:numPr>
                <w:ilvl w:val="0"/>
                <w:numId w:val="76"/>
              </w:numPr>
              <w:adjustRightInd w:val="0"/>
              <w:snapToGrid w:val="0"/>
              <w:jc w:val="left"/>
              <w:rPr>
                <w:rFonts w:hint="eastAsia" w:ascii="宋体" w:hAnsi="宋体"/>
                <w:sz w:val="18"/>
                <w:szCs w:val="18"/>
              </w:rPr>
            </w:pPr>
            <w:r>
              <w:rPr>
                <w:rFonts w:hint="eastAsia" w:ascii="宋体" w:hAnsi="宋体"/>
                <w:sz w:val="18"/>
                <w:szCs w:val="18"/>
              </w:rPr>
              <w:t>使用气焊、气割动火作业时，乙炔瓶应直立放置，氧气瓶与之间距不应小于5 m，二者与作业地点间距不应小于10 m，并应设置防晒设施与防倾倒措施；</w:t>
            </w:r>
          </w:p>
          <w:p w14:paraId="2C1C12CA">
            <w:pPr>
              <w:numPr>
                <w:ilvl w:val="0"/>
                <w:numId w:val="76"/>
              </w:numPr>
              <w:adjustRightInd w:val="0"/>
              <w:snapToGrid w:val="0"/>
              <w:jc w:val="left"/>
              <w:rPr>
                <w:rFonts w:hint="eastAsia" w:ascii="宋体" w:hAnsi="宋体"/>
                <w:sz w:val="18"/>
                <w:szCs w:val="18"/>
              </w:rPr>
            </w:pPr>
            <w:r>
              <w:rPr>
                <w:rFonts w:hint="eastAsia" w:ascii="宋体" w:hAnsi="宋体"/>
                <w:sz w:val="18"/>
                <w:szCs w:val="18"/>
              </w:rPr>
              <w:t>作业完毕应清理现场，确认无残留火种后方可离开；</w:t>
            </w:r>
          </w:p>
          <w:p w14:paraId="25F920AA">
            <w:pPr>
              <w:numPr>
                <w:ilvl w:val="0"/>
                <w:numId w:val="76"/>
              </w:numPr>
              <w:adjustRightInd w:val="0"/>
              <w:snapToGrid w:val="0"/>
              <w:jc w:val="left"/>
              <w:rPr>
                <w:rFonts w:hint="eastAsia" w:ascii="宋体" w:hAnsi="宋体"/>
                <w:sz w:val="18"/>
                <w:szCs w:val="18"/>
              </w:rPr>
            </w:pPr>
            <w:r>
              <w:rPr>
                <w:rFonts w:hint="eastAsia" w:ascii="宋体" w:hAnsi="宋体"/>
                <w:sz w:val="18"/>
                <w:szCs w:val="18"/>
              </w:rPr>
              <w:t>动火作业审批有效期不应超过72 h，超过时限的应重新办理审批手续；</w:t>
            </w:r>
          </w:p>
          <w:p w14:paraId="6D573891">
            <w:pPr>
              <w:numPr>
                <w:ilvl w:val="0"/>
                <w:numId w:val="76"/>
              </w:numPr>
              <w:adjustRightInd w:val="0"/>
              <w:snapToGrid w:val="0"/>
              <w:jc w:val="left"/>
              <w:rPr>
                <w:rFonts w:hint="eastAsia" w:ascii="宋体" w:hAnsi="宋体"/>
                <w:sz w:val="18"/>
                <w:szCs w:val="18"/>
              </w:rPr>
            </w:pPr>
            <w:r>
              <w:rPr>
                <w:rFonts w:hint="eastAsia" w:ascii="宋体" w:hAnsi="宋体"/>
                <w:sz w:val="18"/>
                <w:szCs w:val="18"/>
              </w:rPr>
              <w:t>动火作业应进行分级管理，遇节假日、重点时段或其他特殊情况，动火作业应升级管理；</w:t>
            </w:r>
          </w:p>
          <w:p w14:paraId="465725B2">
            <w:pPr>
              <w:numPr>
                <w:ilvl w:val="0"/>
                <w:numId w:val="76"/>
              </w:numPr>
              <w:adjustRightInd w:val="0"/>
              <w:snapToGrid w:val="0"/>
              <w:jc w:val="left"/>
              <w:rPr>
                <w:rFonts w:hint="eastAsia" w:ascii="宋体" w:hAnsi="宋体"/>
                <w:sz w:val="18"/>
                <w:szCs w:val="18"/>
              </w:rPr>
            </w:pPr>
            <w:r>
              <w:rPr>
                <w:rFonts w:hint="eastAsia" w:ascii="宋体" w:hAnsi="宋体"/>
                <w:sz w:val="18"/>
                <w:szCs w:val="18"/>
              </w:rPr>
              <w:t>遇五级</w:t>
            </w:r>
            <w:r>
              <w:rPr>
                <w:rFonts w:hint="eastAsia" w:ascii="宋体" w:hAnsi="宋体"/>
                <w:sz w:val="18"/>
                <w:szCs w:val="18"/>
                <w:lang w:val="en-US" w:eastAsia="zh-CN"/>
              </w:rPr>
              <w:t>及</w:t>
            </w:r>
            <w:r>
              <w:rPr>
                <w:rFonts w:hint="eastAsia" w:ascii="宋体" w:hAnsi="宋体"/>
                <w:sz w:val="18"/>
                <w:szCs w:val="18"/>
              </w:rPr>
              <w:t>以上</w:t>
            </w:r>
            <w:r>
              <w:rPr>
                <w:rFonts w:hint="eastAsia" w:ascii="宋体" w:hAnsi="宋体"/>
                <w:sz w:val="18"/>
                <w:szCs w:val="18"/>
                <w:lang w:val="en-US" w:eastAsia="zh-CN"/>
              </w:rPr>
              <w:t>大风</w:t>
            </w:r>
            <w:r>
              <w:rPr>
                <w:rFonts w:hint="eastAsia" w:ascii="宋体" w:hAnsi="宋体"/>
                <w:sz w:val="18"/>
                <w:szCs w:val="18"/>
              </w:rPr>
              <w:t>天气，原则上不应露天动火作业，确需动火，动火作业应升级管理；</w:t>
            </w:r>
          </w:p>
          <w:p w14:paraId="41DF51C2">
            <w:pPr>
              <w:numPr>
                <w:ilvl w:val="0"/>
                <w:numId w:val="76"/>
              </w:numPr>
              <w:adjustRightInd w:val="0"/>
              <w:snapToGrid w:val="0"/>
              <w:jc w:val="left"/>
              <w:rPr>
                <w:rFonts w:hint="eastAsia" w:ascii="宋体" w:hAnsi="宋体"/>
                <w:sz w:val="18"/>
                <w:szCs w:val="18"/>
              </w:rPr>
            </w:pPr>
            <w:r>
              <w:rPr>
                <w:rFonts w:hint="eastAsia" w:ascii="宋体" w:hAnsi="宋体"/>
                <w:sz w:val="18"/>
                <w:szCs w:val="18"/>
              </w:rPr>
              <w:t>在古建筑内动火应按规定经过相关</w:t>
            </w:r>
            <w:r>
              <w:rPr>
                <w:rFonts w:ascii="宋体" w:hAnsi="宋体"/>
                <w:sz w:val="18"/>
                <w:szCs w:val="18"/>
              </w:rPr>
              <w:t>部门</w:t>
            </w:r>
            <w:r>
              <w:rPr>
                <w:rFonts w:hint="eastAsia" w:ascii="宋体" w:hAnsi="宋体"/>
                <w:sz w:val="18"/>
                <w:szCs w:val="18"/>
              </w:rPr>
              <w:t>审查批准；</w:t>
            </w:r>
          </w:p>
          <w:p w14:paraId="610731A0">
            <w:pPr>
              <w:numPr>
                <w:ilvl w:val="0"/>
                <w:numId w:val="76"/>
              </w:numPr>
              <w:adjustRightInd w:val="0"/>
              <w:snapToGrid w:val="0"/>
              <w:jc w:val="left"/>
              <w:rPr>
                <w:rFonts w:hint="eastAsia" w:ascii="宋体" w:hAnsi="宋体"/>
                <w:sz w:val="18"/>
                <w:szCs w:val="18"/>
              </w:rPr>
            </w:pPr>
            <w:r>
              <w:rPr>
                <w:rFonts w:hint="eastAsia" w:ascii="宋体" w:hAnsi="宋体"/>
                <w:sz w:val="18"/>
                <w:szCs w:val="18"/>
              </w:rPr>
              <w:t>古建筑需要修缮时，应由古建筑的管理与使用单位和施工单位共同制定消防安全措施，报相关管理部门批准后，方可动火；</w:t>
            </w:r>
          </w:p>
          <w:p w14:paraId="13B36A65">
            <w:pPr>
              <w:numPr>
                <w:ilvl w:val="0"/>
                <w:numId w:val="76"/>
              </w:numPr>
              <w:adjustRightInd w:val="0"/>
              <w:snapToGrid w:val="0"/>
              <w:jc w:val="left"/>
              <w:rPr>
                <w:rFonts w:ascii="宋体" w:hAnsi="宋体"/>
                <w:sz w:val="18"/>
                <w:szCs w:val="18"/>
              </w:rPr>
            </w:pPr>
            <w:r>
              <w:rPr>
                <w:rFonts w:hint="eastAsia" w:ascii="宋体" w:hAnsi="宋体"/>
                <w:sz w:val="18"/>
                <w:szCs w:val="18"/>
              </w:rPr>
              <w:t>森林防火期外，在</w:t>
            </w:r>
            <w:r>
              <w:rPr>
                <w:rFonts w:hint="eastAsia" w:ascii="宋体" w:hAnsi="宋体"/>
                <w:sz w:val="18"/>
                <w:szCs w:val="18"/>
                <w:lang w:val="en-US" w:eastAsia="zh-CN"/>
              </w:rPr>
              <w:t>涉林景区</w:t>
            </w:r>
            <w:r>
              <w:rPr>
                <w:rFonts w:hint="eastAsia" w:ascii="宋体" w:hAnsi="宋体"/>
                <w:sz w:val="18"/>
                <w:szCs w:val="18"/>
              </w:rPr>
              <w:t>林地开展生产性野外用火的，应经审批，并划定活动区域，设置醒目的用火界限，公示野外用火要求和注意事项，配备森林防火设备</w:t>
            </w:r>
            <w:r>
              <w:rPr>
                <w:rFonts w:hint="eastAsia" w:ascii="宋体" w:hAnsi="宋体"/>
                <w:sz w:val="18"/>
                <w:szCs w:val="18"/>
                <w:lang w:eastAsia="zh-CN"/>
              </w:rPr>
              <w:t>。</w:t>
            </w:r>
          </w:p>
        </w:tc>
        <w:tc>
          <w:tcPr>
            <w:tcW w:w="602" w:type="dxa"/>
            <w:tcBorders>
              <w:top w:val="single" w:color="auto" w:sz="8" w:space="0"/>
              <w:bottom w:val="single" w:color="auto" w:sz="8" w:space="0"/>
            </w:tcBorders>
            <w:noWrap w:val="0"/>
            <w:vAlign w:val="center"/>
          </w:tcPr>
          <w:p w14:paraId="518E38F9">
            <w:pPr>
              <w:adjustRightInd w:val="0"/>
              <w:snapToGrid w:val="0"/>
              <w:jc w:val="center"/>
              <w:rPr>
                <w:rFonts w:ascii="宋体" w:hAnsi="宋体" w:cs="宋体"/>
                <w:snapToGrid w:val="0"/>
                <w:kern w:val="21"/>
                <w:sz w:val="18"/>
                <w:szCs w:val="18"/>
              </w:rPr>
            </w:pPr>
          </w:p>
        </w:tc>
        <w:tc>
          <w:tcPr>
            <w:tcW w:w="602" w:type="dxa"/>
            <w:tcBorders>
              <w:top w:val="single" w:color="auto" w:sz="8" w:space="0"/>
              <w:bottom w:val="single" w:color="auto" w:sz="8" w:space="0"/>
            </w:tcBorders>
            <w:noWrap w:val="0"/>
            <w:vAlign w:val="center"/>
          </w:tcPr>
          <w:p w14:paraId="5F05E033">
            <w:pPr>
              <w:adjustRightInd w:val="0"/>
              <w:snapToGrid w:val="0"/>
              <w:jc w:val="center"/>
              <w:rPr>
                <w:rFonts w:ascii="宋体" w:hAnsi="宋体" w:cs="宋体"/>
                <w:snapToGrid w:val="0"/>
                <w:kern w:val="21"/>
                <w:sz w:val="18"/>
                <w:szCs w:val="18"/>
              </w:rPr>
            </w:pPr>
          </w:p>
        </w:tc>
        <w:tc>
          <w:tcPr>
            <w:tcW w:w="651" w:type="dxa"/>
            <w:tcBorders>
              <w:top w:val="single" w:color="auto" w:sz="8" w:space="0"/>
              <w:bottom w:val="single" w:color="auto" w:sz="8" w:space="0"/>
            </w:tcBorders>
            <w:noWrap w:val="0"/>
            <w:vAlign w:val="center"/>
          </w:tcPr>
          <w:p w14:paraId="0F93D6F2">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rPr>
              <w:t>5</w:t>
            </w:r>
          </w:p>
        </w:tc>
        <w:tc>
          <w:tcPr>
            <w:tcW w:w="3034" w:type="dxa"/>
            <w:tcBorders>
              <w:top w:val="single" w:color="auto" w:sz="8" w:space="0"/>
              <w:bottom w:val="single" w:color="auto" w:sz="8" w:space="0"/>
            </w:tcBorders>
            <w:noWrap w:val="0"/>
            <w:vAlign w:val="center"/>
          </w:tcPr>
          <w:p w14:paraId="0941C05A">
            <w:pPr>
              <w:adjustRightInd w:val="0"/>
              <w:snapToGrid w:val="0"/>
              <w:jc w:val="left"/>
              <w:rPr>
                <w:rFonts w:hint="eastAsia" w:ascii="宋体" w:hAnsi="宋体"/>
                <w:sz w:val="18"/>
                <w:szCs w:val="18"/>
              </w:rPr>
            </w:pPr>
            <w:r>
              <w:rPr>
                <w:rFonts w:hint="eastAsia" w:ascii="宋体" w:hAnsi="宋体"/>
                <w:sz w:val="18"/>
                <w:szCs w:val="18"/>
              </w:rPr>
              <w:t>1）古建筑动火不符合要求的，扣5分；</w:t>
            </w:r>
          </w:p>
          <w:p w14:paraId="62ACE384">
            <w:pPr>
              <w:adjustRightInd w:val="0"/>
              <w:snapToGrid w:val="0"/>
              <w:jc w:val="left"/>
              <w:rPr>
                <w:rFonts w:ascii="宋体" w:hAnsi="宋体"/>
                <w:sz w:val="18"/>
                <w:szCs w:val="18"/>
              </w:rPr>
            </w:pPr>
            <w:r>
              <w:rPr>
                <w:rFonts w:hint="eastAsia" w:ascii="宋体" w:hAnsi="宋体"/>
                <w:sz w:val="18"/>
                <w:szCs w:val="18"/>
              </w:rPr>
              <w:t>2）其他一处不符合扣</w:t>
            </w:r>
            <w:r>
              <w:rPr>
                <w:rFonts w:hint="eastAsia" w:ascii="宋体" w:hAnsi="宋体"/>
                <w:sz w:val="18"/>
                <w:szCs w:val="18"/>
                <w:lang w:val="en-US" w:eastAsia="zh-CN"/>
              </w:rPr>
              <w:t>2</w:t>
            </w:r>
            <w:r>
              <w:rPr>
                <w:rFonts w:hint="eastAsia" w:ascii="宋体" w:hAnsi="宋体"/>
                <w:sz w:val="18"/>
                <w:szCs w:val="18"/>
              </w:rPr>
              <w:t>分。</w:t>
            </w:r>
          </w:p>
        </w:tc>
        <w:tc>
          <w:tcPr>
            <w:tcW w:w="602" w:type="dxa"/>
            <w:tcBorders>
              <w:top w:val="single" w:color="auto" w:sz="8" w:space="0"/>
              <w:bottom w:val="single" w:color="auto" w:sz="8" w:space="0"/>
            </w:tcBorders>
            <w:noWrap w:val="0"/>
            <w:vAlign w:val="center"/>
          </w:tcPr>
          <w:p w14:paraId="4AEFCEB6">
            <w:pPr>
              <w:adjustRightInd w:val="0"/>
              <w:snapToGrid w:val="0"/>
              <w:jc w:val="center"/>
              <w:rPr>
                <w:rFonts w:ascii="宋体" w:hAnsi="宋体" w:cs="宋体"/>
                <w:snapToGrid w:val="0"/>
                <w:kern w:val="21"/>
                <w:sz w:val="18"/>
                <w:szCs w:val="18"/>
              </w:rPr>
            </w:pPr>
          </w:p>
        </w:tc>
        <w:tc>
          <w:tcPr>
            <w:tcW w:w="1274" w:type="dxa"/>
            <w:tcBorders>
              <w:top w:val="single" w:color="auto" w:sz="8" w:space="0"/>
              <w:bottom w:val="single" w:color="auto" w:sz="8" w:space="0"/>
            </w:tcBorders>
            <w:noWrap w:val="0"/>
            <w:vAlign w:val="center"/>
          </w:tcPr>
          <w:p w14:paraId="41660046">
            <w:pPr>
              <w:adjustRightInd w:val="0"/>
              <w:snapToGrid w:val="0"/>
              <w:jc w:val="center"/>
              <w:rPr>
                <w:rFonts w:ascii="宋体" w:hAnsi="宋体" w:cs="宋体"/>
                <w:snapToGrid w:val="0"/>
                <w:kern w:val="21"/>
                <w:sz w:val="18"/>
                <w:szCs w:val="18"/>
              </w:rPr>
            </w:pPr>
          </w:p>
        </w:tc>
        <w:tc>
          <w:tcPr>
            <w:tcW w:w="1284" w:type="dxa"/>
            <w:tcBorders>
              <w:top w:val="single" w:color="auto" w:sz="8" w:space="0"/>
              <w:bottom w:val="single" w:color="auto" w:sz="8" w:space="0"/>
            </w:tcBorders>
            <w:noWrap w:val="0"/>
            <w:vAlign w:val="center"/>
          </w:tcPr>
          <w:p w14:paraId="7AD4B84F">
            <w:pPr>
              <w:adjustRightInd w:val="0"/>
              <w:snapToGrid w:val="0"/>
              <w:jc w:val="center"/>
              <w:rPr>
                <w:rFonts w:ascii="宋体" w:hAnsi="宋体" w:cs="宋体"/>
                <w:snapToGrid w:val="0"/>
                <w:kern w:val="21"/>
                <w:sz w:val="18"/>
                <w:szCs w:val="18"/>
              </w:rPr>
            </w:pPr>
            <w:r>
              <w:rPr>
                <w:rFonts w:hint="eastAsia" w:ascii="宋体" w:hAnsi="宋体" w:cs="宋体"/>
                <w:snapToGrid w:val="0"/>
                <w:kern w:val="21"/>
                <w:sz w:val="18"/>
                <w:szCs w:val="18"/>
                <w:lang w:eastAsia="zh-CN"/>
              </w:rPr>
              <w:t>4.10</w:t>
            </w:r>
            <w:r>
              <w:rPr>
                <w:rFonts w:hint="eastAsia" w:ascii="宋体" w:hAnsi="宋体" w:cs="宋体"/>
                <w:snapToGrid w:val="0"/>
                <w:kern w:val="21"/>
                <w:sz w:val="18"/>
                <w:szCs w:val="18"/>
              </w:rPr>
              <w:t>.2.</w:t>
            </w:r>
            <w:r>
              <w:rPr>
                <w:rFonts w:hint="eastAsia" w:ascii="宋体" w:hAnsi="宋体" w:cs="宋体"/>
                <w:snapToGrid w:val="0"/>
                <w:kern w:val="21"/>
                <w:sz w:val="18"/>
                <w:szCs w:val="18"/>
                <w:lang w:val="en-US" w:eastAsia="zh-CN"/>
              </w:rPr>
              <w:t>3</w:t>
            </w:r>
          </w:p>
        </w:tc>
      </w:tr>
      <w:tr w14:paraId="541317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shd w:val="clear"/>
            <w:noWrap w:val="0"/>
            <w:vAlign w:val="center"/>
          </w:tcPr>
          <w:p w14:paraId="65BD532E">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sz w:val="18"/>
                <w:szCs w:val="18"/>
              </w:rPr>
              <w:t>1</w:t>
            </w:r>
            <w:r>
              <w:rPr>
                <w:rFonts w:hint="eastAsia" w:ascii="宋体" w:hAnsi="宋体"/>
                <w:sz w:val="18"/>
                <w:szCs w:val="18"/>
                <w:lang w:val="en-US" w:eastAsia="zh-CN"/>
              </w:rPr>
              <w:t>0</w:t>
            </w:r>
            <w:r>
              <w:rPr>
                <w:rFonts w:hint="eastAsia" w:ascii="宋体" w:hAnsi="宋体"/>
                <w:sz w:val="18"/>
                <w:szCs w:val="18"/>
              </w:rPr>
              <w:t>.2.4</w:t>
            </w:r>
          </w:p>
        </w:tc>
        <w:tc>
          <w:tcPr>
            <w:tcW w:w="6483" w:type="dxa"/>
            <w:tcBorders>
              <w:top w:val="single" w:color="auto" w:sz="8" w:space="0"/>
              <w:bottom w:val="single" w:color="auto" w:sz="8" w:space="0"/>
            </w:tcBorders>
            <w:shd w:val="clear"/>
            <w:noWrap w:val="0"/>
            <w:vAlign w:val="center"/>
          </w:tcPr>
          <w:p w14:paraId="50E9B533">
            <w:pPr>
              <w:widowControl/>
              <w:tabs>
                <w:tab w:val="center" w:pos="4201"/>
                <w:tab w:val="right" w:leader="dot" w:pos="9298"/>
              </w:tabs>
              <w:autoSpaceDE w:val="0"/>
              <w:autoSpaceDN w:val="0"/>
              <w:adjustRightInd w:val="0"/>
              <w:snapToGrid w:val="0"/>
              <w:jc w:val="left"/>
              <w:rPr>
                <w:rFonts w:ascii="宋体" w:hAnsi="宋体"/>
                <w:sz w:val="18"/>
                <w:szCs w:val="18"/>
              </w:rPr>
            </w:pPr>
            <w:r>
              <w:rPr>
                <w:rFonts w:hint="eastAsia" w:ascii="宋体" w:hAnsi="宋体"/>
                <w:sz w:val="18"/>
                <w:szCs w:val="18"/>
              </w:rPr>
              <w:t>高处作业应符合下列要求：</w:t>
            </w:r>
          </w:p>
          <w:p w14:paraId="42025AB4">
            <w:pPr>
              <w:widowControl/>
              <w:tabs>
                <w:tab w:val="center" w:pos="4201"/>
                <w:tab w:val="right" w:leader="dot" w:pos="9298"/>
              </w:tabs>
              <w:autoSpaceDE w:val="0"/>
              <w:autoSpaceDN w:val="0"/>
              <w:adjustRightInd w:val="0"/>
              <w:snapToGrid w:val="0"/>
              <w:jc w:val="left"/>
              <w:rPr>
                <w:rFonts w:hint="eastAsia" w:ascii="宋体" w:hAnsi="宋体"/>
                <w:sz w:val="18"/>
                <w:szCs w:val="18"/>
              </w:rPr>
            </w:pPr>
            <w:r>
              <w:rPr>
                <w:rFonts w:hint="eastAsia" w:ascii="宋体" w:hAnsi="宋体"/>
                <w:sz w:val="18"/>
                <w:szCs w:val="18"/>
              </w:rPr>
              <w:t>a）无固定站立部位或站立部位无防护的高处作业应使用安全带，安全带应悬挂在建筑物设施或固定装置上；</w:t>
            </w:r>
          </w:p>
          <w:p w14:paraId="7DC98E7D">
            <w:pPr>
              <w:widowControl/>
              <w:tabs>
                <w:tab w:val="center" w:pos="4201"/>
                <w:tab w:val="right" w:leader="dot" w:pos="9298"/>
              </w:tabs>
              <w:autoSpaceDE w:val="0"/>
              <w:autoSpaceDN w:val="0"/>
              <w:adjustRightInd w:val="0"/>
              <w:snapToGrid w:val="0"/>
              <w:jc w:val="left"/>
              <w:rPr>
                <w:rFonts w:hint="eastAsia" w:ascii="Times New Roman" w:hAnsi="宋体" w:eastAsia="宋体" w:cs="Times New Roman"/>
                <w:kern w:val="2"/>
                <w:sz w:val="18"/>
                <w:szCs w:val="18"/>
                <w:lang w:val="en-US" w:eastAsia="zh-CN" w:bidi="ar-SA"/>
              </w:rPr>
            </w:pPr>
            <w:r>
              <w:rPr>
                <w:rFonts w:hint="eastAsia" w:ascii="宋体" w:hAnsi="宋体"/>
                <w:sz w:val="18"/>
                <w:szCs w:val="18"/>
              </w:rPr>
              <w:t>b)梯子、升降平台使用处下方可能坠落的半径范围内，不应堆放杂物；</w:t>
            </w:r>
          </w:p>
        </w:tc>
        <w:tc>
          <w:tcPr>
            <w:tcW w:w="602" w:type="dxa"/>
            <w:tcBorders>
              <w:top w:val="single" w:color="auto" w:sz="8" w:space="0"/>
              <w:bottom w:val="single" w:color="auto" w:sz="8" w:space="0"/>
            </w:tcBorders>
            <w:shd w:val="clear"/>
            <w:noWrap w:val="0"/>
            <w:vAlign w:val="center"/>
          </w:tcPr>
          <w:p w14:paraId="59D186E6">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602" w:type="dxa"/>
            <w:tcBorders>
              <w:top w:val="single" w:color="auto" w:sz="8" w:space="0"/>
              <w:bottom w:val="single" w:color="auto" w:sz="8" w:space="0"/>
            </w:tcBorders>
            <w:shd w:val="clear"/>
            <w:noWrap w:val="0"/>
            <w:vAlign w:val="top"/>
          </w:tcPr>
          <w:p w14:paraId="6EE4459E">
            <w:pPr>
              <w:ind w:left="-249" w:leftChars="-119"/>
              <w:jc w:val="center"/>
              <w:rPr>
                <w:rFonts w:ascii="宋体" w:hAnsi="宋体" w:eastAsia="宋体" w:cs="宋体"/>
                <w:kern w:val="2"/>
                <w:sz w:val="18"/>
                <w:szCs w:val="18"/>
                <w:lang w:val="en-US" w:eastAsia="zh-CN" w:bidi="ar-SA"/>
              </w:rPr>
            </w:pPr>
          </w:p>
        </w:tc>
        <w:tc>
          <w:tcPr>
            <w:tcW w:w="651" w:type="dxa"/>
            <w:tcBorders>
              <w:top w:val="single" w:color="auto" w:sz="8" w:space="0"/>
              <w:bottom w:val="single" w:color="auto" w:sz="8" w:space="0"/>
            </w:tcBorders>
            <w:shd w:val="clear"/>
            <w:noWrap w:val="0"/>
            <w:vAlign w:val="center"/>
          </w:tcPr>
          <w:p w14:paraId="2A2A3B4A">
            <w:pPr>
              <w:ind w:firstLine="180" w:firstLineChars="100"/>
              <w:rPr>
                <w:rFonts w:hint="eastAsia" w:ascii="宋体" w:hAnsi="宋体" w:eastAsia="宋体" w:cs="宋体"/>
                <w:kern w:val="2"/>
                <w:sz w:val="18"/>
                <w:szCs w:val="18"/>
                <w:lang w:val="en-US" w:eastAsia="zh-CN" w:bidi="ar-SA"/>
              </w:rPr>
            </w:pPr>
            <w:r>
              <w:rPr>
                <w:rFonts w:hint="eastAsia" w:ascii="宋体" w:hAnsi="宋体" w:cs="宋体"/>
                <w:sz w:val="18"/>
                <w:szCs w:val="18"/>
              </w:rPr>
              <w:t>5</w:t>
            </w:r>
          </w:p>
        </w:tc>
        <w:tc>
          <w:tcPr>
            <w:tcW w:w="3034" w:type="dxa"/>
            <w:tcBorders>
              <w:top w:val="single" w:color="auto" w:sz="8" w:space="0"/>
              <w:bottom w:val="single" w:color="auto" w:sz="8" w:space="0"/>
            </w:tcBorders>
            <w:shd w:val="clear"/>
            <w:noWrap w:val="0"/>
            <w:vAlign w:val="center"/>
          </w:tcPr>
          <w:p w14:paraId="2A4E70F1">
            <w:pPr>
              <w:numPr>
                <w:ilvl w:val="0"/>
                <w:numId w:val="77"/>
              </w:numPr>
              <w:adjustRightInd w:val="0"/>
              <w:snapToGrid w:val="0"/>
              <w:jc w:val="left"/>
              <w:rPr>
                <w:rFonts w:hint="eastAsia" w:ascii="宋体" w:hAnsi="宋体"/>
                <w:sz w:val="18"/>
                <w:szCs w:val="18"/>
              </w:rPr>
            </w:pPr>
            <w:r>
              <w:rPr>
                <w:rFonts w:hint="eastAsia" w:ascii="宋体" w:hAnsi="宋体"/>
                <w:sz w:val="18"/>
                <w:szCs w:val="18"/>
              </w:rPr>
              <w:t>未使用安全带或安全带使用不正确的，扣3分；</w:t>
            </w:r>
          </w:p>
          <w:p w14:paraId="22098645">
            <w:pPr>
              <w:numPr>
                <w:ilvl w:val="0"/>
                <w:numId w:val="77"/>
              </w:numPr>
              <w:adjustRightInd w:val="0"/>
              <w:snapToGrid w:val="0"/>
              <w:jc w:val="left"/>
              <w:rPr>
                <w:rFonts w:hint="eastAsia" w:ascii="宋体" w:hAnsi="宋体"/>
                <w:sz w:val="18"/>
                <w:szCs w:val="18"/>
              </w:rPr>
            </w:pPr>
            <w:r>
              <w:rPr>
                <w:rFonts w:hint="eastAsia" w:ascii="宋体" w:hAnsi="宋体"/>
                <w:sz w:val="18"/>
                <w:szCs w:val="18"/>
                <w:lang w:val="en-US" w:eastAsia="zh-CN"/>
              </w:rPr>
              <w:t>脚手架使用前未经过验收，扣3分；</w:t>
            </w:r>
          </w:p>
          <w:p w14:paraId="591A343E">
            <w:pPr>
              <w:adjustRightInd w:val="0"/>
              <w:snapToGrid w:val="0"/>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3</w:t>
            </w:r>
            <w:r>
              <w:rPr>
                <w:rFonts w:hint="eastAsia" w:ascii="宋体" w:hAnsi="宋体"/>
                <w:sz w:val="18"/>
                <w:szCs w:val="18"/>
              </w:rPr>
              <w:t>）其他一处不符合扣2分。</w:t>
            </w:r>
          </w:p>
        </w:tc>
        <w:tc>
          <w:tcPr>
            <w:tcW w:w="602" w:type="dxa"/>
            <w:tcBorders>
              <w:top w:val="single" w:color="auto" w:sz="8" w:space="0"/>
              <w:bottom w:val="single" w:color="auto" w:sz="8" w:space="0"/>
            </w:tcBorders>
            <w:shd w:val="clear"/>
            <w:noWrap w:val="0"/>
            <w:vAlign w:val="center"/>
          </w:tcPr>
          <w:p w14:paraId="131C487C">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1274" w:type="dxa"/>
            <w:tcBorders>
              <w:top w:val="single" w:color="auto" w:sz="8" w:space="0"/>
              <w:bottom w:val="single" w:color="auto" w:sz="8" w:space="0"/>
            </w:tcBorders>
            <w:shd w:val="clear"/>
            <w:noWrap w:val="0"/>
            <w:vAlign w:val="center"/>
          </w:tcPr>
          <w:p w14:paraId="6048A457">
            <w:pPr>
              <w:widowControl/>
              <w:tabs>
                <w:tab w:val="center" w:pos="4201"/>
                <w:tab w:val="right" w:leader="dot" w:pos="9298"/>
              </w:tabs>
              <w:autoSpaceDE w:val="0"/>
              <w:autoSpaceDN w:val="0"/>
              <w:ind w:right="33" w:rightChars="16"/>
              <w:jc w:val="center"/>
              <w:rPr>
                <w:rFonts w:ascii="宋体" w:hAnsi="宋体" w:eastAsia="宋体" w:cs="Times New Roman"/>
                <w:kern w:val="0"/>
                <w:sz w:val="18"/>
                <w:szCs w:val="18"/>
                <w:lang w:val="en-US" w:eastAsia="zh-CN" w:bidi="ar-SA"/>
              </w:rPr>
            </w:pPr>
          </w:p>
        </w:tc>
        <w:tc>
          <w:tcPr>
            <w:tcW w:w="1284" w:type="dxa"/>
            <w:tcBorders>
              <w:top w:val="single" w:color="auto" w:sz="8" w:space="0"/>
              <w:bottom w:val="single" w:color="auto" w:sz="8" w:space="0"/>
            </w:tcBorders>
            <w:shd w:val="clear"/>
            <w:noWrap w:val="0"/>
            <w:vAlign w:val="center"/>
          </w:tcPr>
          <w:p w14:paraId="25209E8F">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.1</w:t>
            </w:r>
            <w:r>
              <w:rPr>
                <w:rFonts w:hint="eastAsia" w:ascii="宋体" w:hAnsi="宋体"/>
                <w:sz w:val="18"/>
                <w:szCs w:val="18"/>
                <w:lang w:val="en-US" w:eastAsia="zh-CN"/>
              </w:rPr>
              <w:t>0</w:t>
            </w:r>
            <w:r>
              <w:rPr>
                <w:rFonts w:hint="eastAsia" w:ascii="宋体" w:hAnsi="宋体"/>
                <w:sz w:val="18"/>
                <w:szCs w:val="18"/>
              </w:rPr>
              <w:t>.2.</w:t>
            </w:r>
            <w:r>
              <w:rPr>
                <w:rFonts w:hint="eastAsia" w:ascii="宋体" w:hAnsi="宋体"/>
                <w:sz w:val="18"/>
                <w:szCs w:val="18"/>
                <w:lang w:val="en-US" w:eastAsia="zh-CN"/>
              </w:rPr>
              <w:t>4</w:t>
            </w:r>
          </w:p>
        </w:tc>
      </w:tr>
    </w:tbl>
    <w:p w14:paraId="2531218F">
      <w:pPr>
        <w:pStyle w:val="168"/>
        <w:numPr>
          <w:ilvl w:val="0"/>
          <w:numId w:val="0"/>
        </w:numPr>
        <w:spacing w:before="156" w:after="156"/>
        <w:ind w:left="567" w:hanging="567"/>
      </w:pPr>
      <w:r>
        <w:br w:type="page"/>
      </w:r>
      <w:r>
        <w:rPr>
          <w:rFonts w:hint="eastAsia"/>
        </w:rPr>
        <w:t>表</w:t>
      </w:r>
      <w:r>
        <w:rPr>
          <w:rFonts w:hint="eastAsia"/>
          <w:lang w:val="en-US" w:eastAsia="zh-CN"/>
        </w:rPr>
        <w:t>K</w:t>
      </w:r>
      <w:r>
        <w:rPr>
          <w:rFonts w:hint="eastAsia"/>
        </w:rPr>
        <w:t>.1 操作人员行为规范要素的安全生产等级评定细则</w:t>
      </w:r>
      <w:r>
        <w:rPr>
          <w:rFonts w:hint="eastAsia" w:ascii="宋体" w:hAnsi="宋体" w:eastAsia="宋体"/>
        </w:rPr>
        <w:t>（续）</w:t>
      </w:r>
    </w:p>
    <w:tbl>
      <w:tblPr>
        <w:tblStyle w:val="4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741"/>
        <w:gridCol w:w="612"/>
        <w:gridCol w:w="612"/>
        <w:gridCol w:w="663"/>
        <w:gridCol w:w="3147"/>
        <w:gridCol w:w="611"/>
        <w:gridCol w:w="1148"/>
        <w:gridCol w:w="998"/>
      </w:tblGrid>
      <w:tr w14:paraId="6A4A99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565751ED">
            <w:pPr>
              <w:adjustRightInd w:val="0"/>
              <w:snapToGrid w:val="0"/>
              <w:jc w:val="center"/>
              <w:rPr>
                <w:sz w:val="18"/>
                <w:szCs w:val="18"/>
              </w:rPr>
            </w:pPr>
            <w:r>
              <w:rPr>
                <w:bCs/>
                <w:sz w:val="18"/>
                <w:szCs w:val="18"/>
              </w:rPr>
              <w:t>序号</w:t>
            </w:r>
          </w:p>
        </w:tc>
        <w:tc>
          <w:tcPr>
            <w:tcW w:w="6741" w:type="dxa"/>
            <w:tcBorders>
              <w:top w:val="single" w:color="auto" w:sz="8" w:space="0"/>
              <w:bottom w:val="single" w:color="auto" w:sz="8" w:space="0"/>
            </w:tcBorders>
            <w:noWrap w:val="0"/>
            <w:vAlign w:val="center"/>
          </w:tcPr>
          <w:p w14:paraId="03A9294D">
            <w:pPr>
              <w:adjustRightInd w:val="0"/>
              <w:snapToGrid w:val="0"/>
              <w:jc w:val="center"/>
              <w:rPr>
                <w:rFonts w:ascii="宋体" w:hAnsi="宋体"/>
                <w:sz w:val="18"/>
                <w:szCs w:val="18"/>
              </w:rPr>
            </w:pPr>
            <w:r>
              <w:rPr>
                <w:rFonts w:ascii="宋体" w:hAnsi="宋体"/>
                <w:bCs/>
                <w:sz w:val="18"/>
                <w:szCs w:val="18"/>
              </w:rPr>
              <w:t>评定内容</w:t>
            </w:r>
          </w:p>
        </w:tc>
        <w:tc>
          <w:tcPr>
            <w:tcW w:w="612" w:type="dxa"/>
            <w:tcBorders>
              <w:top w:val="single" w:color="auto" w:sz="8" w:space="0"/>
              <w:bottom w:val="single" w:color="auto" w:sz="8" w:space="0"/>
            </w:tcBorders>
            <w:noWrap w:val="0"/>
            <w:vAlign w:val="center"/>
          </w:tcPr>
          <w:p w14:paraId="7A5EBA3B">
            <w:pPr>
              <w:adjustRightInd w:val="0"/>
              <w:snapToGrid w:val="0"/>
              <w:jc w:val="center"/>
              <w:rPr>
                <w:rFonts w:ascii="宋体" w:hAnsi="宋体"/>
                <w:sz w:val="18"/>
                <w:szCs w:val="18"/>
              </w:rPr>
            </w:pPr>
            <w:r>
              <w:rPr>
                <w:rFonts w:ascii="宋体" w:hAnsi="宋体"/>
                <w:bCs/>
                <w:sz w:val="18"/>
                <w:szCs w:val="18"/>
              </w:rPr>
              <w:t>评定要素分值</w:t>
            </w:r>
          </w:p>
        </w:tc>
        <w:tc>
          <w:tcPr>
            <w:tcW w:w="612" w:type="dxa"/>
            <w:tcBorders>
              <w:top w:val="single" w:color="auto" w:sz="8" w:space="0"/>
              <w:bottom w:val="single" w:color="auto" w:sz="8" w:space="0"/>
            </w:tcBorders>
            <w:noWrap w:val="0"/>
            <w:vAlign w:val="center"/>
          </w:tcPr>
          <w:p w14:paraId="273E8161">
            <w:pPr>
              <w:adjustRightInd w:val="0"/>
              <w:snapToGrid w:val="0"/>
              <w:jc w:val="center"/>
              <w:rPr>
                <w:rFonts w:ascii="宋体" w:hAnsi="宋体"/>
                <w:sz w:val="18"/>
                <w:szCs w:val="18"/>
              </w:rPr>
            </w:pPr>
            <w:r>
              <w:rPr>
                <w:rFonts w:ascii="宋体" w:hAnsi="宋体"/>
                <w:bCs/>
                <w:sz w:val="18"/>
                <w:szCs w:val="18"/>
              </w:rPr>
              <w:t>评定细项分值</w:t>
            </w:r>
          </w:p>
        </w:tc>
        <w:tc>
          <w:tcPr>
            <w:tcW w:w="663" w:type="dxa"/>
            <w:tcBorders>
              <w:top w:val="single" w:color="auto" w:sz="8" w:space="0"/>
              <w:bottom w:val="single" w:color="auto" w:sz="8" w:space="0"/>
            </w:tcBorders>
            <w:noWrap w:val="0"/>
            <w:vAlign w:val="center"/>
          </w:tcPr>
          <w:p w14:paraId="32852E7F">
            <w:pPr>
              <w:adjustRightInd w:val="0"/>
              <w:snapToGrid w:val="0"/>
              <w:jc w:val="center"/>
              <w:rPr>
                <w:rFonts w:ascii="宋体" w:hAnsi="宋体"/>
                <w:sz w:val="18"/>
                <w:szCs w:val="18"/>
              </w:rPr>
            </w:pPr>
            <w:r>
              <w:rPr>
                <w:rFonts w:ascii="宋体" w:hAnsi="宋体"/>
                <w:bCs/>
                <w:sz w:val="18"/>
                <w:szCs w:val="18"/>
              </w:rPr>
              <w:t>评定条款分值</w:t>
            </w:r>
          </w:p>
        </w:tc>
        <w:tc>
          <w:tcPr>
            <w:tcW w:w="3147" w:type="dxa"/>
            <w:tcBorders>
              <w:top w:val="single" w:color="auto" w:sz="8" w:space="0"/>
              <w:bottom w:val="single" w:color="auto" w:sz="8" w:space="0"/>
            </w:tcBorders>
            <w:noWrap w:val="0"/>
            <w:vAlign w:val="center"/>
          </w:tcPr>
          <w:p w14:paraId="5E90D08E">
            <w:pPr>
              <w:adjustRightInd w:val="0"/>
              <w:snapToGrid w:val="0"/>
              <w:jc w:val="center"/>
              <w:rPr>
                <w:sz w:val="18"/>
                <w:szCs w:val="18"/>
              </w:rPr>
            </w:pPr>
            <w:r>
              <w:rPr>
                <w:bCs/>
                <w:sz w:val="18"/>
                <w:szCs w:val="18"/>
              </w:rPr>
              <w:t>评分标准</w:t>
            </w:r>
          </w:p>
        </w:tc>
        <w:tc>
          <w:tcPr>
            <w:tcW w:w="611" w:type="dxa"/>
            <w:tcBorders>
              <w:top w:val="single" w:color="auto" w:sz="8" w:space="0"/>
              <w:bottom w:val="single" w:color="auto" w:sz="8" w:space="0"/>
            </w:tcBorders>
            <w:noWrap w:val="0"/>
            <w:vAlign w:val="center"/>
          </w:tcPr>
          <w:p w14:paraId="59043AB6">
            <w:pPr>
              <w:adjustRightInd w:val="0"/>
              <w:snapToGrid w:val="0"/>
              <w:jc w:val="center"/>
              <w:rPr>
                <w:rFonts w:ascii="宋体" w:hAnsi="宋体"/>
                <w:sz w:val="18"/>
                <w:szCs w:val="18"/>
              </w:rPr>
            </w:pPr>
            <w:r>
              <w:rPr>
                <w:rFonts w:ascii="宋体" w:hAnsi="宋体"/>
                <w:bCs/>
                <w:sz w:val="18"/>
                <w:szCs w:val="18"/>
              </w:rPr>
              <w:t>评定得分</w:t>
            </w:r>
          </w:p>
        </w:tc>
        <w:tc>
          <w:tcPr>
            <w:tcW w:w="1148" w:type="dxa"/>
            <w:tcBorders>
              <w:top w:val="single" w:color="auto" w:sz="8" w:space="0"/>
              <w:bottom w:val="single" w:color="auto" w:sz="8" w:space="0"/>
            </w:tcBorders>
            <w:noWrap w:val="0"/>
            <w:vAlign w:val="center"/>
          </w:tcPr>
          <w:p w14:paraId="78FA9F07">
            <w:pPr>
              <w:adjustRightInd w:val="0"/>
              <w:snapToGrid w:val="0"/>
              <w:jc w:val="center"/>
              <w:rPr>
                <w:rFonts w:ascii="宋体" w:hAnsi="宋体"/>
                <w:sz w:val="18"/>
                <w:szCs w:val="18"/>
              </w:rPr>
            </w:pPr>
            <w:r>
              <w:rPr>
                <w:rFonts w:ascii="宋体" w:hAnsi="宋体"/>
                <w:bCs/>
                <w:sz w:val="18"/>
                <w:szCs w:val="18"/>
              </w:rPr>
              <w:t>扣分说明</w:t>
            </w:r>
          </w:p>
        </w:tc>
        <w:tc>
          <w:tcPr>
            <w:tcW w:w="998" w:type="dxa"/>
            <w:tcBorders>
              <w:top w:val="single" w:color="auto" w:sz="8" w:space="0"/>
              <w:bottom w:val="single" w:color="auto" w:sz="8" w:space="0"/>
            </w:tcBorders>
            <w:noWrap w:val="0"/>
            <w:vAlign w:val="center"/>
          </w:tcPr>
          <w:p w14:paraId="43B8201B">
            <w:pPr>
              <w:adjustRightInd w:val="0"/>
              <w:snapToGrid w:val="0"/>
              <w:jc w:val="center"/>
              <w:rPr>
                <w:rFonts w:ascii="宋体" w:hAnsi="宋体"/>
                <w:sz w:val="18"/>
                <w:szCs w:val="18"/>
              </w:rPr>
            </w:pPr>
            <w:r>
              <w:rPr>
                <w:rFonts w:ascii="宋体" w:hAnsi="宋体"/>
                <w:bCs/>
                <w:sz w:val="18"/>
                <w:szCs w:val="18"/>
              </w:rPr>
              <w:t>对应条款编号</w:t>
            </w:r>
          </w:p>
        </w:tc>
      </w:tr>
      <w:tr w14:paraId="6880A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0BD5FBE9">
            <w:pPr>
              <w:adjustRightInd w:val="0"/>
              <w:snapToGrid w:val="0"/>
              <w:jc w:val="center"/>
              <w:rPr>
                <w:rFonts w:ascii="宋体" w:hAnsi="宋体" w:cs="宋体"/>
                <w:snapToGrid w:val="0"/>
                <w:kern w:val="21"/>
                <w:sz w:val="18"/>
                <w:szCs w:val="18"/>
              </w:rPr>
            </w:pPr>
          </w:p>
        </w:tc>
        <w:tc>
          <w:tcPr>
            <w:tcW w:w="6741" w:type="dxa"/>
            <w:tcBorders>
              <w:top w:val="single" w:color="auto" w:sz="8" w:space="0"/>
              <w:bottom w:val="single" w:color="auto" w:sz="8" w:space="0"/>
            </w:tcBorders>
            <w:noWrap w:val="0"/>
            <w:vAlign w:val="center"/>
          </w:tcPr>
          <w:p w14:paraId="170AACB4">
            <w:pPr>
              <w:widowControl/>
              <w:tabs>
                <w:tab w:val="center" w:pos="4201"/>
                <w:tab w:val="right" w:leader="dot" w:pos="9298"/>
              </w:tabs>
              <w:autoSpaceDE w:val="0"/>
              <w:autoSpaceDN w:val="0"/>
              <w:adjustRightInd w:val="0"/>
              <w:snapToGrid w:val="0"/>
              <w:jc w:val="left"/>
              <w:rPr>
                <w:rFonts w:hint="eastAsia" w:ascii="宋体" w:hAnsi="宋体"/>
                <w:sz w:val="18"/>
                <w:szCs w:val="18"/>
              </w:rPr>
            </w:pPr>
            <w:r>
              <w:rPr>
                <w:rFonts w:hint="eastAsia" w:ascii="宋体" w:hAnsi="宋体"/>
                <w:sz w:val="18"/>
                <w:szCs w:val="18"/>
              </w:rPr>
              <w:t>c)高处作业过程中不应往下抛掷材料、工具和其他物品，作业使用的工具、材料、零件等应装入工具袋；</w:t>
            </w:r>
          </w:p>
          <w:p w14:paraId="22918056">
            <w:pPr>
              <w:widowControl/>
              <w:tabs>
                <w:tab w:val="center" w:pos="4201"/>
                <w:tab w:val="right" w:leader="dot" w:pos="9298"/>
              </w:tabs>
              <w:autoSpaceDE w:val="0"/>
              <w:autoSpaceDN w:val="0"/>
              <w:adjustRightInd w:val="0"/>
              <w:snapToGrid w:val="0"/>
              <w:ind w:right="0"/>
              <w:jc w:val="left"/>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)雨天和雪天作业时，应采取可靠的防滑、防寒措施；遇有五级</w:t>
            </w:r>
            <w:r>
              <w:rPr>
                <w:rFonts w:hint="eastAsia" w:ascii="宋体" w:hAnsi="宋体"/>
                <w:sz w:val="18"/>
                <w:szCs w:val="18"/>
                <w:lang w:val="en-US" w:eastAsia="zh-CN"/>
              </w:rPr>
              <w:t>及</w:t>
            </w:r>
            <w:r>
              <w:rPr>
                <w:rFonts w:hint="eastAsia" w:ascii="宋体" w:hAnsi="宋体"/>
                <w:sz w:val="18"/>
                <w:szCs w:val="18"/>
              </w:rPr>
              <w:t>以上强风、浓雾等恶劣气候，不应进行高处作业、露天攀登与悬空高处作业；暴风雪、暴雨后，应对作业安全设施进行检查。</w:t>
            </w:r>
          </w:p>
        </w:tc>
        <w:tc>
          <w:tcPr>
            <w:tcW w:w="612" w:type="dxa"/>
            <w:tcBorders>
              <w:top w:val="single" w:color="auto" w:sz="8" w:space="0"/>
              <w:bottom w:val="single" w:color="auto" w:sz="8" w:space="0"/>
            </w:tcBorders>
            <w:noWrap w:val="0"/>
            <w:vAlign w:val="center"/>
          </w:tcPr>
          <w:p w14:paraId="5FEC9E62">
            <w:pPr>
              <w:adjustRightInd w:val="0"/>
              <w:snapToGrid w:val="0"/>
              <w:jc w:val="center"/>
              <w:rPr>
                <w:rFonts w:ascii="宋体" w:hAnsi="宋体" w:cs="宋体"/>
                <w:snapToGrid w:val="0"/>
                <w:kern w:val="21"/>
                <w:sz w:val="18"/>
                <w:szCs w:val="18"/>
              </w:rPr>
            </w:pPr>
          </w:p>
        </w:tc>
        <w:tc>
          <w:tcPr>
            <w:tcW w:w="612" w:type="dxa"/>
            <w:tcBorders>
              <w:top w:val="single" w:color="auto" w:sz="8" w:space="0"/>
              <w:bottom w:val="single" w:color="auto" w:sz="8" w:space="0"/>
            </w:tcBorders>
            <w:noWrap w:val="0"/>
            <w:vAlign w:val="center"/>
          </w:tcPr>
          <w:p w14:paraId="6DDACCEC">
            <w:pPr>
              <w:adjustRightInd w:val="0"/>
              <w:snapToGrid w:val="0"/>
              <w:jc w:val="center"/>
              <w:rPr>
                <w:rFonts w:ascii="宋体" w:hAnsi="宋体" w:cs="宋体"/>
                <w:snapToGrid w:val="0"/>
                <w:kern w:val="21"/>
                <w:sz w:val="18"/>
                <w:szCs w:val="18"/>
              </w:rPr>
            </w:pPr>
          </w:p>
        </w:tc>
        <w:tc>
          <w:tcPr>
            <w:tcW w:w="663" w:type="dxa"/>
            <w:tcBorders>
              <w:top w:val="single" w:color="auto" w:sz="8" w:space="0"/>
              <w:bottom w:val="single" w:color="auto" w:sz="8" w:space="0"/>
            </w:tcBorders>
            <w:noWrap w:val="0"/>
            <w:vAlign w:val="center"/>
          </w:tcPr>
          <w:p w14:paraId="659AA228">
            <w:pPr>
              <w:adjustRightInd w:val="0"/>
              <w:snapToGrid w:val="0"/>
              <w:jc w:val="center"/>
              <w:rPr>
                <w:rFonts w:ascii="宋体" w:hAnsi="宋体" w:cs="宋体"/>
                <w:snapToGrid w:val="0"/>
                <w:kern w:val="21"/>
                <w:sz w:val="18"/>
                <w:szCs w:val="18"/>
              </w:rPr>
            </w:pPr>
          </w:p>
        </w:tc>
        <w:tc>
          <w:tcPr>
            <w:tcW w:w="3147" w:type="dxa"/>
            <w:tcBorders>
              <w:top w:val="single" w:color="auto" w:sz="8" w:space="0"/>
              <w:bottom w:val="single" w:color="auto" w:sz="8" w:space="0"/>
            </w:tcBorders>
            <w:noWrap w:val="0"/>
            <w:vAlign w:val="center"/>
          </w:tcPr>
          <w:p w14:paraId="4021B984">
            <w:pPr>
              <w:jc w:val="left"/>
              <w:rPr>
                <w:rFonts w:ascii="宋体" w:hAnsi="宋体"/>
                <w:sz w:val="18"/>
                <w:szCs w:val="18"/>
              </w:rPr>
            </w:pPr>
          </w:p>
        </w:tc>
        <w:tc>
          <w:tcPr>
            <w:tcW w:w="611" w:type="dxa"/>
            <w:tcBorders>
              <w:top w:val="single" w:color="auto" w:sz="8" w:space="0"/>
              <w:bottom w:val="single" w:color="auto" w:sz="8" w:space="0"/>
            </w:tcBorders>
            <w:noWrap w:val="0"/>
            <w:vAlign w:val="center"/>
          </w:tcPr>
          <w:p w14:paraId="1BA93CCF">
            <w:pPr>
              <w:adjustRightInd w:val="0"/>
              <w:snapToGrid w:val="0"/>
              <w:jc w:val="center"/>
              <w:rPr>
                <w:rFonts w:ascii="宋体" w:hAnsi="宋体" w:cs="宋体"/>
                <w:snapToGrid w:val="0"/>
                <w:kern w:val="21"/>
                <w:sz w:val="18"/>
                <w:szCs w:val="18"/>
              </w:rPr>
            </w:pPr>
          </w:p>
        </w:tc>
        <w:tc>
          <w:tcPr>
            <w:tcW w:w="1148" w:type="dxa"/>
            <w:tcBorders>
              <w:top w:val="single" w:color="auto" w:sz="8" w:space="0"/>
              <w:bottom w:val="single" w:color="auto" w:sz="8" w:space="0"/>
            </w:tcBorders>
            <w:noWrap w:val="0"/>
            <w:vAlign w:val="center"/>
          </w:tcPr>
          <w:p w14:paraId="274493B5">
            <w:pPr>
              <w:adjustRightInd w:val="0"/>
              <w:snapToGrid w:val="0"/>
              <w:jc w:val="center"/>
              <w:rPr>
                <w:rFonts w:ascii="宋体" w:hAnsi="宋体" w:cs="宋体"/>
                <w:snapToGrid w:val="0"/>
                <w:kern w:val="21"/>
                <w:sz w:val="18"/>
                <w:szCs w:val="18"/>
              </w:rPr>
            </w:pPr>
          </w:p>
        </w:tc>
        <w:tc>
          <w:tcPr>
            <w:tcW w:w="998" w:type="dxa"/>
            <w:tcBorders>
              <w:top w:val="single" w:color="auto" w:sz="8" w:space="0"/>
              <w:bottom w:val="single" w:color="auto" w:sz="8" w:space="0"/>
            </w:tcBorders>
            <w:noWrap w:val="0"/>
            <w:vAlign w:val="center"/>
          </w:tcPr>
          <w:p w14:paraId="486185BC">
            <w:pPr>
              <w:adjustRightInd w:val="0"/>
              <w:snapToGrid w:val="0"/>
              <w:jc w:val="left"/>
              <w:rPr>
                <w:rFonts w:ascii="宋体" w:hAnsi="宋体" w:cs="宋体"/>
                <w:sz w:val="18"/>
                <w:szCs w:val="18"/>
              </w:rPr>
            </w:pPr>
          </w:p>
        </w:tc>
      </w:tr>
      <w:tr w14:paraId="14ED5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shd w:val="clear"/>
            <w:noWrap w:val="0"/>
            <w:vAlign w:val="center"/>
          </w:tcPr>
          <w:p w14:paraId="06D8EA98">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sz w:val="18"/>
                <w:szCs w:val="18"/>
              </w:rPr>
              <w:t>1</w:t>
            </w:r>
            <w:r>
              <w:rPr>
                <w:rFonts w:hint="eastAsia" w:ascii="宋体" w:hAnsi="宋体"/>
                <w:sz w:val="18"/>
                <w:szCs w:val="18"/>
                <w:lang w:val="en-US" w:eastAsia="zh-CN"/>
              </w:rPr>
              <w:t>0</w:t>
            </w:r>
            <w:r>
              <w:rPr>
                <w:rFonts w:hint="eastAsia" w:ascii="宋体" w:hAnsi="宋体"/>
                <w:sz w:val="18"/>
                <w:szCs w:val="18"/>
              </w:rPr>
              <w:t>.2.5</w:t>
            </w:r>
          </w:p>
        </w:tc>
        <w:tc>
          <w:tcPr>
            <w:tcW w:w="6741" w:type="dxa"/>
            <w:tcBorders>
              <w:top w:val="single" w:color="auto" w:sz="8" w:space="0"/>
              <w:bottom w:val="single" w:color="auto" w:sz="8" w:space="0"/>
            </w:tcBorders>
            <w:shd w:val="clear"/>
            <w:noWrap w:val="0"/>
            <w:vAlign w:val="center"/>
          </w:tcPr>
          <w:p w14:paraId="771D2742">
            <w:pPr>
              <w:widowControl/>
              <w:tabs>
                <w:tab w:val="center" w:pos="4201"/>
                <w:tab w:val="right" w:leader="dot" w:pos="9298"/>
              </w:tabs>
              <w:autoSpaceDE w:val="0"/>
              <w:autoSpaceDN w:val="0"/>
              <w:adjustRightInd w:val="0"/>
              <w:snapToGrid w:val="0"/>
              <w:jc w:val="left"/>
              <w:rPr>
                <w:rFonts w:hint="eastAsia" w:ascii="宋体" w:hAnsi="宋体"/>
                <w:sz w:val="18"/>
                <w:szCs w:val="18"/>
              </w:rPr>
            </w:pPr>
            <w:r>
              <w:rPr>
                <w:rFonts w:hint="eastAsia" w:ascii="宋体" w:hAnsi="宋体"/>
                <w:sz w:val="18"/>
                <w:szCs w:val="18"/>
              </w:rPr>
              <w:t>有限空间作业应符合下列要求：</w:t>
            </w:r>
          </w:p>
          <w:p w14:paraId="29DCEE34">
            <w:pPr>
              <w:widowControl/>
              <w:tabs>
                <w:tab w:val="center" w:pos="4201"/>
                <w:tab w:val="right" w:leader="dot" w:pos="9298"/>
              </w:tabs>
              <w:autoSpaceDE w:val="0"/>
              <w:autoSpaceDN w:val="0"/>
              <w:adjustRightInd w:val="0"/>
              <w:snapToGrid w:val="0"/>
              <w:ind w:right="0"/>
              <w:jc w:val="left"/>
              <w:rPr>
                <w:rFonts w:hint="eastAsia" w:ascii="宋体" w:hAnsi="宋体" w:eastAsia="宋体"/>
                <w:sz w:val="18"/>
                <w:szCs w:val="18"/>
                <w:lang w:eastAsia="zh-CN"/>
              </w:rPr>
            </w:pPr>
            <w:r>
              <w:rPr>
                <w:rFonts w:hint="eastAsia" w:ascii="宋体" w:hAnsi="宋体"/>
                <w:sz w:val="18"/>
                <w:szCs w:val="18"/>
              </w:rPr>
              <w:t>★a）应对有限空间进行辨识，建立有限空间管理台账，并及时更新</w:t>
            </w:r>
            <w:r>
              <w:rPr>
                <w:rFonts w:hint="eastAsia" w:ascii="宋体" w:hAnsi="宋体"/>
                <w:sz w:val="18"/>
                <w:szCs w:val="18"/>
                <w:lang w:eastAsia="zh-CN"/>
              </w:rPr>
              <w:t>；</w:t>
            </w:r>
          </w:p>
          <w:p w14:paraId="6D17DFA4">
            <w:pPr>
              <w:widowControl/>
              <w:tabs>
                <w:tab w:val="center" w:pos="4201"/>
                <w:tab w:val="right" w:leader="dot" w:pos="9298"/>
              </w:tabs>
              <w:autoSpaceDE w:val="0"/>
              <w:autoSpaceDN w:val="0"/>
              <w:adjustRightInd w:val="0"/>
              <w:snapToGrid w:val="0"/>
              <w:ind w:right="0"/>
              <w:jc w:val="left"/>
              <w:rPr>
                <w:rFonts w:hint="eastAsia" w:ascii="宋体" w:hAnsi="宋体"/>
                <w:sz w:val="18"/>
                <w:szCs w:val="18"/>
                <w:lang w:eastAsia="zh-CN"/>
              </w:rPr>
            </w:pPr>
            <w:r>
              <w:rPr>
                <w:rFonts w:hint="eastAsia" w:ascii="宋体" w:hAnsi="宋体"/>
                <w:sz w:val="18"/>
                <w:szCs w:val="18"/>
                <w:lang w:val="en-US" w:eastAsia="zh-CN"/>
              </w:rPr>
              <w:t>b</w:t>
            </w:r>
            <w:r>
              <w:rPr>
                <w:rFonts w:hint="eastAsia" w:ascii="宋体" w:hAnsi="宋体"/>
                <w:sz w:val="18"/>
                <w:szCs w:val="18"/>
              </w:rPr>
              <w:t>）有限空间管理台账应包括有限空间位置、名称、主要危险有害因素、可能事故后果、防护要求、作业形式、审批责任人和现场责任人等基本情况</w:t>
            </w:r>
            <w:r>
              <w:rPr>
                <w:rFonts w:hint="eastAsia" w:ascii="宋体" w:hAnsi="宋体"/>
                <w:sz w:val="18"/>
                <w:szCs w:val="18"/>
                <w:lang w:eastAsia="zh-CN"/>
              </w:rPr>
              <w:t>；</w:t>
            </w:r>
          </w:p>
          <w:p w14:paraId="5D9465C4">
            <w:pPr>
              <w:widowControl/>
              <w:tabs>
                <w:tab w:val="center" w:pos="4201"/>
                <w:tab w:val="right" w:leader="dot" w:pos="9298"/>
              </w:tabs>
              <w:autoSpaceDE w:val="0"/>
              <w:autoSpaceDN w:val="0"/>
              <w:adjustRightInd w:val="0"/>
              <w:snapToGrid w:val="0"/>
              <w:ind w:right="0"/>
              <w:jc w:val="left"/>
              <w:rPr>
                <w:rFonts w:hint="eastAsia" w:ascii="宋体" w:hAnsi="宋体"/>
                <w:sz w:val="18"/>
                <w:szCs w:val="18"/>
                <w:lang w:eastAsia="zh-CN"/>
              </w:rPr>
            </w:pPr>
            <w:r>
              <w:rPr>
                <w:rFonts w:hint="eastAsia" w:ascii="宋体" w:hAnsi="宋体"/>
                <w:sz w:val="18"/>
                <w:szCs w:val="18"/>
                <w:lang w:val="en-US" w:eastAsia="zh-CN"/>
              </w:rPr>
              <w:t>c</w:t>
            </w:r>
            <w:r>
              <w:rPr>
                <w:rFonts w:hint="eastAsia" w:ascii="宋体" w:hAnsi="宋体"/>
                <w:sz w:val="18"/>
                <w:szCs w:val="18"/>
              </w:rPr>
              <w:t>）应在有限空间出入口等醒目位置设置安全警示标志，并在具备条件的场所设置安全风险告知牌</w:t>
            </w:r>
            <w:r>
              <w:rPr>
                <w:rFonts w:hint="eastAsia" w:ascii="宋体" w:hAnsi="宋体"/>
                <w:sz w:val="18"/>
                <w:szCs w:val="18"/>
                <w:lang w:eastAsia="zh-CN"/>
              </w:rPr>
              <w:t>；</w:t>
            </w:r>
          </w:p>
          <w:p w14:paraId="2B7B1004">
            <w:pPr>
              <w:widowControl/>
              <w:tabs>
                <w:tab w:val="center" w:pos="4201"/>
                <w:tab w:val="right" w:leader="dot" w:pos="9298"/>
              </w:tabs>
              <w:autoSpaceDE w:val="0"/>
              <w:autoSpaceDN w:val="0"/>
              <w:adjustRightInd w:val="0"/>
              <w:snapToGrid w:val="0"/>
              <w:ind w:right="0"/>
              <w:jc w:val="left"/>
              <w:rPr>
                <w:rFonts w:hint="eastAsia" w:ascii="宋体" w:hAnsi="宋体"/>
                <w:sz w:val="18"/>
                <w:szCs w:val="18"/>
              </w:rPr>
            </w:pPr>
            <w:r>
              <w:rPr>
                <w:rFonts w:hint="eastAsia" w:ascii="宋体" w:hAnsi="宋体"/>
                <w:sz w:val="18"/>
                <w:szCs w:val="18"/>
                <w:lang w:val="en-US" w:eastAsia="zh-CN"/>
              </w:rPr>
              <w:t>d</w:t>
            </w:r>
            <w:r>
              <w:rPr>
                <w:rFonts w:hint="eastAsia" w:ascii="宋体" w:hAnsi="宋体"/>
                <w:sz w:val="18"/>
                <w:szCs w:val="18"/>
              </w:rPr>
              <w:t>）存在有限空间的</w:t>
            </w:r>
            <w:r>
              <w:rPr>
                <w:rFonts w:hint="eastAsia" w:ascii="宋体" w:hAnsi="宋体"/>
                <w:sz w:val="18"/>
                <w:szCs w:val="18"/>
                <w:lang w:eastAsia="zh-CN"/>
              </w:rPr>
              <w:t>景区</w:t>
            </w:r>
            <w:r>
              <w:rPr>
                <w:rFonts w:hint="eastAsia" w:ascii="宋体" w:hAnsi="宋体"/>
                <w:sz w:val="18"/>
                <w:szCs w:val="18"/>
              </w:rPr>
              <w:t>应每年至少组织一次，对其作业安全管理人员、审批人、作业负责人、监护人、作业人员和应急救援人员等进行有限空间作业安全专项培训；</w:t>
            </w:r>
          </w:p>
          <w:p w14:paraId="27B47958">
            <w:pPr>
              <w:widowControl/>
              <w:tabs>
                <w:tab w:val="center" w:pos="4201"/>
                <w:tab w:val="right" w:leader="dot" w:pos="9298"/>
              </w:tabs>
              <w:autoSpaceDE w:val="0"/>
              <w:autoSpaceDN w:val="0"/>
              <w:adjustRightInd w:val="0"/>
              <w:snapToGrid w:val="0"/>
              <w:ind w:right="0"/>
              <w:jc w:val="left"/>
              <w:rPr>
                <w:rFonts w:hint="eastAsia" w:ascii="宋体" w:hAnsi="宋体"/>
                <w:sz w:val="18"/>
                <w:szCs w:val="18"/>
                <w:lang w:eastAsia="zh-CN"/>
              </w:rPr>
            </w:pPr>
            <w:r>
              <w:rPr>
                <w:rFonts w:hint="eastAsia" w:ascii="宋体" w:hAnsi="宋体"/>
                <w:sz w:val="18"/>
                <w:szCs w:val="18"/>
              </w:rPr>
              <w:t>★</w:t>
            </w:r>
            <w:r>
              <w:rPr>
                <w:rFonts w:hint="eastAsia" w:ascii="宋体" w:hAnsi="宋体"/>
                <w:sz w:val="18"/>
                <w:szCs w:val="18"/>
                <w:lang w:val="en-US" w:eastAsia="zh-CN"/>
              </w:rPr>
              <w:t>e</w:t>
            </w:r>
            <w:r>
              <w:rPr>
                <w:rFonts w:hint="eastAsia" w:ascii="宋体" w:hAnsi="宋体"/>
                <w:sz w:val="18"/>
                <w:szCs w:val="18"/>
              </w:rPr>
              <w:t>）从事地下有限空间作业的，监护者应按照有关规定，经培训考核合格，取得相应的资格证书</w:t>
            </w:r>
            <w:r>
              <w:rPr>
                <w:rFonts w:hint="eastAsia" w:ascii="宋体" w:hAnsi="宋体"/>
                <w:sz w:val="18"/>
                <w:szCs w:val="18"/>
                <w:lang w:eastAsia="zh-CN"/>
              </w:rPr>
              <w:t>；</w:t>
            </w:r>
          </w:p>
          <w:p w14:paraId="54140C62">
            <w:pPr>
              <w:widowControl/>
              <w:tabs>
                <w:tab w:val="center" w:pos="4201"/>
                <w:tab w:val="right" w:leader="dot" w:pos="9298"/>
              </w:tabs>
              <w:autoSpaceDE w:val="0"/>
              <w:autoSpaceDN w:val="0"/>
              <w:adjustRightInd w:val="0"/>
              <w:snapToGrid w:val="0"/>
              <w:ind w:right="0"/>
              <w:jc w:val="left"/>
              <w:rPr>
                <w:rFonts w:hint="eastAsia" w:ascii="宋体" w:hAnsi="宋体" w:eastAsia="宋体"/>
                <w:sz w:val="18"/>
                <w:szCs w:val="18"/>
                <w:lang w:eastAsia="zh-CN"/>
              </w:rPr>
            </w:pPr>
            <w:r>
              <w:rPr>
                <w:rFonts w:hint="eastAsia" w:ascii="宋体" w:hAnsi="宋体"/>
                <w:sz w:val="18"/>
                <w:szCs w:val="18"/>
              </w:rPr>
              <w:t>★</w:t>
            </w:r>
            <w:r>
              <w:rPr>
                <w:rFonts w:hint="eastAsia" w:ascii="宋体" w:hAnsi="宋体"/>
                <w:sz w:val="18"/>
                <w:szCs w:val="18"/>
                <w:lang w:val="en-US" w:eastAsia="zh-CN"/>
              </w:rPr>
              <w:t>f</w:t>
            </w:r>
            <w:r>
              <w:rPr>
                <w:rFonts w:hint="eastAsia" w:ascii="宋体" w:hAnsi="宋体"/>
                <w:sz w:val="18"/>
                <w:szCs w:val="18"/>
              </w:rPr>
              <w:t>）应根据有限空间作业安全风险大小，明确审批要求，对于存在硫化氢、一氧化碳、二氧化碳等中毒和窒息等风险的有限空间作业，</w:t>
            </w:r>
            <w:r>
              <w:rPr>
                <w:rFonts w:hint="eastAsia" w:ascii="宋体" w:hAnsi="宋体"/>
                <w:sz w:val="18"/>
                <w:szCs w:val="18"/>
                <w:lang w:val="en-US" w:eastAsia="zh-CN"/>
              </w:rPr>
              <w:t>应由</w:t>
            </w:r>
            <w:r>
              <w:rPr>
                <w:rFonts w:hint="eastAsia" w:ascii="宋体" w:hAnsi="宋体"/>
                <w:sz w:val="18"/>
                <w:szCs w:val="18"/>
                <w:lang w:eastAsia="zh-CN"/>
              </w:rPr>
              <w:t>景区</w:t>
            </w:r>
            <w:r>
              <w:rPr>
                <w:rFonts w:hint="eastAsia" w:ascii="宋体" w:hAnsi="宋体"/>
                <w:sz w:val="18"/>
                <w:szCs w:val="18"/>
              </w:rPr>
              <w:t>主要负责人或者其书面委托的人员应进行审批，委托进行审批的，相关责任仍由</w:t>
            </w:r>
            <w:r>
              <w:rPr>
                <w:rFonts w:hint="eastAsia" w:ascii="宋体" w:hAnsi="宋体"/>
                <w:sz w:val="18"/>
                <w:szCs w:val="18"/>
                <w:lang w:eastAsia="zh-CN"/>
              </w:rPr>
              <w:t>景区</w:t>
            </w:r>
            <w:r>
              <w:rPr>
                <w:rFonts w:hint="eastAsia" w:ascii="宋体" w:hAnsi="宋体"/>
                <w:sz w:val="18"/>
                <w:szCs w:val="18"/>
              </w:rPr>
              <w:t>主要负责人承担。未经</w:t>
            </w:r>
            <w:r>
              <w:rPr>
                <w:rFonts w:hint="eastAsia" w:ascii="宋体" w:hAnsi="宋体"/>
                <w:sz w:val="18"/>
                <w:szCs w:val="18"/>
                <w:lang w:eastAsia="zh-CN"/>
              </w:rPr>
              <w:t>景区</w:t>
            </w:r>
            <w:r>
              <w:rPr>
                <w:rFonts w:hint="eastAsia" w:ascii="宋体" w:hAnsi="宋体"/>
                <w:sz w:val="18"/>
                <w:szCs w:val="18"/>
              </w:rPr>
              <w:t>确定的作业审批人批准，不</w:t>
            </w:r>
            <w:r>
              <w:rPr>
                <w:rFonts w:hint="eastAsia" w:ascii="宋体" w:hAnsi="宋体"/>
                <w:sz w:val="18"/>
                <w:szCs w:val="18"/>
                <w:lang w:val="en-US" w:eastAsia="zh-CN"/>
              </w:rPr>
              <w:t>应</w:t>
            </w:r>
            <w:r>
              <w:rPr>
                <w:rFonts w:hint="eastAsia" w:ascii="宋体" w:hAnsi="宋体"/>
                <w:sz w:val="18"/>
                <w:szCs w:val="18"/>
              </w:rPr>
              <w:t>实施有限空间作业</w:t>
            </w:r>
            <w:r>
              <w:rPr>
                <w:rFonts w:hint="eastAsia" w:ascii="宋体" w:hAnsi="宋体"/>
                <w:sz w:val="18"/>
                <w:szCs w:val="18"/>
                <w:lang w:eastAsia="zh-CN"/>
              </w:rPr>
              <w:t>；</w:t>
            </w:r>
          </w:p>
          <w:p w14:paraId="400B7520">
            <w:pPr>
              <w:widowControl/>
              <w:tabs>
                <w:tab w:val="center" w:pos="4201"/>
                <w:tab w:val="right" w:leader="dot" w:pos="9298"/>
              </w:tabs>
              <w:autoSpaceDE w:val="0"/>
              <w:autoSpaceDN w:val="0"/>
              <w:adjustRightInd w:val="0"/>
              <w:snapToGrid w:val="0"/>
              <w:ind w:right="0"/>
              <w:jc w:val="left"/>
              <w:rPr>
                <w:rFonts w:hint="eastAsia" w:ascii="宋体" w:hAnsi="宋体" w:eastAsia="宋体"/>
                <w:sz w:val="18"/>
                <w:szCs w:val="18"/>
                <w:lang w:eastAsia="zh-CN"/>
              </w:rPr>
            </w:pPr>
            <w:r>
              <w:rPr>
                <w:rFonts w:hint="eastAsia" w:ascii="宋体" w:hAnsi="宋体"/>
                <w:sz w:val="18"/>
                <w:szCs w:val="18"/>
                <w:lang w:val="en-US" w:eastAsia="zh-CN"/>
              </w:rPr>
              <w:t>g</w:t>
            </w:r>
            <w:r>
              <w:rPr>
                <w:rFonts w:hint="eastAsia" w:ascii="宋体" w:hAnsi="宋体"/>
                <w:sz w:val="18"/>
                <w:szCs w:val="18"/>
              </w:rPr>
              <w:t>）有限空间作业审批表应至少包括有限空间名称、作业单位名称、作业内容、作业时间、可能存在的危险有害因素、作业相关人员、主要安全防护措施、作业负责人意见及签字项、审批责任人意见及签字项等内容</w:t>
            </w:r>
            <w:r>
              <w:rPr>
                <w:rFonts w:hint="eastAsia" w:ascii="宋体" w:hAnsi="宋体"/>
                <w:sz w:val="18"/>
                <w:szCs w:val="18"/>
                <w:lang w:eastAsia="zh-CN"/>
              </w:rPr>
              <w:t>；</w:t>
            </w:r>
          </w:p>
          <w:p w14:paraId="08788EA0">
            <w:pPr>
              <w:widowControl/>
              <w:tabs>
                <w:tab w:val="center" w:pos="4201"/>
                <w:tab w:val="right" w:leader="dot" w:pos="9298"/>
              </w:tabs>
              <w:autoSpaceDE w:val="0"/>
              <w:autoSpaceDN w:val="0"/>
              <w:adjustRightInd w:val="0"/>
              <w:snapToGrid w:val="0"/>
              <w:ind w:right="0"/>
              <w:jc w:val="left"/>
              <w:rPr>
                <w:rFonts w:hint="eastAsia" w:ascii="宋体" w:hAnsi="宋体"/>
                <w:sz w:val="18"/>
                <w:szCs w:val="18"/>
              </w:rPr>
            </w:pPr>
            <w:r>
              <w:rPr>
                <w:rFonts w:hint="eastAsia" w:ascii="宋体" w:hAnsi="宋体"/>
                <w:sz w:val="18"/>
                <w:szCs w:val="18"/>
                <w:lang w:val="en-US" w:eastAsia="zh-CN"/>
              </w:rPr>
              <w:t>h</w:t>
            </w:r>
            <w:r>
              <w:rPr>
                <w:rFonts w:hint="eastAsia" w:ascii="宋体" w:hAnsi="宋体"/>
                <w:sz w:val="18"/>
                <w:szCs w:val="18"/>
              </w:rPr>
              <w:t>）实施有限空间作业前，作业单位应对作业环境及作业过程进行风险评估，分析可能存在的危险有害因素，提出消除、控制危害的措施，制定作业方案</w:t>
            </w:r>
            <w:r>
              <w:rPr>
                <w:rFonts w:hint="eastAsia" w:ascii="宋体" w:hAnsi="宋体"/>
                <w:sz w:val="18"/>
                <w:szCs w:val="18"/>
                <w:lang w:eastAsia="zh-CN"/>
              </w:rPr>
              <w:t>，</w:t>
            </w:r>
            <w:r>
              <w:rPr>
                <w:rFonts w:hint="eastAsia" w:ascii="宋体" w:hAnsi="宋体"/>
                <w:sz w:val="18"/>
                <w:szCs w:val="18"/>
                <w:lang w:val="en-US" w:eastAsia="zh-CN"/>
              </w:rPr>
              <w:t>并经作业审批人批准；</w:t>
            </w:r>
          </w:p>
          <w:p w14:paraId="057EAB52">
            <w:pPr>
              <w:widowControl/>
              <w:tabs>
                <w:tab w:val="center" w:pos="4201"/>
                <w:tab w:val="right" w:leader="dot" w:pos="9298"/>
              </w:tabs>
              <w:autoSpaceDE w:val="0"/>
              <w:autoSpaceDN w:val="0"/>
              <w:adjustRightInd w:val="0"/>
              <w:snapToGrid w:val="0"/>
              <w:ind w:right="0" w:rightChars="0"/>
              <w:jc w:val="left"/>
              <w:rPr>
                <w:rFonts w:hint="eastAsia" w:ascii="宋体" w:hAnsi="宋体"/>
                <w:sz w:val="18"/>
                <w:szCs w:val="18"/>
              </w:rPr>
            </w:pPr>
            <w:r>
              <w:rPr>
                <w:rFonts w:hint="eastAsia" w:ascii="宋体" w:hAnsi="宋体"/>
                <w:sz w:val="18"/>
                <w:szCs w:val="18"/>
                <w:lang w:val="en-US" w:eastAsia="zh-CN"/>
              </w:rPr>
              <w:t>i</w:t>
            </w:r>
            <w:r>
              <w:rPr>
                <w:rFonts w:hint="eastAsia" w:ascii="宋体" w:hAnsi="宋体"/>
                <w:sz w:val="18"/>
                <w:szCs w:val="18"/>
              </w:rPr>
              <w:t>）审批时应对作业人员资</w:t>
            </w:r>
            <w:r>
              <w:rPr>
                <w:rFonts w:hint="eastAsia" w:ascii="宋体" w:hAnsi="宋体"/>
                <w:sz w:val="18"/>
                <w:szCs w:val="18"/>
                <w:lang w:val="en-US" w:eastAsia="zh-CN"/>
              </w:rPr>
              <w:t>格</w:t>
            </w:r>
            <w:r>
              <w:rPr>
                <w:rFonts w:hint="eastAsia" w:ascii="宋体" w:hAnsi="宋体"/>
                <w:sz w:val="18"/>
                <w:szCs w:val="18"/>
              </w:rPr>
              <w:t>、方案内的作业程序、作业位置、检测仪器、现场专用防护用具和电气照明、现场通风、现场警戒、应急</w:t>
            </w:r>
            <w:r>
              <w:rPr>
                <w:rFonts w:hint="eastAsia" w:ascii="宋体" w:hAnsi="宋体"/>
                <w:sz w:val="18"/>
                <w:szCs w:val="18"/>
                <w:lang w:val="en-US" w:eastAsia="zh-CN"/>
              </w:rPr>
              <w:t>处置</w:t>
            </w:r>
            <w:r>
              <w:rPr>
                <w:rFonts w:hint="eastAsia" w:ascii="宋体" w:hAnsi="宋体"/>
                <w:sz w:val="18"/>
                <w:szCs w:val="18"/>
              </w:rPr>
              <w:t>等相关内容进行审核；</w:t>
            </w:r>
          </w:p>
          <w:p w14:paraId="584C930F">
            <w:pPr>
              <w:widowControl/>
              <w:tabs>
                <w:tab w:val="center" w:pos="4201"/>
                <w:tab w:val="right" w:leader="dot" w:pos="9298"/>
              </w:tabs>
              <w:autoSpaceDE w:val="0"/>
              <w:autoSpaceDN w:val="0"/>
              <w:adjustRightInd w:val="0"/>
              <w:snapToGrid w:val="0"/>
              <w:ind w:right="0"/>
              <w:jc w:val="left"/>
              <w:rPr>
                <w:rFonts w:hint="eastAsia" w:ascii="宋体" w:hAnsi="宋体"/>
                <w:sz w:val="18"/>
                <w:szCs w:val="18"/>
                <w:lang w:val="en-US" w:eastAsia="zh-CN"/>
              </w:rPr>
            </w:pPr>
            <w:r>
              <w:rPr>
                <w:rFonts w:hint="eastAsia" w:ascii="宋体" w:hAnsi="宋体"/>
                <w:sz w:val="18"/>
                <w:szCs w:val="18"/>
                <w:lang w:val="en-US" w:eastAsia="zh-CN"/>
              </w:rPr>
              <w:t>j</w:t>
            </w:r>
            <w:r>
              <w:rPr>
                <w:rFonts w:hint="eastAsia" w:ascii="宋体" w:hAnsi="宋体"/>
                <w:sz w:val="18"/>
                <w:szCs w:val="18"/>
              </w:rPr>
              <w:t>）应建立并保存作业记录，包括作业前清点所有现场人员及所带物品情况，作业前氧气、可燃性气体、有毒有害气体检测以及通风情况，作业中检测情况，作业后清点人数情况等</w:t>
            </w:r>
            <w:r>
              <w:rPr>
                <w:rFonts w:hint="eastAsia" w:ascii="宋体" w:hAnsi="宋体"/>
                <w:sz w:val="18"/>
                <w:szCs w:val="18"/>
                <w:lang w:eastAsia="zh-CN"/>
              </w:rPr>
              <w:t>；</w:t>
            </w:r>
          </w:p>
        </w:tc>
        <w:tc>
          <w:tcPr>
            <w:tcW w:w="612" w:type="dxa"/>
            <w:tcBorders>
              <w:top w:val="single" w:color="auto" w:sz="8" w:space="0"/>
              <w:bottom w:val="single" w:color="auto" w:sz="8" w:space="0"/>
            </w:tcBorders>
            <w:shd w:val="clear"/>
            <w:noWrap w:val="0"/>
            <w:vAlign w:val="center"/>
          </w:tcPr>
          <w:p w14:paraId="422ADEFA">
            <w:pPr>
              <w:adjustRightInd w:val="0"/>
              <w:snapToGrid w:val="0"/>
              <w:jc w:val="center"/>
              <w:rPr>
                <w:rFonts w:ascii="宋体" w:hAnsi="宋体" w:eastAsia="宋体" w:cs="宋体"/>
                <w:snapToGrid w:val="0"/>
                <w:kern w:val="21"/>
                <w:sz w:val="18"/>
                <w:szCs w:val="18"/>
                <w:lang w:val="en-US" w:eastAsia="zh-CN" w:bidi="ar-SA"/>
              </w:rPr>
            </w:pPr>
          </w:p>
        </w:tc>
        <w:tc>
          <w:tcPr>
            <w:tcW w:w="612" w:type="dxa"/>
            <w:tcBorders>
              <w:top w:val="single" w:color="auto" w:sz="8" w:space="0"/>
              <w:bottom w:val="single" w:color="auto" w:sz="8" w:space="0"/>
            </w:tcBorders>
            <w:shd w:val="clear"/>
            <w:noWrap w:val="0"/>
            <w:vAlign w:val="center"/>
          </w:tcPr>
          <w:p w14:paraId="4DA0A56D">
            <w:pPr>
              <w:adjustRightInd w:val="0"/>
              <w:snapToGrid w:val="0"/>
              <w:jc w:val="center"/>
              <w:rPr>
                <w:rFonts w:ascii="宋体" w:hAnsi="宋体" w:eastAsia="宋体" w:cs="宋体"/>
                <w:snapToGrid w:val="0"/>
                <w:kern w:val="21"/>
                <w:sz w:val="18"/>
                <w:szCs w:val="18"/>
                <w:lang w:val="en-US" w:eastAsia="zh-CN" w:bidi="ar-SA"/>
              </w:rPr>
            </w:pPr>
          </w:p>
        </w:tc>
        <w:tc>
          <w:tcPr>
            <w:tcW w:w="663" w:type="dxa"/>
            <w:tcBorders>
              <w:top w:val="single" w:color="auto" w:sz="8" w:space="0"/>
              <w:bottom w:val="single" w:color="auto" w:sz="8" w:space="0"/>
            </w:tcBorders>
            <w:shd w:val="clear"/>
            <w:noWrap w:val="0"/>
            <w:vAlign w:val="center"/>
          </w:tcPr>
          <w:p w14:paraId="2C333797">
            <w:pPr>
              <w:adjustRightInd w:val="0"/>
              <w:snapToGrid w:val="0"/>
              <w:jc w:val="center"/>
              <w:rPr>
                <w:rFonts w:hint="eastAsia" w:ascii="宋体" w:hAnsi="宋体" w:eastAsia="宋体" w:cs="宋体"/>
                <w:snapToGrid w:val="0"/>
                <w:kern w:val="21"/>
                <w:sz w:val="18"/>
                <w:szCs w:val="18"/>
                <w:lang w:val="en-US" w:eastAsia="zh-CN" w:bidi="ar-SA"/>
              </w:rPr>
            </w:pPr>
            <w:r>
              <w:rPr>
                <w:rFonts w:hint="eastAsia" w:ascii="宋体" w:hAnsi="宋体" w:cs="宋体"/>
                <w:snapToGrid w:val="0"/>
                <w:kern w:val="21"/>
                <w:sz w:val="18"/>
                <w:szCs w:val="18"/>
              </w:rPr>
              <w:t>5</w:t>
            </w:r>
          </w:p>
        </w:tc>
        <w:tc>
          <w:tcPr>
            <w:tcW w:w="3147" w:type="dxa"/>
            <w:tcBorders>
              <w:top w:val="single" w:color="auto" w:sz="8" w:space="0"/>
              <w:bottom w:val="single" w:color="auto" w:sz="8" w:space="0"/>
            </w:tcBorders>
            <w:shd w:val="clear"/>
            <w:noWrap w:val="0"/>
            <w:vAlign w:val="center"/>
          </w:tcPr>
          <w:p w14:paraId="3168DBA2">
            <w:pPr>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1）</w:t>
            </w:r>
            <w:r>
              <w:rPr>
                <w:rFonts w:hint="eastAsia" w:ascii="宋体" w:hAnsi="宋体"/>
                <w:sz w:val="18"/>
                <w:szCs w:val="18"/>
              </w:rPr>
              <w:t>未</w:t>
            </w:r>
            <w:r>
              <w:rPr>
                <w:rFonts w:hint="eastAsia" w:ascii="宋体" w:hAnsi="宋体"/>
                <w:sz w:val="18"/>
                <w:szCs w:val="18"/>
                <w:lang w:val="en-US" w:eastAsia="zh-CN"/>
              </w:rPr>
              <w:t>建立有限空间管理台账且未设置安全警示标识的，“操作人员行为规范”评定要素不得分；</w:t>
            </w:r>
          </w:p>
          <w:p w14:paraId="56393C41">
            <w:pPr>
              <w:adjustRightInd w:val="0"/>
              <w:snapToGrid w:val="0"/>
              <w:jc w:val="left"/>
              <w:rPr>
                <w:rFonts w:hint="eastAsia" w:ascii="宋体" w:hAnsi="宋体"/>
                <w:sz w:val="18"/>
                <w:szCs w:val="18"/>
              </w:rPr>
            </w:pPr>
            <w:r>
              <w:rPr>
                <w:rFonts w:hint="eastAsia" w:ascii="宋体" w:hAnsi="宋体"/>
                <w:sz w:val="18"/>
                <w:szCs w:val="18"/>
                <w:lang w:val="en-US" w:eastAsia="zh-CN"/>
              </w:rPr>
              <w:t>2）有限空间作业未按照规定进行</w:t>
            </w:r>
            <w:r>
              <w:rPr>
                <w:rFonts w:hint="eastAsia" w:ascii="宋体" w:hAnsi="宋体"/>
                <w:sz w:val="18"/>
                <w:szCs w:val="18"/>
              </w:rPr>
              <w:t>审批</w:t>
            </w:r>
            <w:r>
              <w:rPr>
                <w:rFonts w:hint="eastAsia" w:ascii="宋体" w:hAnsi="宋体"/>
                <w:sz w:val="18"/>
                <w:szCs w:val="18"/>
                <w:lang w:eastAsia="zh-CN"/>
              </w:rPr>
              <w:t>、</w:t>
            </w:r>
            <w:r>
              <w:rPr>
                <w:rFonts w:hint="eastAsia" w:ascii="宋体" w:hAnsi="宋体"/>
                <w:sz w:val="18"/>
                <w:szCs w:val="18"/>
                <w:lang w:val="en-US" w:eastAsia="zh-CN"/>
              </w:rPr>
              <w:t>未设置监护人的</w:t>
            </w:r>
            <w:r>
              <w:rPr>
                <w:rFonts w:hint="eastAsia" w:ascii="宋体" w:hAnsi="宋体"/>
                <w:sz w:val="18"/>
                <w:szCs w:val="18"/>
              </w:rPr>
              <w:t>，</w:t>
            </w:r>
            <w:r>
              <w:rPr>
                <w:rFonts w:hint="eastAsia" w:ascii="宋体" w:hAnsi="宋体"/>
                <w:sz w:val="18"/>
                <w:szCs w:val="18"/>
                <w:lang w:val="en-US" w:eastAsia="zh-CN"/>
              </w:rPr>
              <w:t>“操作人员行为规范”评定要素不得分</w:t>
            </w:r>
            <w:r>
              <w:rPr>
                <w:rFonts w:hint="eastAsia" w:ascii="宋体" w:hAnsi="宋体"/>
                <w:sz w:val="18"/>
                <w:szCs w:val="18"/>
              </w:rPr>
              <w:t>；</w:t>
            </w:r>
          </w:p>
          <w:p w14:paraId="3DBF1C26">
            <w:pPr>
              <w:adjustRightInd w:val="0"/>
              <w:snapToGrid w:val="0"/>
              <w:jc w:val="left"/>
              <w:rPr>
                <w:rFonts w:hint="eastAsia" w:ascii="宋体" w:hAnsi="宋体"/>
                <w:sz w:val="18"/>
                <w:szCs w:val="18"/>
              </w:rPr>
            </w:pPr>
            <w:r>
              <w:rPr>
                <w:rFonts w:hint="eastAsia" w:ascii="宋体" w:hAnsi="宋体"/>
                <w:sz w:val="18"/>
                <w:szCs w:val="18"/>
                <w:lang w:val="en-US" w:eastAsia="zh-CN"/>
              </w:rPr>
              <w:t>3）</w:t>
            </w:r>
            <w:r>
              <w:rPr>
                <w:rFonts w:hint="eastAsia" w:ascii="宋体" w:hAnsi="宋体"/>
                <w:sz w:val="18"/>
                <w:szCs w:val="18"/>
              </w:rPr>
              <w:t>作业过程</w:t>
            </w:r>
            <w:r>
              <w:rPr>
                <w:rFonts w:hint="eastAsia" w:ascii="宋体" w:hAnsi="宋体"/>
                <w:sz w:val="18"/>
                <w:szCs w:val="18"/>
                <w:lang w:val="en-US" w:eastAsia="zh-CN"/>
              </w:rPr>
              <w:t>未</w:t>
            </w:r>
            <w:r>
              <w:rPr>
                <w:rFonts w:hint="eastAsia" w:ascii="宋体" w:hAnsi="宋体"/>
                <w:sz w:val="18"/>
                <w:szCs w:val="18"/>
              </w:rPr>
              <w:t>执行“先通风、再检测、后作业”要求</w:t>
            </w:r>
            <w:r>
              <w:rPr>
                <w:rFonts w:hint="eastAsia" w:ascii="宋体" w:hAnsi="宋体"/>
                <w:sz w:val="18"/>
                <w:szCs w:val="18"/>
                <w:lang w:eastAsia="zh-CN"/>
              </w:rPr>
              <w:t>，</w:t>
            </w:r>
            <w:r>
              <w:rPr>
                <w:rFonts w:hint="eastAsia" w:ascii="宋体" w:hAnsi="宋体"/>
                <w:sz w:val="18"/>
                <w:szCs w:val="18"/>
                <w:lang w:val="en-US" w:eastAsia="zh-CN"/>
              </w:rPr>
              <w:t>“操作人员行为规范”评定要素不得分</w:t>
            </w:r>
            <w:r>
              <w:rPr>
                <w:rFonts w:hint="eastAsia" w:ascii="宋体" w:hAnsi="宋体"/>
                <w:sz w:val="18"/>
                <w:szCs w:val="18"/>
              </w:rPr>
              <w:t>；</w:t>
            </w:r>
          </w:p>
          <w:p w14:paraId="5B6D0037">
            <w:pPr>
              <w:adjustRightInd w:val="0"/>
              <w:snapToGrid w:val="0"/>
              <w:jc w:val="left"/>
              <w:rPr>
                <w:rFonts w:hint="eastAsia" w:ascii="宋体" w:hAnsi="宋体"/>
                <w:sz w:val="18"/>
                <w:szCs w:val="18"/>
              </w:rPr>
            </w:pPr>
            <w:r>
              <w:rPr>
                <w:rFonts w:hint="eastAsia" w:ascii="宋体" w:hAnsi="宋体"/>
                <w:sz w:val="18"/>
                <w:szCs w:val="18"/>
                <w:lang w:val="en-US" w:eastAsia="zh-CN"/>
              </w:rPr>
              <w:t>4</w:t>
            </w:r>
            <w:r>
              <w:rPr>
                <w:rFonts w:hint="eastAsia" w:ascii="宋体" w:hAnsi="宋体"/>
                <w:sz w:val="18"/>
                <w:szCs w:val="18"/>
              </w:rPr>
              <w:t>）作业前未制定作业方案的，</w:t>
            </w:r>
            <w:r>
              <w:rPr>
                <w:rFonts w:hint="eastAsia" w:ascii="宋体" w:hAnsi="宋体"/>
                <w:sz w:val="18"/>
                <w:szCs w:val="18"/>
                <w:lang w:val="en-US" w:eastAsia="zh-CN"/>
              </w:rPr>
              <w:t>不得分</w:t>
            </w:r>
            <w:r>
              <w:rPr>
                <w:rFonts w:hint="eastAsia" w:ascii="宋体" w:hAnsi="宋体"/>
                <w:sz w:val="18"/>
                <w:szCs w:val="18"/>
              </w:rPr>
              <w:t>；</w:t>
            </w:r>
          </w:p>
          <w:p w14:paraId="22891141">
            <w:pPr>
              <w:jc w:val="left"/>
              <w:rPr>
                <w:rFonts w:hint="eastAsia" w:ascii="宋体" w:hAnsi="宋体" w:eastAsia="宋体" w:cs="Times New Roman"/>
                <w:kern w:val="2"/>
                <w:sz w:val="18"/>
                <w:szCs w:val="18"/>
                <w:lang w:val="en-US" w:eastAsia="zh-CN" w:bidi="ar-SA"/>
              </w:rPr>
            </w:pPr>
            <w:r>
              <w:rPr>
                <w:rFonts w:hint="eastAsia" w:ascii="宋体" w:hAnsi="宋体"/>
                <w:sz w:val="18"/>
                <w:szCs w:val="18"/>
                <w:lang w:val="en-US" w:eastAsia="zh-CN"/>
              </w:rPr>
              <w:t>5</w:t>
            </w:r>
            <w:r>
              <w:rPr>
                <w:rFonts w:hint="eastAsia" w:ascii="宋体" w:hAnsi="宋体"/>
                <w:sz w:val="18"/>
                <w:szCs w:val="18"/>
              </w:rPr>
              <w:t>）</w:t>
            </w:r>
            <w:r>
              <w:rPr>
                <w:rFonts w:hint="eastAsia" w:ascii="宋体" w:hAnsi="宋体"/>
                <w:sz w:val="18"/>
                <w:szCs w:val="18"/>
                <w:lang w:val="en-US" w:eastAsia="zh-CN"/>
              </w:rPr>
              <w:t>其他</w:t>
            </w:r>
            <w:r>
              <w:rPr>
                <w:rFonts w:hint="eastAsia" w:ascii="宋体" w:hAnsi="宋体"/>
                <w:sz w:val="18"/>
                <w:szCs w:val="18"/>
              </w:rPr>
              <w:t>其他一处不符合扣</w:t>
            </w:r>
            <w:r>
              <w:rPr>
                <w:rFonts w:hint="eastAsia" w:ascii="宋体" w:hAnsi="宋体"/>
                <w:sz w:val="18"/>
                <w:szCs w:val="18"/>
                <w:lang w:val="en-US" w:eastAsia="zh-CN"/>
              </w:rPr>
              <w:t>2</w:t>
            </w:r>
            <w:r>
              <w:rPr>
                <w:rFonts w:hint="eastAsia" w:ascii="宋体" w:hAnsi="宋体"/>
                <w:sz w:val="18"/>
                <w:szCs w:val="18"/>
              </w:rPr>
              <w:t>分。</w:t>
            </w:r>
          </w:p>
        </w:tc>
        <w:tc>
          <w:tcPr>
            <w:tcW w:w="611" w:type="dxa"/>
            <w:tcBorders>
              <w:top w:val="single" w:color="auto" w:sz="8" w:space="0"/>
              <w:bottom w:val="single" w:color="auto" w:sz="8" w:space="0"/>
            </w:tcBorders>
            <w:shd w:val="clear"/>
            <w:noWrap w:val="0"/>
            <w:vAlign w:val="center"/>
          </w:tcPr>
          <w:p w14:paraId="6E76A2A9">
            <w:pPr>
              <w:adjustRightInd w:val="0"/>
              <w:snapToGrid w:val="0"/>
              <w:jc w:val="center"/>
              <w:rPr>
                <w:rFonts w:ascii="宋体" w:hAnsi="宋体" w:eastAsia="宋体" w:cs="宋体"/>
                <w:snapToGrid w:val="0"/>
                <w:kern w:val="21"/>
                <w:sz w:val="18"/>
                <w:szCs w:val="18"/>
                <w:lang w:val="en-US" w:eastAsia="zh-CN" w:bidi="ar-SA"/>
              </w:rPr>
            </w:pPr>
          </w:p>
        </w:tc>
        <w:tc>
          <w:tcPr>
            <w:tcW w:w="1148" w:type="dxa"/>
            <w:tcBorders>
              <w:top w:val="single" w:color="auto" w:sz="8" w:space="0"/>
              <w:bottom w:val="single" w:color="auto" w:sz="8" w:space="0"/>
            </w:tcBorders>
            <w:shd w:val="clear"/>
            <w:noWrap w:val="0"/>
            <w:vAlign w:val="center"/>
          </w:tcPr>
          <w:p w14:paraId="42461E63">
            <w:pPr>
              <w:adjustRightInd w:val="0"/>
              <w:snapToGrid w:val="0"/>
              <w:jc w:val="center"/>
              <w:rPr>
                <w:rFonts w:ascii="宋体" w:hAnsi="宋体" w:eastAsia="宋体" w:cs="宋体"/>
                <w:snapToGrid w:val="0"/>
                <w:kern w:val="21"/>
                <w:sz w:val="18"/>
                <w:szCs w:val="18"/>
                <w:lang w:val="en-US" w:eastAsia="zh-CN" w:bidi="ar-SA"/>
              </w:rPr>
            </w:pPr>
          </w:p>
        </w:tc>
        <w:tc>
          <w:tcPr>
            <w:tcW w:w="998" w:type="dxa"/>
            <w:tcBorders>
              <w:top w:val="single" w:color="auto" w:sz="8" w:space="0"/>
              <w:bottom w:val="single" w:color="auto" w:sz="8" w:space="0"/>
            </w:tcBorders>
            <w:shd w:val="clear"/>
            <w:noWrap w:val="0"/>
            <w:vAlign w:val="center"/>
          </w:tcPr>
          <w:p w14:paraId="10835B13">
            <w:pPr>
              <w:adjustRightInd w:val="0"/>
              <w:snapToGrid w:val="0"/>
              <w:jc w:val="left"/>
              <w:rPr>
                <w:rFonts w:hint="eastAsia" w:ascii="宋体" w:hAnsi="宋体" w:eastAsia="宋体" w:cs="宋体"/>
                <w:kern w:val="2"/>
                <w:sz w:val="18"/>
                <w:szCs w:val="18"/>
                <w:lang w:val="en-US" w:eastAsia="zh-CN" w:bidi="ar-SA"/>
              </w:rPr>
            </w:pPr>
            <w:r>
              <w:rPr>
                <w:rFonts w:hint="eastAsia" w:ascii="宋体" w:hAnsi="宋体"/>
                <w:sz w:val="18"/>
                <w:szCs w:val="18"/>
                <w:lang w:val="en-US" w:eastAsia="zh-CN"/>
              </w:rPr>
              <w:t>4</w:t>
            </w:r>
            <w:r>
              <w:rPr>
                <w:rFonts w:hint="eastAsia" w:ascii="宋体" w:hAnsi="宋体"/>
                <w:sz w:val="18"/>
                <w:szCs w:val="18"/>
              </w:rPr>
              <w:t>.1</w:t>
            </w:r>
            <w:r>
              <w:rPr>
                <w:rFonts w:hint="eastAsia" w:ascii="宋体" w:hAnsi="宋体"/>
                <w:sz w:val="18"/>
                <w:szCs w:val="18"/>
                <w:lang w:val="en-US" w:eastAsia="zh-CN"/>
              </w:rPr>
              <w:t>0</w:t>
            </w:r>
            <w:r>
              <w:rPr>
                <w:rFonts w:hint="eastAsia" w:ascii="宋体" w:hAnsi="宋体"/>
                <w:sz w:val="18"/>
                <w:szCs w:val="18"/>
              </w:rPr>
              <w:t>.2.5</w:t>
            </w:r>
          </w:p>
        </w:tc>
      </w:tr>
    </w:tbl>
    <w:p w14:paraId="7560F26D">
      <w:pPr>
        <w:rPr>
          <w:rFonts w:hint="eastAsia"/>
        </w:rPr>
      </w:pPr>
      <w:r>
        <w:rPr>
          <w:rFonts w:hint="eastAsia"/>
        </w:rPr>
        <w:br w:type="page"/>
      </w:r>
    </w:p>
    <w:p w14:paraId="134D0A7C">
      <w:pPr>
        <w:pStyle w:val="168"/>
        <w:numPr>
          <w:ilvl w:val="0"/>
          <w:numId w:val="0"/>
        </w:numPr>
        <w:spacing w:before="156" w:after="156"/>
        <w:ind w:left="567" w:hanging="567"/>
        <w:rPr>
          <w:rFonts w:hint="eastAsia" w:ascii="宋体" w:hAnsi="宋体" w:eastAsia="宋体"/>
        </w:rPr>
      </w:pPr>
      <w:r>
        <w:rPr>
          <w:rFonts w:hint="eastAsia"/>
        </w:rPr>
        <w:t>表</w:t>
      </w:r>
      <w:r>
        <w:rPr>
          <w:rFonts w:hint="eastAsia"/>
          <w:lang w:val="en-US" w:eastAsia="zh-CN"/>
        </w:rPr>
        <w:t>K</w:t>
      </w:r>
      <w:r>
        <w:rPr>
          <w:rFonts w:hint="eastAsia"/>
        </w:rPr>
        <w:t>.1 操作人员行为规范要素的安全生产等级评定细则</w:t>
      </w:r>
      <w:r>
        <w:rPr>
          <w:rFonts w:hint="eastAsia" w:ascii="宋体" w:hAnsi="宋体" w:eastAsia="宋体"/>
        </w:rPr>
        <w:t>（续）</w:t>
      </w:r>
    </w:p>
    <w:tbl>
      <w:tblPr>
        <w:tblStyle w:val="47"/>
        <w:tblpPr w:leftFromText="180" w:rightFromText="180" w:vertAnchor="text" w:tblpXSpec="left" w:tblpY="1"/>
        <w:tblOverlap w:val="never"/>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6741"/>
        <w:gridCol w:w="612"/>
        <w:gridCol w:w="612"/>
        <w:gridCol w:w="663"/>
        <w:gridCol w:w="3147"/>
        <w:gridCol w:w="611"/>
        <w:gridCol w:w="1148"/>
        <w:gridCol w:w="998"/>
      </w:tblGrid>
      <w:tr w14:paraId="3FFBB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395B88FC">
            <w:pPr>
              <w:adjustRightInd w:val="0"/>
              <w:snapToGrid w:val="0"/>
              <w:jc w:val="center"/>
              <w:rPr>
                <w:sz w:val="18"/>
                <w:szCs w:val="18"/>
              </w:rPr>
            </w:pPr>
            <w:r>
              <w:rPr>
                <w:bCs/>
                <w:sz w:val="18"/>
                <w:szCs w:val="18"/>
              </w:rPr>
              <w:t>序号</w:t>
            </w:r>
          </w:p>
        </w:tc>
        <w:tc>
          <w:tcPr>
            <w:tcW w:w="6741" w:type="dxa"/>
            <w:tcBorders>
              <w:top w:val="single" w:color="auto" w:sz="8" w:space="0"/>
              <w:bottom w:val="single" w:color="auto" w:sz="8" w:space="0"/>
            </w:tcBorders>
            <w:noWrap w:val="0"/>
            <w:vAlign w:val="center"/>
          </w:tcPr>
          <w:p w14:paraId="35745FCE">
            <w:pPr>
              <w:adjustRightInd w:val="0"/>
              <w:snapToGrid w:val="0"/>
              <w:jc w:val="center"/>
              <w:rPr>
                <w:rFonts w:ascii="宋体" w:hAnsi="宋体"/>
                <w:sz w:val="18"/>
                <w:szCs w:val="18"/>
              </w:rPr>
            </w:pPr>
            <w:r>
              <w:rPr>
                <w:rFonts w:ascii="宋体" w:hAnsi="宋体"/>
                <w:bCs/>
                <w:sz w:val="18"/>
                <w:szCs w:val="18"/>
              </w:rPr>
              <w:t>评定内容</w:t>
            </w:r>
          </w:p>
        </w:tc>
        <w:tc>
          <w:tcPr>
            <w:tcW w:w="612" w:type="dxa"/>
            <w:tcBorders>
              <w:top w:val="single" w:color="auto" w:sz="8" w:space="0"/>
              <w:bottom w:val="single" w:color="auto" w:sz="8" w:space="0"/>
            </w:tcBorders>
            <w:noWrap w:val="0"/>
            <w:vAlign w:val="center"/>
          </w:tcPr>
          <w:p w14:paraId="3596718D">
            <w:pPr>
              <w:adjustRightInd w:val="0"/>
              <w:snapToGrid w:val="0"/>
              <w:jc w:val="center"/>
              <w:rPr>
                <w:rFonts w:ascii="宋体" w:hAnsi="宋体"/>
                <w:sz w:val="18"/>
                <w:szCs w:val="18"/>
              </w:rPr>
            </w:pPr>
            <w:r>
              <w:rPr>
                <w:rFonts w:ascii="宋体" w:hAnsi="宋体"/>
                <w:bCs/>
                <w:sz w:val="18"/>
                <w:szCs w:val="18"/>
              </w:rPr>
              <w:t>评定要素分值</w:t>
            </w:r>
          </w:p>
        </w:tc>
        <w:tc>
          <w:tcPr>
            <w:tcW w:w="612" w:type="dxa"/>
            <w:tcBorders>
              <w:top w:val="single" w:color="auto" w:sz="8" w:space="0"/>
              <w:bottom w:val="single" w:color="auto" w:sz="8" w:space="0"/>
            </w:tcBorders>
            <w:noWrap w:val="0"/>
            <w:vAlign w:val="center"/>
          </w:tcPr>
          <w:p w14:paraId="0504F03B">
            <w:pPr>
              <w:adjustRightInd w:val="0"/>
              <w:snapToGrid w:val="0"/>
              <w:jc w:val="center"/>
              <w:rPr>
                <w:rFonts w:ascii="宋体" w:hAnsi="宋体"/>
                <w:sz w:val="18"/>
                <w:szCs w:val="18"/>
              </w:rPr>
            </w:pPr>
            <w:r>
              <w:rPr>
                <w:rFonts w:ascii="宋体" w:hAnsi="宋体"/>
                <w:bCs/>
                <w:sz w:val="18"/>
                <w:szCs w:val="18"/>
              </w:rPr>
              <w:t>评定细项分值</w:t>
            </w:r>
          </w:p>
        </w:tc>
        <w:tc>
          <w:tcPr>
            <w:tcW w:w="663" w:type="dxa"/>
            <w:tcBorders>
              <w:top w:val="single" w:color="auto" w:sz="8" w:space="0"/>
              <w:bottom w:val="single" w:color="auto" w:sz="8" w:space="0"/>
            </w:tcBorders>
            <w:noWrap w:val="0"/>
            <w:vAlign w:val="center"/>
          </w:tcPr>
          <w:p w14:paraId="2F0C4669">
            <w:pPr>
              <w:adjustRightInd w:val="0"/>
              <w:snapToGrid w:val="0"/>
              <w:jc w:val="center"/>
              <w:rPr>
                <w:rFonts w:ascii="宋体" w:hAnsi="宋体"/>
                <w:sz w:val="18"/>
                <w:szCs w:val="18"/>
              </w:rPr>
            </w:pPr>
            <w:r>
              <w:rPr>
                <w:rFonts w:ascii="宋体" w:hAnsi="宋体"/>
                <w:bCs/>
                <w:sz w:val="18"/>
                <w:szCs w:val="18"/>
              </w:rPr>
              <w:t>评定条款分值</w:t>
            </w:r>
          </w:p>
        </w:tc>
        <w:tc>
          <w:tcPr>
            <w:tcW w:w="3147" w:type="dxa"/>
            <w:tcBorders>
              <w:top w:val="single" w:color="auto" w:sz="8" w:space="0"/>
              <w:bottom w:val="single" w:color="auto" w:sz="8" w:space="0"/>
            </w:tcBorders>
            <w:noWrap w:val="0"/>
            <w:vAlign w:val="center"/>
          </w:tcPr>
          <w:p w14:paraId="11F664D8">
            <w:pPr>
              <w:adjustRightInd w:val="0"/>
              <w:snapToGrid w:val="0"/>
              <w:jc w:val="center"/>
              <w:rPr>
                <w:sz w:val="18"/>
                <w:szCs w:val="18"/>
              </w:rPr>
            </w:pPr>
            <w:r>
              <w:rPr>
                <w:bCs/>
                <w:sz w:val="18"/>
                <w:szCs w:val="18"/>
              </w:rPr>
              <w:t>评分标准</w:t>
            </w:r>
          </w:p>
        </w:tc>
        <w:tc>
          <w:tcPr>
            <w:tcW w:w="611" w:type="dxa"/>
            <w:tcBorders>
              <w:top w:val="single" w:color="auto" w:sz="8" w:space="0"/>
              <w:bottom w:val="single" w:color="auto" w:sz="8" w:space="0"/>
            </w:tcBorders>
            <w:noWrap w:val="0"/>
            <w:vAlign w:val="center"/>
          </w:tcPr>
          <w:p w14:paraId="294139FF">
            <w:pPr>
              <w:adjustRightInd w:val="0"/>
              <w:snapToGrid w:val="0"/>
              <w:jc w:val="center"/>
              <w:rPr>
                <w:rFonts w:ascii="宋体" w:hAnsi="宋体"/>
                <w:sz w:val="18"/>
                <w:szCs w:val="18"/>
              </w:rPr>
            </w:pPr>
            <w:r>
              <w:rPr>
                <w:rFonts w:ascii="宋体" w:hAnsi="宋体"/>
                <w:bCs/>
                <w:sz w:val="18"/>
                <w:szCs w:val="18"/>
              </w:rPr>
              <w:t>评定得分</w:t>
            </w:r>
          </w:p>
        </w:tc>
        <w:tc>
          <w:tcPr>
            <w:tcW w:w="1148" w:type="dxa"/>
            <w:tcBorders>
              <w:top w:val="single" w:color="auto" w:sz="8" w:space="0"/>
              <w:bottom w:val="single" w:color="auto" w:sz="8" w:space="0"/>
            </w:tcBorders>
            <w:noWrap w:val="0"/>
            <w:vAlign w:val="center"/>
          </w:tcPr>
          <w:p w14:paraId="2349B23E">
            <w:pPr>
              <w:adjustRightInd w:val="0"/>
              <w:snapToGrid w:val="0"/>
              <w:jc w:val="center"/>
              <w:rPr>
                <w:rFonts w:ascii="宋体" w:hAnsi="宋体"/>
                <w:sz w:val="18"/>
                <w:szCs w:val="18"/>
              </w:rPr>
            </w:pPr>
            <w:r>
              <w:rPr>
                <w:rFonts w:ascii="宋体" w:hAnsi="宋体"/>
                <w:bCs/>
                <w:sz w:val="18"/>
                <w:szCs w:val="18"/>
              </w:rPr>
              <w:t>扣分说明</w:t>
            </w:r>
          </w:p>
        </w:tc>
        <w:tc>
          <w:tcPr>
            <w:tcW w:w="998" w:type="dxa"/>
            <w:tcBorders>
              <w:top w:val="single" w:color="auto" w:sz="8" w:space="0"/>
              <w:bottom w:val="single" w:color="auto" w:sz="8" w:space="0"/>
            </w:tcBorders>
            <w:noWrap w:val="0"/>
            <w:vAlign w:val="center"/>
          </w:tcPr>
          <w:p w14:paraId="5F41B756">
            <w:pPr>
              <w:adjustRightInd w:val="0"/>
              <w:snapToGrid w:val="0"/>
              <w:jc w:val="center"/>
              <w:rPr>
                <w:rFonts w:ascii="宋体" w:hAnsi="宋体"/>
                <w:sz w:val="18"/>
                <w:szCs w:val="18"/>
              </w:rPr>
            </w:pPr>
            <w:r>
              <w:rPr>
                <w:rFonts w:ascii="宋体" w:hAnsi="宋体"/>
                <w:bCs/>
                <w:sz w:val="18"/>
                <w:szCs w:val="18"/>
              </w:rPr>
              <w:t>对应条款编号</w:t>
            </w:r>
          </w:p>
        </w:tc>
      </w:tr>
      <w:tr w14:paraId="1B12C4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8" w:space="0"/>
              <w:bottom w:val="single" w:color="auto" w:sz="8" w:space="0"/>
            </w:tcBorders>
            <w:noWrap w:val="0"/>
            <w:vAlign w:val="center"/>
          </w:tcPr>
          <w:p w14:paraId="3A9EA70C">
            <w:pPr>
              <w:adjustRightInd w:val="0"/>
              <w:snapToGrid w:val="0"/>
              <w:jc w:val="center"/>
              <w:rPr>
                <w:rFonts w:ascii="宋体" w:hAnsi="宋体" w:cs="宋体"/>
                <w:snapToGrid w:val="0"/>
                <w:kern w:val="21"/>
                <w:sz w:val="18"/>
                <w:szCs w:val="18"/>
              </w:rPr>
            </w:pPr>
          </w:p>
        </w:tc>
        <w:tc>
          <w:tcPr>
            <w:tcW w:w="6741" w:type="dxa"/>
            <w:tcBorders>
              <w:top w:val="single" w:color="auto" w:sz="8" w:space="0"/>
              <w:bottom w:val="single" w:color="auto" w:sz="8" w:space="0"/>
            </w:tcBorders>
            <w:noWrap w:val="0"/>
            <w:vAlign w:val="center"/>
          </w:tcPr>
          <w:p w14:paraId="1C7228DD">
            <w:pPr>
              <w:widowControl/>
              <w:tabs>
                <w:tab w:val="center" w:pos="4201"/>
                <w:tab w:val="right" w:leader="dot" w:pos="9298"/>
              </w:tabs>
              <w:autoSpaceDE w:val="0"/>
              <w:autoSpaceDN w:val="0"/>
              <w:adjustRightInd w:val="0"/>
              <w:snapToGrid w:val="0"/>
              <w:jc w:val="left"/>
              <w:rPr>
                <w:rFonts w:hint="eastAsia" w:ascii="宋体" w:hAnsi="宋体"/>
                <w:sz w:val="18"/>
                <w:szCs w:val="18"/>
                <w:lang w:eastAsia="zh-CN"/>
              </w:rPr>
            </w:pPr>
            <w:r>
              <w:rPr>
                <w:rFonts w:hint="eastAsia" w:ascii="宋体" w:hAnsi="宋体"/>
                <w:sz w:val="18"/>
                <w:szCs w:val="18"/>
                <w:lang w:val="en-US" w:eastAsia="zh-CN"/>
              </w:rPr>
              <w:t>k</w:t>
            </w:r>
            <w:r>
              <w:rPr>
                <w:rFonts w:hint="eastAsia" w:ascii="宋体" w:hAnsi="宋体"/>
                <w:sz w:val="18"/>
                <w:szCs w:val="18"/>
              </w:rPr>
              <w:t>）作业前，应封闭作业区域，并在出入口周边显著位置设置有限空间作业安全告知牌</w:t>
            </w:r>
            <w:r>
              <w:rPr>
                <w:rFonts w:hint="eastAsia" w:ascii="宋体" w:hAnsi="宋体"/>
                <w:sz w:val="18"/>
                <w:szCs w:val="18"/>
                <w:lang w:eastAsia="zh-CN"/>
              </w:rPr>
              <w:t>；</w:t>
            </w:r>
          </w:p>
          <w:p w14:paraId="2F886A76">
            <w:pPr>
              <w:widowControl/>
              <w:tabs>
                <w:tab w:val="center" w:pos="4201"/>
                <w:tab w:val="right" w:leader="dot" w:pos="9298"/>
              </w:tabs>
              <w:autoSpaceDE w:val="0"/>
              <w:autoSpaceDN w:val="0"/>
              <w:adjustRightInd w:val="0"/>
              <w:snapToGrid w:val="0"/>
              <w:jc w:val="left"/>
              <w:rPr>
                <w:rFonts w:hint="eastAsia" w:ascii="宋体" w:hAnsi="宋体"/>
                <w:sz w:val="18"/>
                <w:szCs w:val="18"/>
                <w:lang w:eastAsia="zh-CN"/>
              </w:rPr>
            </w:pPr>
            <w:r>
              <w:rPr>
                <w:rFonts w:hint="eastAsia" w:ascii="宋体" w:hAnsi="宋体"/>
                <w:sz w:val="18"/>
                <w:szCs w:val="18"/>
              </w:rPr>
              <w:t>★</w:t>
            </w:r>
            <w:r>
              <w:rPr>
                <w:rFonts w:hint="eastAsia" w:ascii="宋体" w:hAnsi="宋体"/>
                <w:sz w:val="18"/>
                <w:szCs w:val="18"/>
                <w:lang w:val="en-US" w:eastAsia="zh-CN"/>
              </w:rPr>
              <w:t>l</w:t>
            </w:r>
            <w:r>
              <w:rPr>
                <w:rFonts w:hint="eastAsia" w:ascii="宋体" w:hAnsi="宋体"/>
                <w:sz w:val="18"/>
                <w:szCs w:val="18"/>
              </w:rPr>
              <w:t>）</w:t>
            </w:r>
            <w:r>
              <w:rPr>
                <w:rFonts w:hint="eastAsia" w:ascii="宋体" w:hAnsi="宋体"/>
                <w:sz w:val="18"/>
                <w:szCs w:val="18"/>
                <w:lang w:val="en-US" w:eastAsia="zh-CN"/>
              </w:rPr>
              <w:t>作业过程应执行“先通风、再检测、后作业”要求；</w:t>
            </w:r>
          </w:p>
          <w:p w14:paraId="45D9DBFA">
            <w:pPr>
              <w:widowControl/>
              <w:tabs>
                <w:tab w:val="center" w:pos="4201"/>
                <w:tab w:val="right" w:leader="dot" w:pos="9298"/>
              </w:tabs>
              <w:autoSpaceDE w:val="0"/>
              <w:autoSpaceDN w:val="0"/>
              <w:adjustRightInd w:val="0"/>
              <w:snapToGrid w:val="0"/>
              <w:ind w:firstLine="0" w:firstLineChars="0"/>
              <w:jc w:val="left"/>
              <w:rPr>
                <w:rFonts w:hint="eastAsia" w:ascii="宋体" w:hAnsi="宋体"/>
                <w:sz w:val="18"/>
                <w:szCs w:val="18"/>
              </w:rPr>
            </w:pPr>
            <w:r>
              <w:rPr>
                <w:rFonts w:hint="eastAsia" w:ascii="宋体" w:hAnsi="宋体"/>
                <w:sz w:val="18"/>
                <w:szCs w:val="18"/>
                <w:lang w:val="en-US" w:eastAsia="zh-CN"/>
              </w:rPr>
              <w:t>m</w:t>
            </w:r>
            <w:r>
              <w:rPr>
                <w:rFonts w:hint="eastAsia" w:ascii="宋体" w:hAnsi="宋体"/>
                <w:sz w:val="18"/>
                <w:szCs w:val="18"/>
              </w:rPr>
              <w:t>）应根据有限空间内可能存在的气体种类进行针对性检测</w:t>
            </w:r>
            <w:r>
              <w:rPr>
                <w:rFonts w:hint="eastAsia" w:ascii="宋体" w:hAnsi="宋体"/>
                <w:sz w:val="18"/>
                <w:szCs w:val="18"/>
                <w:lang w:eastAsia="zh-CN"/>
              </w:rPr>
              <w:t>，</w:t>
            </w:r>
            <w:r>
              <w:rPr>
                <w:rFonts w:hint="eastAsia" w:ascii="宋体" w:hAnsi="宋体"/>
                <w:sz w:val="18"/>
                <w:szCs w:val="18"/>
              </w:rPr>
              <w:t>应至少检测氧气、可燃气、硫化氢和一氧化碳</w:t>
            </w:r>
            <w:r>
              <w:rPr>
                <w:rFonts w:hint="eastAsia" w:ascii="宋体" w:hAnsi="宋体"/>
                <w:sz w:val="18"/>
                <w:szCs w:val="18"/>
                <w:lang w:eastAsia="zh-CN"/>
              </w:rPr>
              <w:t>；</w:t>
            </w:r>
          </w:p>
          <w:p w14:paraId="224C028F">
            <w:pPr>
              <w:widowControl/>
              <w:tabs>
                <w:tab w:val="center" w:pos="4201"/>
                <w:tab w:val="right" w:leader="dot" w:pos="9298"/>
              </w:tabs>
              <w:autoSpaceDE w:val="0"/>
              <w:autoSpaceDN w:val="0"/>
              <w:adjustRightInd w:val="0"/>
              <w:snapToGrid w:val="0"/>
              <w:jc w:val="left"/>
              <w:rPr>
                <w:rFonts w:hint="eastAsia" w:ascii="宋体" w:hAnsi="宋体"/>
                <w:sz w:val="18"/>
                <w:szCs w:val="18"/>
                <w:lang w:eastAsia="zh-CN"/>
              </w:rPr>
            </w:pPr>
            <w:r>
              <w:rPr>
                <w:rFonts w:hint="eastAsia" w:ascii="宋体" w:hAnsi="宋体"/>
                <w:sz w:val="18"/>
                <w:szCs w:val="18"/>
                <w:lang w:val="en-US" w:eastAsia="zh-CN"/>
              </w:rPr>
              <w:t>n</w:t>
            </w:r>
            <w:r>
              <w:rPr>
                <w:rFonts w:hint="eastAsia" w:ascii="宋体" w:hAnsi="宋体"/>
                <w:sz w:val="18"/>
                <w:szCs w:val="18"/>
              </w:rPr>
              <w:t>）</w:t>
            </w:r>
            <w:r>
              <w:rPr>
                <w:rFonts w:hint="eastAsia" w:ascii="宋体" w:hAnsi="宋体"/>
                <w:sz w:val="18"/>
                <w:szCs w:val="18"/>
                <w:lang w:eastAsia="zh-CN"/>
              </w:rPr>
              <w:t>有限空间内使用照明灯具电压应不大于 24 V，在积水、结露等潮湿环境的有限空间和金属容器中作业，照明灯具电压应不大于 12 V；</w:t>
            </w:r>
          </w:p>
          <w:p w14:paraId="014EF3C5">
            <w:pPr>
              <w:widowControl/>
              <w:tabs>
                <w:tab w:val="center" w:pos="4201"/>
                <w:tab w:val="right" w:leader="dot" w:pos="9298"/>
              </w:tabs>
              <w:autoSpaceDE w:val="0"/>
              <w:autoSpaceDN w:val="0"/>
              <w:adjustRightInd w:val="0"/>
              <w:snapToGrid w:val="0"/>
              <w:jc w:val="left"/>
              <w:rPr>
                <w:rFonts w:hint="eastAsia" w:ascii="宋体" w:hAnsi="宋体"/>
                <w:sz w:val="18"/>
                <w:szCs w:val="18"/>
                <w:lang w:eastAsia="zh-CN"/>
              </w:rPr>
            </w:pPr>
            <w:r>
              <w:rPr>
                <w:rFonts w:hint="eastAsia" w:ascii="宋体" w:hAnsi="宋体"/>
                <w:sz w:val="18"/>
                <w:szCs w:val="18"/>
                <w:lang w:val="en-US" w:eastAsia="zh-CN"/>
              </w:rPr>
              <w:t>o</w:t>
            </w:r>
            <w:r>
              <w:rPr>
                <w:rFonts w:hint="eastAsia" w:ascii="宋体" w:hAnsi="宋体"/>
                <w:sz w:val="18"/>
                <w:szCs w:val="18"/>
              </w:rPr>
              <w:t>）</w:t>
            </w:r>
            <w:r>
              <w:rPr>
                <w:rFonts w:hint="eastAsia" w:ascii="宋体" w:hAnsi="宋体"/>
                <w:sz w:val="18"/>
                <w:szCs w:val="18"/>
                <w:lang w:eastAsia="zh-CN"/>
              </w:rPr>
              <w:t>作业中断超过 10 min，作业者再次进入有限空间作业前，应按照规定重新进行评估检测；</w:t>
            </w:r>
          </w:p>
          <w:p w14:paraId="3D03CF78">
            <w:pPr>
              <w:widowControl/>
              <w:tabs>
                <w:tab w:val="center" w:pos="4201"/>
                <w:tab w:val="right" w:leader="dot" w:pos="9298"/>
              </w:tabs>
              <w:autoSpaceDE w:val="0"/>
              <w:autoSpaceDN w:val="0"/>
              <w:adjustRightInd w:val="0"/>
              <w:snapToGrid w:val="0"/>
              <w:jc w:val="left"/>
              <w:rPr>
                <w:rFonts w:hint="eastAsia" w:ascii="宋体" w:hAnsi="宋体"/>
                <w:sz w:val="18"/>
                <w:szCs w:val="18"/>
                <w:lang w:eastAsia="zh-CN"/>
              </w:rPr>
            </w:pPr>
            <w:r>
              <w:rPr>
                <w:rFonts w:hint="eastAsia" w:ascii="宋体" w:hAnsi="宋体"/>
                <w:sz w:val="18"/>
                <w:szCs w:val="18"/>
                <w:lang w:val="en-US" w:eastAsia="zh-CN"/>
              </w:rPr>
              <w:t>p</w:t>
            </w:r>
            <w:r>
              <w:rPr>
                <w:rFonts w:hint="eastAsia" w:ascii="宋体" w:hAnsi="宋体"/>
                <w:sz w:val="18"/>
                <w:szCs w:val="18"/>
              </w:rPr>
              <w:t>）</w:t>
            </w:r>
            <w:r>
              <w:rPr>
                <w:rFonts w:hint="eastAsia" w:ascii="宋体" w:hAnsi="宋体"/>
                <w:sz w:val="18"/>
                <w:szCs w:val="18"/>
                <w:lang w:eastAsia="zh-CN"/>
              </w:rPr>
              <w:t>监护者应在有限空间外全程持续监护；</w:t>
            </w:r>
          </w:p>
          <w:p w14:paraId="1AF9D8D2">
            <w:pPr>
              <w:widowControl/>
              <w:tabs>
                <w:tab w:val="center" w:pos="4201"/>
                <w:tab w:val="right" w:leader="dot" w:pos="9298"/>
              </w:tabs>
              <w:autoSpaceDE w:val="0"/>
              <w:autoSpaceDN w:val="0"/>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q</w:t>
            </w:r>
            <w:r>
              <w:rPr>
                <w:rFonts w:hint="eastAsia" w:ascii="宋体" w:hAnsi="宋体"/>
                <w:sz w:val="18"/>
                <w:szCs w:val="18"/>
              </w:rPr>
              <w:t>）</w:t>
            </w:r>
            <w:r>
              <w:rPr>
                <w:rFonts w:hint="eastAsia" w:ascii="宋体" w:hAnsi="宋体"/>
                <w:sz w:val="18"/>
                <w:szCs w:val="18"/>
                <w:lang w:val="en-US" w:eastAsia="zh-CN"/>
              </w:rPr>
              <w:t>有限空间出入口应保持畅通；</w:t>
            </w:r>
          </w:p>
          <w:p w14:paraId="486B262D">
            <w:pPr>
              <w:widowControl/>
              <w:tabs>
                <w:tab w:val="center" w:pos="4201"/>
                <w:tab w:val="right" w:leader="dot" w:pos="9298"/>
              </w:tabs>
              <w:autoSpaceDE w:val="0"/>
              <w:autoSpaceDN w:val="0"/>
              <w:adjustRightInd w:val="0"/>
              <w:snapToGrid w:val="0"/>
              <w:jc w:val="left"/>
              <w:rPr>
                <w:rFonts w:hint="eastAsia" w:ascii="宋体" w:hAnsi="宋体"/>
                <w:sz w:val="18"/>
                <w:szCs w:val="18"/>
                <w:lang w:val="en-US" w:eastAsia="zh-CN"/>
              </w:rPr>
            </w:pPr>
            <w:r>
              <w:rPr>
                <w:rFonts w:hint="eastAsia" w:ascii="宋体" w:hAnsi="宋体"/>
                <w:sz w:val="18"/>
                <w:szCs w:val="18"/>
                <w:lang w:val="en-US" w:eastAsia="zh-CN"/>
              </w:rPr>
              <w:t>r</w:t>
            </w:r>
            <w:r>
              <w:rPr>
                <w:rFonts w:hint="eastAsia" w:ascii="宋体" w:hAnsi="宋体"/>
                <w:sz w:val="18"/>
                <w:szCs w:val="18"/>
              </w:rPr>
              <w:t>）作业者应佩戴符合规定的安全帽</w:t>
            </w:r>
            <w:r>
              <w:rPr>
                <w:rFonts w:hint="eastAsia" w:ascii="宋体" w:hAnsi="宋体"/>
                <w:sz w:val="18"/>
                <w:szCs w:val="18"/>
                <w:lang w:eastAsia="zh-CN"/>
              </w:rPr>
              <w:t>、</w:t>
            </w:r>
            <w:r>
              <w:rPr>
                <w:rFonts w:hint="eastAsia" w:ascii="宋体" w:hAnsi="宋体"/>
                <w:sz w:val="18"/>
                <w:szCs w:val="18"/>
              </w:rPr>
              <w:t>全身式安全带</w:t>
            </w:r>
            <w:r>
              <w:rPr>
                <w:rFonts w:hint="eastAsia" w:ascii="宋体" w:hAnsi="宋体"/>
                <w:sz w:val="18"/>
                <w:szCs w:val="18"/>
                <w:lang w:eastAsia="zh-CN"/>
              </w:rPr>
              <w:t>、</w:t>
            </w:r>
            <w:r>
              <w:rPr>
                <w:rFonts w:hint="eastAsia" w:ascii="宋体" w:hAnsi="宋体"/>
                <w:sz w:val="18"/>
                <w:szCs w:val="18"/>
                <w:lang w:val="en-US" w:eastAsia="zh-CN"/>
              </w:rPr>
              <w:t>呼吸防护用品等；</w:t>
            </w:r>
          </w:p>
          <w:p w14:paraId="24EBE3DE">
            <w:pPr>
              <w:widowControl/>
              <w:tabs>
                <w:tab w:val="center" w:pos="4201"/>
                <w:tab w:val="right" w:leader="dot" w:pos="9298"/>
              </w:tabs>
              <w:autoSpaceDE w:val="0"/>
              <w:autoSpaceDN w:val="0"/>
              <w:adjustRightInd w:val="0"/>
              <w:snapToGrid w:val="0"/>
              <w:jc w:val="left"/>
              <w:rPr>
                <w:rFonts w:hint="eastAsia" w:ascii="宋体" w:hAnsi="宋体" w:eastAsia="宋体"/>
                <w:sz w:val="18"/>
                <w:szCs w:val="18"/>
                <w:lang w:val="en-US" w:eastAsia="zh-CN"/>
              </w:rPr>
            </w:pPr>
            <w:r>
              <w:rPr>
                <w:rFonts w:hint="eastAsia" w:ascii="宋体" w:hAnsi="宋体"/>
                <w:sz w:val="18"/>
                <w:szCs w:val="18"/>
                <w:lang w:val="en-US" w:eastAsia="zh-CN"/>
              </w:rPr>
              <w:t>s</w:t>
            </w:r>
            <w:r>
              <w:rPr>
                <w:rFonts w:hint="eastAsia" w:ascii="宋体" w:hAnsi="宋体"/>
                <w:sz w:val="18"/>
                <w:szCs w:val="18"/>
              </w:rPr>
              <w:t>）作业完成后，作业者应将全部作业设备和工具带离有限空间</w:t>
            </w:r>
            <w:r>
              <w:rPr>
                <w:rFonts w:hint="eastAsia" w:ascii="宋体" w:hAnsi="宋体"/>
                <w:sz w:val="18"/>
                <w:szCs w:val="18"/>
                <w:lang w:eastAsia="zh-CN"/>
              </w:rPr>
              <w:t>，</w:t>
            </w:r>
            <w:r>
              <w:rPr>
                <w:rFonts w:hint="eastAsia" w:ascii="宋体" w:hAnsi="宋体"/>
                <w:sz w:val="18"/>
                <w:szCs w:val="18"/>
              </w:rPr>
              <w:t>应清点人员及设备数量，确保有限空间内无人员和设备遗留后，关闭出入口</w:t>
            </w:r>
            <w:r>
              <w:rPr>
                <w:rFonts w:hint="eastAsia" w:ascii="宋体" w:hAnsi="宋体"/>
                <w:sz w:val="18"/>
                <w:szCs w:val="18"/>
                <w:lang w:eastAsia="zh-CN"/>
              </w:rPr>
              <w:t>，</w:t>
            </w:r>
            <w:r>
              <w:rPr>
                <w:rFonts w:hint="eastAsia" w:ascii="宋体" w:hAnsi="宋体"/>
                <w:sz w:val="18"/>
                <w:szCs w:val="18"/>
              </w:rPr>
              <w:t>作业前采取隔离措施的，应解除隔离</w:t>
            </w:r>
            <w:r>
              <w:rPr>
                <w:rFonts w:hint="eastAsia" w:ascii="宋体" w:hAnsi="宋体"/>
                <w:sz w:val="18"/>
                <w:szCs w:val="18"/>
                <w:lang w:eastAsia="zh-CN"/>
              </w:rPr>
              <w:t>，</w:t>
            </w:r>
            <w:r>
              <w:rPr>
                <w:rFonts w:hint="eastAsia" w:ascii="宋体" w:hAnsi="宋体"/>
                <w:sz w:val="18"/>
                <w:szCs w:val="18"/>
              </w:rPr>
              <w:t>清理现场后，应解除作业区域封闭措施后撤离现场</w:t>
            </w:r>
            <w:r>
              <w:rPr>
                <w:rFonts w:hint="eastAsia" w:ascii="宋体" w:hAnsi="宋体"/>
                <w:sz w:val="18"/>
                <w:szCs w:val="18"/>
                <w:lang w:eastAsia="zh-CN"/>
              </w:rPr>
              <w:t>；</w:t>
            </w:r>
          </w:p>
          <w:p w14:paraId="043375BA">
            <w:pPr>
              <w:widowControl/>
              <w:tabs>
                <w:tab w:val="center" w:pos="4201"/>
                <w:tab w:val="right" w:leader="dot" w:pos="9298"/>
              </w:tabs>
              <w:autoSpaceDE w:val="0"/>
              <w:autoSpaceDN w:val="0"/>
              <w:adjustRightInd w:val="0"/>
              <w:snapToGrid w:val="0"/>
              <w:ind w:firstLine="0" w:firstLineChars="0"/>
              <w:jc w:val="left"/>
              <w:rPr>
                <w:rFonts w:hint="eastAsia" w:ascii="宋体" w:hAnsi="宋体"/>
                <w:sz w:val="18"/>
                <w:szCs w:val="18"/>
              </w:rPr>
            </w:pPr>
            <w:r>
              <w:rPr>
                <w:rFonts w:hint="eastAsia" w:ascii="宋体" w:hAnsi="宋体"/>
                <w:sz w:val="18"/>
                <w:szCs w:val="18"/>
                <w:lang w:val="en-US" w:eastAsia="zh-CN"/>
              </w:rPr>
              <w:t>t</w:t>
            </w:r>
            <w:r>
              <w:rPr>
                <w:rFonts w:hint="eastAsia" w:ascii="宋体" w:hAnsi="宋体"/>
                <w:sz w:val="18"/>
                <w:szCs w:val="18"/>
              </w:rPr>
              <w:t>）最长作业</w:t>
            </w:r>
            <w:r>
              <w:rPr>
                <w:rFonts w:hint="eastAsia" w:ascii="宋体" w:hAnsi="宋体"/>
                <w:sz w:val="18"/>
                <w:szCs w:val="18"/>
                <w:lang w:val="en-US" w:eastAsia="zh-CN"/>
              </w:rPr>
              <w:t>审批有效期</w:t>
            </w:r>
            <w:r>
              <w:rPr>
                <w:rFonts w:hint="eastAsia" w:ascii="宋体" w:hAnsi="宋体"/>
                <w:sz w:val="18"/>
                <w:szCs w:val="18"/>
              </w:rPr>
              <w:t>不应超过24 h，超过时限的应</w:t>
            </w:r>
            <w:r>
              <w:rPr>
                <w:rFonts w:hint="eastAsia" w:ascii="宋体" w:hAnsi="宋体"/>
                <w:sz w:val="18"/>
                <w:szCs w:val="18"/>
                <w:lang w:val="en-US" w:eastAsia="zh-CN"/>
              </w:rPr>
              <w:t>重新办理审批</w:t>
            </w:r>
            <w:r>
              <w:rPr>
                <w:rFonts w:hint="eastAsia" w:ascii="宋体" w:hAnsi="宋体"/>
                <w:sz w:val="18"/>
                <w:szCs w:val="18"/>
              </w:rPr>
              <w:t>手续。</w:t>
            </w:r>
          </w:p>
        </w:tc>
        <w:tc>
          <w:tcPr>
            <w:tcW w:w="612" w:type="dxa"/>
            <w:tcBorders>
              <w:top w:val="single" w:color="auto" w:sz="8" w:space="0"/>
              <w:bottom w:val="single" w:color="auto" w:sz="8" w:space="0"/>
            </w:tcBorders>
            <w:noWrap w:val="0"/>
            <w:vAlign w:val="center"/>
          </w:tcPr>
          <w:p w14:paraId="2799FB69">
            <w:pPr>
              <w:adjustRightInd w:val="0"/>
              <w:snapToGrid w:val="0"/>
              <w:jc w:val="center"/>
              <w:rPr>
                <w:rFonts w:ascii="宋体" w:hAnsi="宋体" w:cs="宋体"/>
                <w:snapToGrid w:val="0"/>
                <w:kern w:val="21"/>
                <w:sz w:val="18"/>
                <w:szCs w:val="18"/>
              </w:rPr>
            </w:pPr>
          </w:p>
        </w:tc>
        <w:tc>
          <w:tcPr>
            <w:tcW w:w="612" w:type="dxa"/>
            <w:tcBorders>
              <w:top w:val="single" w:color="auto" w:sz="8" w:space="0"/>
              <w:bottom w:val="single" w:color="auto" w:sz="8" w:space="0"/>
            </w:tcBorders>
            <w:noWrap w:val="0"/>
            <w:vAlign w:val="center"/>
          </w:tcPr>
          <w:p w14:paraId="2CE4E7A5">
            <w:pPr>
              <w:adjustRightInd w:val="0"/>
              <w:snapToGrid w:val="0"/>
              <w:jc w:val="center"/>
              <w:rPr>
                <w:rFonts w:ascii="宋体" w:hAnsi="宋体" w:cs="宋体"/>
                <w:snapToGrid w:val="0"/>
                <w:kern w:val="21"/>
                <w:sz w:val="18"/>
                <w:szCs w:val="18"/>
              </w:rPr>
            </w:pPr>
          </w:p>
        </w:tc>
        <w:tc>
          <w:tcPr>
            <w:tcW w:w="663" w:type="dxa"/>
            <w:tcBorders>
              <w:top w:val="single" w:color="auto" w:sz="8" w:space="0"/>
              <w:bottom w:val="single" w:color="auto" w:sz="8" w:space="0"/>
            </w:tcBorders>
            <w:noWrap w:val="0"/>
            <w:vAlign w:val="center"/>
          </w:tcPr>
          <w:p w14:paraId="486EA024">
            <w:pPr>
              <w:adjustRightInd w:val="0"/>
              <w:snapToGrid w:val="0"/>
              <w:jc w:val="center"/>
              <w:rPr>
                <w:rFonts w:ascii="宋体" w:hAnsi="宋体" w:cs="宋体"/>
                <w:snapToGrid w:val="0"/>
                <w:kern w:val="21"/>
                <w:sz w:val="18"/>
                <w:szCs w:val="18"/>
              </w:rPr>
            </w:pPr>
          </w:p>
        </w:tc>
        <w:tc>
          <w:tcPr>
            <w:tcW w:w="3147" w:type="dxa"/>
            <w:tcBorders>
              <w:top w:val="single" w:color="auto" w:sz="8" w:space="0"/>
              <w:bottom w:val="single" w:color="auto" w:sz="8" w:space="0"/>
            </w:tcBorders>
            <w:noWrap w:val="0"/>
            <w:vAlign w:val="center"/>
          </w:tcPr>
          <w:p w14:paraId="149A773A">
            <w:pPr>
              <w:jc w:val="left"/>
              <w:rPr>
                <w:rFonts w:ascii="宋体" w:hAnsi="宋体"/>
                <w:sz w:val="18"/>
                <w:szCs w:val="18"/>
              </w:rPr>
            </w:pPr>
          </w:p>
        </w:tc>
        <w:tc>
          <w:tcPr>
            <w:tcW w:w="611" w:type="dxa"/>
            <w:tcBorders>
              <w:top w:val="single" w:color="auto" w:sz="8" w:space="0"/>
              <w:bottom w:val="single" w:color="auto" w:sz="8" w:space="0"/>
            </w:tcBorders>
            <w:noWrap w:val="0"/>
            <w:vAlign w:val="center"/>
          </w:tcPr>
          <w:p w14:paraId="7D355BF3">
            <w:pPr>
              <w:adjustRightInd w:val="0"/>
              <w:snapToGrid w:val="0"/>
              <w:jc w:val="center"/>
              <w:rPr>
                <w:rFonts w:ascii="宋体" w:hAnsi="宋体" w:cs="宋体"/>
                <w:snapToGrid w:val="0"/>
                <w:kern w:val="21"/>
                <w:sz w:val="18"/>
                <w:szCs w:val="18"/>
              </w:rPr>
            </w:pPr>
          </w:p>
        </w:tc>
        <w:tc>
          <w:tcPr>
            <w:tcW w:w="1148" w:type="dxa"/>
            <w:tcBorders>
              <w:top w:val="single" w:color="auto" w:sz="8" w:space="0"/>
              <w:bottom w:val="single" w:color="auto" w:sz="8" w:space="0"/>
            </w:tcBorders>
            <w:noWrap w:val="0"/>
            <w:vAlign w:val="center"/>
          </w:tcPr>
          <w:p w14:paraId="05A6B2D6">
            <w:pPr>
              <w:adjustRightInd w:val="0"/>
              <w:snapToGrid w:val="0"/>
              <w:jc w:val="center"/>
              <w:rPr>
                <w:rFonts w:ascii="宋体" w:hAnsi="宋体" w:cs="宋体"/>
                <w:snapToGrid w:val="0"/>
                <w:kern w:val="21"/>
                <w:sz w:val="18"/>
                <w:szCs w:val="18"/>
              </w:rPr>
            </w:pPr>
          </w:p>
        </w:tc>
        <w:tc>
          <w:tcPr>
            <w:tcW w:w="998" w:type="dxa"/>
            <w:tcBorders>
              <w:top w:val="single" w:color="auto" w:sz="8" w:space="0"/>
              <w:bottom w:val="single" w:color="auto" w:sz="8" w:space="0"/>
            </w:tcBorders>
            <w:noWrap w:val="0"/>
            <w:vAlign w:val="center"/>
          </w:tcPr>
          <w:p w14:paraId="60140289">
            <w:pPr>
              <w:adjustRightInd w:val="0"/>
              <w:snapToGrid w:val="0"/>
              <w:jc w:val="left"/>
              <w:rPr>
                <w:rFonts w:ascii="宋体" w:hAnsi="宋体" w:cs="宋体"/>
                <w:sz w:val="18"/>
                <w:szCs w:val="18"/>
              </w:rPr>
            </w:pPr>
          </w:p>
        </w:tc>
      </w:tr>
    </w:tbl>
    <w:p w14:paraId="79D9F0C2">
      <w:pPr>
        <w:pStyle w:val="167"/>
        <w:numPr>
          <w:numId w:val="0"/>
        </w:numPr>
        <w:tabs>
          <w:tab w:val="clear" w:pos="0"/>
        </w:tabs>
        <w:ind w:left="0" w:leftChars="0" w:hanging="425" w:firstLineChars="0"/>
        <w:outlineLvl w:val="9"/>
        <w:rPr>
          <w:rFonts w:hint="eastAsia"/>
        </w:rPr>
      </w:pPr>
    </w:p>
    <w:p w14:paraId="6B3CB9C8">
      <w:pPr>
        <w:pStyle w:val="36"/>
        <w:ind w:firstLine="0" w:firstLineChars="0"/>
        <w:jc w:val="center"/>
        <w:rPr>
          <w:rFonts w:hint="eastAsia"/>
        </w:rPr>
      </w:pPr>
      <w:r>
        <w:t>_________________________________</w:t>
      </w:r>
    </w:p>
    <w:sectPr>
      <w:footerReference r:id="rId9" w:type="default"/>
      <w:pgSz w:w="16838" w:h="11906" w:orient="landscape"/>
      <w:pgMar w:top="1134" w:right="1134" w:bottom="1418" w:left="567" w:header="1418" w:footer="1134" w:gutter="0"/>
      <w:cols w:space="720" w:num="1"/>
      <w:formProt w:val="0"/>
      <w:docGrid w:type="linesAndChar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lotter">
    <w:altName w:val="Lucida Console"/>
    <w:panose1 w:val="00000000000000000000"/>
    <w:charset w:val="00"/>
    <w:family w:val="moder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Century Schoolbook">
    <w:altName w:val="Century"/>
    <w:panose1 w:val="02040604050505020304"/>
    <w:charset w:val="00"/>
    <w:family w:val="roman"/>
    <w:pitch w:val="default"/>
    <w:sig w:usb0="00000000" w:usb1="00000000" w:usb2="00000000" w:usb3="00000000" w:csb0="2000009F" w:csb1="DFD70000"/>
  </w:font>
  <w:font w:name="MingLiU">
    <w:altName w:val="PMingLiU-ExtB"/>
    <w:panose1 w:val="02020509000000000000"/>
    <w:charset w:val="88"/>
    <w:family w:val="modern"/>
    <w:pitch w:val="default"/>
    <w:sig w:usb0="00000000" w:usb1="00000000" w:usb2="00000016" w:usb3="00000000" w:csb0="00100001" w:csb1="00000000"/>
  </w:font>
  <w:font w:name="ˎ̥">
    <w:altName w:val="Courier New"/>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8000012" w:usb3="00000000" w:csb0="4002009F" w:csb1="DFD70000"/>
  </w:font>
  <w:font w:name="AdobeHeitiStd-Regular">
    <w:altName w:val="黑体"/>
    <w:panose1 w:val="00000000000000000000"/>
    <w:charset w:val="86"/>
    <w:family w:val="auto"/>
    <w:pitch w:val="default"/>
    <w:sig w:usb0="00000000" w:usb1="00000000" w:usb2="0000001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Lucida Console">
    <w:panose1 w:val="020B0609040504020204"/>
    <w:charset w:val="00"/>
    <w:family w:val="auto"/>
    <w:pitch w:val="default"/>
    <w:sig w:usb0="8000028F" w:usb1="00001800" w:usb2="00000000" w:usb3="00000000" w:csb0="0000001F" w:csb1="D7D70000"/>
  </w:font>
  <w:font w:name="Century">
    <w:panose1 w:val="02040604050505020304"/>
    <w:charset w:val="00"/>
    <w:family w:val="auto"/>
    <w:pitch w:val="default"/>
    <w:sig w:usb0="00000287" w:usb1="00000000" w:usb2="00000000" w:usb3="00000000" w:csb0="2000009F" w:csb1="DFD7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Segoe UI Historic">
    <w:panose1 w:val="020B0502040204020203"/>
    <w:charset w:val="00"/>
    <w:family w:val="auto"/>
    <w:pitch w:val="default"/>
    <w:sig w:usb0="800001EF" w:usb1="02000002" w:usb2="0060C080" w:usb3="00000002" w:csb0="00000001" w:csb1="40000000"/>
  </w:font>
  <w:font w:name="Segoe UI Semilight">
    <w:panose1 w:val="020B0402040204020203"/>
    <w:charset w:val="00"/>
    <w:family w:val="auto"/>
    <w:pitch w:val="default"/>
    <w:sig w:usb0="E4002EFF" w:usb1="C000E47F"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Roboto">
    <w:panose1 w:val="02000000000000000000"/>
    <w:charset w:val="00"/>
    <w:family w:val="auto"/>
    <w:pitch w:val="default"/>
    <w:sig w:usb0="E0000AFF" w:usb1="5000217F" w:usb2="00000021" w:usb3="00000000" w:csb0="2000019F" w:csb1="00000000"/>
  </w:font>
  <w:font w:name="MT Extra">
    <w:panose1 w:val="05050102010205020202"/>
    <w:charset w:val="00"/>
    <w:family w:val="auto"/>
    <w:pitch w:val="default"/>
    <w:sig w:usb0="80000000" w:usb1="00000000" w:usb2="00000000" w:usb3="00000000" w:csb0="00000000" w:csb1="00000000"/>
  </w:font>
  <w:font w:name="Microsoft Himalaya">
    <w:panose1 w:val="01010100010101010101"/>
    <w:charset w:val="00"/>
    <w:family w:val="auto"/>
    <w:pitch w:val="default"/>
    <w:sig w:usb0="80000003" w:usb1="00010000" w:usb2="00000040" w:usb3="00000000" w:csb0="00000001" w:csb1="00000000"/>
  </w:font>
  <w:font w:name="Garamond">
    <w:panose1 w:val="02020404030301010803"/>
    <w:charset w:val="00"/>
    <w:family w:val="auto"/>
    <w:pitch w:val="default"/>
    <w:sig w:usb0="00000287" w:usb1="00000000" w:usb2="00000000" w:usb3="00000000" w:csb0="0000009F" w:csb1="DFD70000"/>
  </w:font>
  <w:font w:name="DIN Next LT Pro">
    <w:panose1 w:val="020B0503020203050203"/>
    <w:charset w:val="00"/>
    <w:family w:val="auto"/>
    <w:pitch w:val="default"/>
    <w:sig w:usb0="A00000AF" w:usb1="5000205B" w:usb2="00000000" w:usb3="00000000" w:csb0="2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B36FA">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A97EF">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4C8DD">
    <w:pPr>
      <w:pStyle w:val="112"/>
    </w:pPr>
    <w:r>
      <w:fldChar w:fldCharType="begin"/>
    </w:r>
    <w:r>
      <w:instrText xml:space="preserve"> PAGE  \* MERGEFORMAT </w:instrText>
    </w:r>
    <w:r>
      <w:fldChar w:fldCharType="separate"/>
    </w:r>
    <w:r>
      <w:t>II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8B910">
    <w:pPr>
      <w:pStyle w:val="112"/>
    </w:pPr>
    <w:r>
      <w:fldChar w:fldCharType="begin"/>
    </w:r>
    <w:r>
      <w:instrText xml:space="preserve"> PAGE  \* MERGEFORMAT </w:instrText>
    </w:r>
    <w:r>
      <w:fldChar w:fldCharType="separate"/>
    </w:r>
    <w:r>
      <w:t>129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FD39F">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95DC">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11897">
    <w:pPr>
      <w:pStyle w:val="111"/>
    </w:pPr>
    <w:r>
      <w:t>DB11/T</w:t>
    </w:r>
    <w:r>
      <w:rPr>
        <w:rFonts w:hint="eastAsia"/>
      </w:rPr>
      <w:t xml:space="preserve"> </w:t>
    </w:r>
    <w:r>
      <w:t>1322.50—XXXX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90096"/>
    <w:multiLevelType w:val="singleLevel"/>
    <w:tmpl w:val="90190096"/>
    <w:lvl w:ilvl="0" w:tentative="0">
      <w:start w:val="1"/>
      <w:numFmt w:val="lowerLetter"/>
      <w:lvlText w:val="%1)"/>
      <w:lvlJc w:val="left"/>
      <w:pPr>
        <w:tabs>
          <w:tab w:val="left" w:pos="312"/>
        </w:tabs>
      </w:pPr>
    </w:lvl>
  </w:abstractNum>
  <w:abstractNum w:abstractNumId="1">
    <w:nsid w:val="976EFD3B"/>
    <w:multiLevelType w:val="singleLevel"/>
    <w:tmpl w:val="976EFD3B"/>
    <w:lvl w:ilvl="0" w:tentative="0">
      <w:start w:val="1"/>
      <w:numFmt w:val="decimal"/>
      <w:suff w:val="nothing"/>
      <w:lvlText w:val="%1）"/>
      <w:lvlJc w:val="left"/>
    </w:lvl>
  </w:abstractNum>
  <w:abstractNum w:abstractNumId="2">
    <w:nsid w:val="9A921398"/>
    <w:multiLevelType w:val="singleLevel"/>
    <w:tmpl w:val="9A921398"/>
    <w:lvl w:ilvl="0" w:tentative="0">
      <w:start w:val="1"/>
      <w:numFmt w:val="lowerLetter"/>
      <w:suff w:val="nothing"/>
      <w:lvlText w:val="%1）"/>
      <w:lvlJc w:val="left"/>
      <w:rPr>
        <w:rFonts w:hint="default" w:asciiTheme="majorEastAsia" w:hAnsiTheme="majorEastAsia" w:eastAsiaTheme="majorEastAsia" w:cstheme="majorEastAsia"/>
        <w:sz w:val="18"/>
        <w:szCs w:val="18"/>
      </w:rPr>
    </w:lvl>
  </w:abstractNum>
  <w:abstractNum w:abstractNumId="3">
    <w:nsid w:val="A21C43A5"/>
    <w:multiLevelType w:val="singleLevel"/>
    <w:tmpl w:val="A21C43A5"/>
    <w:lvl w:ilvl="0" w:tentative="0">
      <w:start w:val="2"/>
      <w:numFmt w:val="decimal"/>
      <w:suff w:val="nothing"/>
      <w:lvlText w:val="%1）"/>
      <w:lvlJc w:val="left"/>
    </w:lvl>
  </w:abstractNum>
  <w:abstractNum w:abstractNumId="4">
    <w:nsid w:val="A69F44FB"/>
    <w:multiLevelType w:val="singleLevel"/>
    <w:tmpl w:val="A69F44FB"/>
    <w:lvl w:ilvl="0" w:tentative="0">
      <w:start w:val="1"/>
      <w:numFmt w:val="lowerLetter"/>
      <w:suff w:val="space"/>
      <w:lvlText w:val="%1)"/>
      <w:lvlJc w:val="left"/>
    </w:lvl>
  </w:abstractNum>
  <w:abstractNum w:abstractNumId="5">
    <w:nsid w:val="A85BB94B"/>
    <w:multiLevelType w:val="singleLevel"/>
    <w:tmpl w:val="A85BB94B"/>
    <w:lvl w:ilvl="0" w:tentative="0">
      <w:start w:val="1"/>
      <w:numFmt w:val="lowerLetter"/>
      <w:suff w:val="nothing"/>
      <w:lvlText w:val="%1）"/>
      <w:lvlJc w:val="left"/>
    </w:lvl>
  </w:abstractNum>
  <w:abstractNum w:abstractNumId="6">
    <w:nsid w:val="BD981FF8"/>
    <w:multiLevelType w:val="singleLevel"/>
    <w:tmpl w:val="BD981FF8"/>
    <w:lvl w:ilvl="0" w:tentative="0">
      <w:start w:val="1"/>
      <w:numFmt w:val="lowerLetter"/>
      <w:lvlText w:val="%1)"/>
      <w:lvlJc w:val="left"/>
      <w:pPr>
        <w:tabs>
          <w:tab w:val="left" w:pos="312"/>
        </w:tabs>
      </w:pPr>
    </w:lvl>
  </w:abstractNum>
  <w:abstractNum w:abstractNumId="7">
    <w:nsid w:val="C7FCDBB1"/>
    <w:multiLevelType w:val="singleLevel"/>
    <w:tmpl w:val="C7FCDBB1"/>
    <w:lvl w:ilvl="0" w:tentative="0">
      <w:start w:val="1"/>
      <w:numFmt w:val="lowerLetter"/>
      <w:suff w:val="nothing"/>
      <w:lvlText w:val="%1）"/>
      <w:lvlJc w:val="left"/>
    </w:lvl>
  </w:abstractNum>
  <w:abstractNum w:abstractNumId="8">
    <w:nsid w:val="CB324A42"/>
    <w:multiLevelType w:val="singleLevel"/>
    <w:tmpl w:val="CB324A42"/>
    <w:lvl w:ilvl="0" w:tentative="0">
      <w:start w:val="1"/>
      <w:numFmt w:val="lowerLetter"/>
      <w:suff w:val="nothing"/>
      <w:lvlText w:val="%1）"/>
      <w:lvlJc w:val="left"/>
    </w:lvl>
  </w:abstractNum>
  <w:abstractNum w:abstractNumId="9">
    <w:nsid w:val="E24B3E92"/>
    <w:multiLevelType w:val="singleLevel"/>
    <w:tmpl w:val="E24B3E92"/>
    <w:lvl w:ilvl="0" w:tentative="0">
      <w:start w:val="1"/>
      <w:numFmt w:val="lowerLetter"/>
      <w:suff w:val="nothing"/>
      <w:lvlText w:val="%1）"/>
      <w:lvlJc w:val="left"/>
    </w:lvl>
  </w:abstractNum>
  <w:abstractNum w:abstractNumId="10">
    <w:nsid w:val="EA7CF576"/>
    <w:multiLevelType w:val="singleLevel"/>
    <w:tmpl w:val="EA7CF576"/>
    <w:lvl w:ilvl="0" w:tentative="0">
      <w:start w:val="1"/>
      <w:numFmt w:val="lowerLetter"/>
      <w:suff w:val="nothing"/>
      <w:lvlText w:val="%1）"/>
      <w:lvlJc w:val="left"/>
    </w:lvl>
  </w:abstractNum>
  <w:abstractNum w:abstractNumId="11">
    <w:nsid w:val="F1BDA9C8"/>
    <w:multiLevelType w:val="singleLevel"/>
    <w:tmpl w:val="F1BDA9C8"/>
    <w:lvl w:ilvl="0" w:tentative="0">
      <w:start w:val="1"/>
      <w:numFmt w:val="lowerLetter"/>
      <w:suff w:val="nothing"/>
      <w:lvlText w:val="%1）"/>
      <w:lvlJc w:val="left"/>
    </w:lvl>
  </w:abstractNum>
  <w:abstractNum w:abstractNumId="12">
    <w:nsid w:val="F2D900EA"/>
    <w:multiLevelType w:val="singleLevel"/>
    <w:tmpl w:val="F2D900EA"/>
    <w:lvl w:ilvl="0" w:tentative="0">
      <w:start w:val="1"/>
      <w:numFmt w:val="lowerLetter"/>
      <w:suff w:val="nothing"/>
      <w:lvlText w:val="%1）"/>
      <w:lvlJc w:val="left"/>
    </w:lvl>
  </w:abstractNum>
  <w:abstractNum w:abstractNumId="13">
    <w:nsid w:val="F81A0FDC"/>
    <w:multiLevelType w:val="singleLevel"/>
    <w:tmpl w:val="F81A0FDC"/>
    <w:lvl w:ilvl="0" w:tentative="0">
      <w:start w:val="1"/>
      <w:numFmt w:val="decimal"/>
      <w:suff w:val="nothing"/>
      <w:lvlText w:val="%1）"/>
      <w:lvlJc w:val="left"/>
    </w:lvl>
  </w:abstractNum>
  <w:abstractNum w:abstractNumId="14">
    <w:nsid w:val="F8F6F495"/>
    <w:multiLevelType w:val="singleLevel"/>
    <w:tmpl w:val="F8F6F495"/>
    <w:lvl w:ilvl="0" w:tentative="0">
      <w:start w:val="1"/>
      <w:numFmt w:val="lowerLetter"/>
      <w:suff w:val="nothing"/>
      <w:lvlText w:val="%1）"/>
      <w:lvlJc w:val="left"/>
    </w:lvl>
  </w:abstractNum>
  <w:abstractNum w:abstractNumId="15">
    <w:nsid w:val="FCED26C8"/>
    <w:multiLevelType w:val="singleLevel"/>
    <w:tmpl w:val="FCED26C8"/>
    <w:lvl w:ilvl="0" w:tentative="0">
      <w:start w:val="1"/>
      <w:numFmt w:val="decimal"/>
      <w:suff w:val="nothing"/>
      <w:lvlText w:val="%1）"/>
      <w:lvlJc w:val="left"/>
    </w:lvl>
  </w:abstractNum>
  <w:abstractNum w:abstractNumId="16">
    <w:nsid w:val="00F8F8BB"/>
    <w:multiLevelType w:val="singleLevel"/>
    <w:tmpl w:val="00F8F8BB"/>
    <w:lvl w:ilvl="0" w:tentative="0">
      <w:start w:val="1"/>
      <w:numFmt w:val="lowerLetter"/>
      <w:suff w:val="nothing"/>
      <w:lvlText w:val="%1）"/>
      <w:lvlJc w:val="left"/>
    </w:lvl>
  </w:abstractNum>
  <w:abstractNum w:abstractNumId="17">
    <w:nsid w:val="020C9D57"/>
    <w:multiLevelType w:val="singleLevel"/>
    <w:tmpl w:val="020C9D57"/>
    <w:lvl w:ilvl="0" w:tentative="0">
      <w:start w:val="1"/>
      <w:numFmt w:val="lowerLetter"/>
      <w:suff w:val="nothing"/>
      <w:lvlText w:val="%1）"/>
      <w:lvlJc w:val="left"/>
    </w:lvl>
  </w:abstractNum>
  <w:abstractNum w:abstractNumId="18">
    <w:nsid w:val="079102AD"/>
    <w:multiLevelType w:val="multilevel"/>
    <w:tmpl w:val="079102AD"/>
    <w:lvl w:ilvl="0" w:tentative="0">
      <w:start w:val="1"/>
      <w:numFmt w:val="decimal"/>
      <w:pStyle w:val="129"/>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9">
    <w:nsid w:val="093C6778"/>
    <w:multiLevelType w:val="multilevel"/>
    <w:tmpl w:val="093C6778"/>
    <w:lvl w:ilvl="0" w:tentative="0">
      <w:start w:val="1"/>
      <w:numFmt w:val="decimal"/>
      <w:pStyle w:val="95"/>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0">
    <w:nsid w:val="0AE367E9"/>
    <w:multiLevelType w:val="multilevel"/>
    <w:tmpl w:val="0AE367E9"/>
    <w:lvl w:ilvl="0" w:tentative="0">
      <w:start w:val="1"/>
      <w:numFmt w:val="none"/>
      <w:pStyle w:val="118"/>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21">
    <w:nsid w:val="0DDE2B46"/>
    <w:multiLevelType w:val="multilevel"/>
    <w:tmpl w:val="0DDE2B46"/>
    <w:lvl w:ilvl="0" w:tentative="0">
      <w:start w:val="1"/>
      <w:numFmt w:val="lowerLetter"/>
      <w:pStyle w:val="192"/>
      <w:suff w:val="nothing"/>
      <w:lvlText w:val="%1   "/>
      <w:lvlJc w:val="left"/>
      <w:pPr>
        <w:ind w:left="544" w:hanging="181"/>
      </w:pPr>
      <w:rPr>
        <w:rFonts w:hint="eastAsia" w:ascii="宋体" w:hAns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22">
    <w:nsid w:val="10034104"/>
    <w:multiLevelType w:val="singleLevel"/>
    <w:tmpl w:val="10034104"/>
    <w:lvl w:ilvl="0" w:tentative="0">
      <w:start w:val="1"/>
      <w:numFmt w:val="lowerLetter"/>
      <w:lvlText w:val="%1)"/>
      <w:lvlJc w:val="left"/>
      <w:pPr>
        <w:tabs>
          <w:tab w:val="left" w:pos="312"/>
        </w:tabs>
      </w:pPr>
    </w:lvl>
  </w:abstractNum>
  <w:abstractNum w:abstractNumId="23">
    <w:nsid w:val="1A509D91"/>
    <w:multiLevelType w:val="singleLevel"/>
    <w:tmpl w:val="1A509D91"/>
    <w:lvl w:ilvl="0" w:tentative="0">
      <w:start w:val="1"/>
      <w:numFmt w:val="lowerLetter"/>
      <w:suff w:val="nothing"/>
      <w:lvlText w:val="%1）"/>
      <w:lvlJc w:val="left"/>
    </w:lvl>
  </w:abstractNum>
  <w:abstractNum w:abstractNumId="24">
    <w:nsid w:val="1BA9BB37"/>
    <w:multiLevelType w:val="singleLevel"/>
    <w:tmpl w:val="1BA9BB37"/>
    <w:lvl w:ilvl="0" w:tentative="0">
      <w:start w:val="1"/>
      <w:numFmt w:val="lowerLetter"/>
      <w:suff w:val="nothing"/>
      <w:lvlText w:val="%1）"/>
      <w:lvlJc w:val="left"/>
      <w:pPr>
        <w:ind w:left="0"/>
      </w:pPr>
    </w:lvl>
  </w:abstractNum>
  <w:abstractNum w:abstractNumId="25">
    <w:nsid w:val="1CB123C7"/>
    <w:multiLevelType w:val="singleLevel"/>
    <w:tmpl w:val="1CB123C7"/>
    <w:lvl w:ilvl="0" w:tentative="0">
      <w:start w:val="2"/>
      <w:numFmt w:val="decimal"/>
      <w:suff w:val="nothing"/>
      <w:lvlText w:val="%1）"/>
      <w:lvlJc w:val="left"/>
    </w:lvl>
  </w:abstractNum>
  <w:abstractNum w:abstractNumId="26">
    <w:nsid w:val="1DBF583A"/>
    <w:multiLevelType w:val="multilevel"/>
    <w:tmpl w:val="1DBF583A"/>
    <w:lvl w:ilvl="0" w:tentative="0">
      <w:start w:val="1"/>
      <w:numFmt w:val="decimal"/>
      <w:pStyle w:val="136"/>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27">
    <w:nsid w:val="1FC91163"/>
    <w:multiLevelType w:val="multilevel"/>
    <w:tmpl w:val="1FC91163"/>
    <w:lvl w:ilvl="0" w:tentative="0">
      <w:start w:val="1"/>
      <w:numFmt w:val="decimal"/>
      <w:pStyle w:val="109"/>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99"/>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10"/>
      <w:suff w:val="nothing"/>
      <w:lvlText w:val="%1.%2.%3　"/>
      <w:lvlJc w:val="left"/>
      <w:pPr>
        <w:ind w:left="0" w:firstLine="0"/>
      </w:pPr>
      <w:rPr>
        <w:rFonts w:hint="eastAsia" w:ascii="黑体" w:hAnsi="Times New Roman" w:eastAsia="黑体"/>
        <w:b w:val="0"/>
        <w:i w:val="0"/>
        <w:sz w:val="21"/>
      </w:rPr>
    </w:lvl>
    <w:lvl w:ilvl="3" w:tentative="0">
      <w:start w:val="1"/>
      <w:numFmt w:val="decimal"/>
      <w:pStyle w:val="117"/>
      <w:suff w:val="nothing"/>
      <w:lvlText w:val="%1.%2.%3.%4　"/>
      <w:lvlJc w:val="left"/>
      <w:pPr>
        <w:ind w:left="1050" w:firstLine="0"/>
      </w:pPr>
      <w:rPr>
        <w:rFonts w:hint="eastAsia" w:ascii="黑体" w:hAnsi="Times New Roman" w:eastAsia="黑体"/>
        <w:b w:val="0"/>
        <w:i w:val="0"/>
        <w:sz w:val="21"/>
      </w:rPr>
    </w:lvl>
    <w:lvl w:ilvl="4" w:tentative="0">
      <w:start w:val="1"/>
      <w:numFmt w:val="decimal"/>
      <w:pStyle w:val="126"/>
      <w:suff w:val="nothing"/>
      <w:lvlText w:val="%1.%2.%3.%4.%5　"/>
      <w:lvlJc w:val="left"/>
      <w:pPr>
        <w:ind w:left="0" w:firstLine="0"/>
      </w:pPr>
      <w:rPr>
        <w:rFonts w:hint="eastAsia" w:ascii="黑体" w:hAnsi="Times New Roman" w:eastAsia="黑体"/>
        <w:b w:val="0"/>
        <w:i w:val="0"/>
        <w:sz w:val="21"/>
      </w:rPr>
    </w:lvl>
    <w:lvl w:ilvl="5" w:tentative="0">
      <w:start w:val="1"/>
      <w:numFmt w:val="decimal"/>
      <w:pStyle w:val="127"/>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2240A4C3"/>
    <w:multiLevelType w:val="singleLevel"/>
    <w:tmpl w:val="2240A4C3"/>
    <w:lvl w:ilvl="0" w:tentative="0">
      <w:start w:val="1"/>
      <w:numFmt w:val="lowerLetter"/>
      <w:suff w:val="nothing"/>
      <w:lvlText w:val="%1）"/>
      <w:lvlJc w:val="left"/>
    </w:lvl>
  </w:abstractNum>
  <w:abstractNum w:abstractNumId="29">
    <w:nsid w:val="2A8F7113"/>
    <w:multiLevelType w:val="multilevel"/>
    <w:tmpl w:val="2A8F7113"/>
    <w:lvl w:ilvl="0" w:tentative="0">
      <w:start w:val="1"/>
      <w:numFmt w:val="upperLetter"/>
      <w:pStyle w:val="174"/>
      <w:suff w:val="space"/>
      <w:lvlText w:val="%1"/>
      <w:lvlJc w:val="left"/>
      <w:pPr>
        <w:ind w:left="623" w:hanging="425"/>
      </w:pPr>
      <w:rPr>
        <w:rFonts w:hint="eastAsia"/>
      </w:rPr>
    </w:lvl>
    <w:lvl w:ilvl="1" w:tentative="0">
      <w:start w:val="1"/>
      <w:numFmt w:val="decimal"/>
      <w:pStyle w:val="162"/>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30">
    <w:nsid w:val="2C5917C3"/>
    <w:multiLevelType w:val="multilevel"/>
    <w:tmpl w:val="2C5917C3"/>
    <w:lvl w:ilvl="0" w:tentative="0">
      <w:start w:val="1"/>
      <w:numFmt w:val="none"/>
      <w:pStyle w:val="114"/>
      <w:suff w:val="nothing"/>
      <w:lvlText w:val="%1——"/>
      <w:lvlJc w:val="left"/>
      <w:pPr>
        <w:ind w:left="833" w:hanging="408"/>
      </w:pPr>
      <w:rPr>
        <w:rFonts w:hint="eastAsia"/>
      </w:rPr>
    </w:lvl>
    <w:lvl w:ilvl="1" w:tentative="0">
      <w:start w:val="1"/>
      <w:numFmt w:val="bullet"/>
      <w:pStyle w:val="115"/>
      <w:lvlText w:val=""/>
      <w:lvlJc w:val="left"/>
      <w:pPr>
        <w:tabs>
          <w:tab w:val="left" w:pos="760"/>
        </w:tabs>
        <w:ind w:left="1264" w:hanging="413"/>
      </w:pPr>
      <w:rPr>
        <w:rFonts w:hint="default" w:ascii="Symbol" w:hAnsi="Symbol"/>
        <w:color w:val="auto"/>
      </w:rPr>
    </w:lvl>
    <w:lvl w:ilvl="2" w:tentative="0">
      <w:start w:val="1"/>
      <w:numFmt w:val="bullet"/>
      <w:pStyle w:val="13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31">
    <w:nsid w:val="2D622260"/>
    <w:multiLevelType w:val="singleLevel"/>
    <w:tmpl w:val="2D622260"/>
    <w:lvl w:ilvl="0" w:tentative="0">
      <w:start w:val="1"/>
      <w:numFmt w:val="lowerLetter"/>
      <w:suff w:val="nothing"/>
      <w:lvlText w:val="%1）"/>
      <w:lvlJc w:val="left"/>
    </w:lvl>
  </w:abstractNum>
  <w:abstractNum w:abstractNumId="32">
    <w:nsid w:val="37424075"/>
    <w:multiLevelType w:val="singleLevel"/>
    <w:tmpl w:val="37424075"/>
    <w:lvl w:ilvl="0" w:tentative="0">
      <w:start w:val="1"/>
      <w:numFmt w:val="lowerLetter"/>
      <w:suff w:val="nothing"/>
      <w:lvlText w:val="%1）"/>
      <w:lvlJc w:val="left"/>
    </w:lvl>
  </w:abstractNum>
  <w:abstractNum w:abstractNumId="33">
    <w:nsid w:val="3BD4EB36"/>
    <w:multiLevelType w:val="singleLevel"/>
    <w:tmpl w:val="3BD4EB36"/>
    <w:lvl w:ilvl="0" w:tentative="0">
      <w:start w:val="1"/>
      <w:numFmt w:val="lowerLetter"/>
      <w:suff w:val="nothing"/>
      <w:lvlText w:val="%1）"/>
      <w:lvlJc w:val="left"/>
    </w:lvl>
  </w:abstractNum>
  <w:abstractNum w:abstractNumId="34">
    <w:nsid w:val="3D733618"/>
    <w:multiLevelType w:val="multilevel"/>
    <w:tmpl w:val="3D733618"/>
    <w:lvl w:ilvl="0" w:tentative="0">
      <w:start w:val="1"/>
      <w:numFmt w:val="decimal"/>
      <w:pStyle w:val="38"/>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35">
    <w:nsid w:val="44C50F90"/>
    <w:multiLevelType w:val="multilevel"/>
    <w:tmpl w:val="44C50F90"/>
    <w:lvl w:ilvl="0" w:tentative="0">
      <w:start w:val="1"/>
      <w:numFmt w:val="lowerLetter"/>
      <w:pStyle w:val="130"/>
      <w:lvlText w:val="%1)"/>
      <w:lvlJc w:val="left"/>
      <w:pPr>
        <w:tabs>
          <w:tab w:val="left" w:pos="840"/>
        </w:tabs>
        <w:ind w:left="839" w:hanging="419"/>
      </w:pPr>
      <w:rPr>
        <w:rFonts w:hint="eastAsia" w:ascii="宋体" w:hAnsi="宋体" w:eastAsia="宋体"/>
        <w:b w:val="0"/>
        <w:i w:val="0"/>
        <w:sz w:val="20"/>
        <w:szCs w:val="21"/>
      </w:rPr>
    </w:lvl>
    <w:lvl w:ilvl="1" w:tentative="0">
      <w:start w:val="1"/>
      <w:numFmt w:val="decimal"/>
      <w:pStyle w:val="124"/>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132"/>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36">
    <w:nsid w:val="45A678FD"/>
    <w:multiLevelType w:val="singleLevel"/>
    <w:tmpl w:val="45A678FD"/>
    <w:lvl w:ilvl="0" w:tentative="0">
      <w:start w:val="1"/>
      <w:numFmt w:val="lowerLetter"/>
      <w:suff w:val="nothing"/>
      <w:lvlText w:val="%1）"/>
      <w:lvlJc w:val="left"/>
    </w:lvl>
  </w:abstractNum>
  <w:abstractNum w:abstractNumId="37">
    <w:nsid w:val="46FF0E26"/>
    <w:multiLevelType w:val="singleLevel"/>
    <w:tmpl w:val="46FF0E26"/>
    <w:lvl w:ilvl="0" w:tentative="0">
      <w:start w:val="1"/>
      <w:numFmt w:val="lowerLetter"/>
      <w:suff w:val="nothing"/>
      <w:lvlText w:val="%1）"/>
      <w:lvlJc w:val="left"/>
    </w:lvl>
  </w:abstractNum>
  <w:abstractNum w:abstractNumId="38">
    <w:nsid w:val="4B733A5F"/>
    <w:multiLevelType w:val="multilevel"/>
    <w:tmpl w:val="4B733A5F"/>
    <w:lvl w:ilvl="0" w:tentative="0">
      <w:start w:val="1"/>
      <w:numFmt w:val="decimal"/>
      <w:pStyle w:val="133"/>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39">
    <w:nsid w:val="557C2AF5"/>
    <w:multiLevelType w:val="multilevel"/>
    <w:tmpl w:val="557C2AF5"/>
    <w:lvl w:ilvl="0" w:tentative="0">
      <w:start w:val="1"/>
      <w:numFmt w:val="decimal"/>
      <w:pStyle w:val="191"/>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0">
    <w:nsid w:val="55963F67"/>
    <w:multiLevelType w:val="singleLevel"/>
    <w:tmpl w:val="55963F67"/>
    <w:lvl w:ilvl="0" w:tentative="0">
      <w:start w:val="1"/>
      <w:numFmt w:val="lowerLetter"/>
      <w:suff w:val="nothing"/>
      <w:lvlText w:val="%1）"/>
      <w:lvlJc w:val="left"/>
      <w:rPr>
        <w:rFonts w:hint="default" w:ascii="宋体" w:hAnsi="宋体" w:eastAsia="宋体" w:cs="宋体"/>
        <w:sz w:val="18"/>
        <w:szCs w:val="18"/>
      </w:rPr>
    </w:lvl>
  </w:abstractNum>
  <w:abstractNum w:abstractNumId="41">
    <w:nsid w:val="60B55DC2"/>
    <w:multiLevelType w:val="multilevel"/>
    <w:tmpl w:val="60B55DC2"/>
    <w:lvl w:ilvl="0" w:tentative="0">
      <w:start w:val="1"/>
      <w:numFmt w:val="upperLetter"/>
      <w:pStyle w:val="167"/>
      <w:lvlText w:val="%1"/>
      <w:lvlJc w:val="left"/>
      <w:pPr>
        <w:tabs>
          <w:tab w:val="left" w:pos="0"/>
        </w:tabs>
        <w:ind w:left="0" w:hanging="425"/>
      </w:pPr>
      <w:rPr>
        <w:rFonts w:hint="eastAsia"/>
      </w:rPr>
    </w:lvl>
    <w:lvl w:ilvl="1" w:tentative="0">
      <w:start w:val="1"/>
      <w:numFmt w:val="decimal"/>
      <w:pStyle w:val="168"/>
      <w:suff w:val="nothing"/>
      <w:lvlText w:val="表%1.%2　"/>
      <w:lvlJc w:val="left"/>
      <w:pPr>
        <w:ind w:left="6237" w:hanging="567"/>
      </w:pPr>
      <w:rPr>
        <w:rFonts w:hint="eastAsia"/>
        <w:lang w:val="en-US"/>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42">
    <w:nsid w:val="617B4C41"/>
    <w:multiLevelType w:val="singleLevel"/>
    <w:tmpl w:val="617B4C41"/>
    <w:lvl w:ilvl="0" w:tentative="0">
      <w:start w:val="1"/>
      <w:numFmt w:val="lowerLetter"/>
      <w:suff w:val="nothing"/>
      <w:lvlText w:val="%1）"/>
      <w:lvlJc w:val="left"/>
    </w:lvl>
  </w:abstractNum>
  <w:abstractNum w:abstractNumId="43">
    <w:nsid w:val="646260FA"/>
    <w:multiLevelType w:val="multilevel"/>
    <w:tmpl w:val="646260FA"/>
    <w:lvl w:ilvl="0" w:tentative="0">
      <w:start w:val="1"/>
      <w:numFmt w:val="decimal"/>
      <w:pStyle w:val="199"/>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4">
    <w:nsid w:val="657D3FBC"/>
    <w:multiLevelType w:val="multilevel"/>
    <w:tmpl w:val="657D3FBC"/>
    <w:lvl w:ilvl="0" w:tentative="0">
      <w:start w:val="1"/>
      <w:numFmt w:val="upperLetter"/>
      <w:pStyle w:val="160"/>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4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56"/>
      <w:suff w:val="nothing"/>
      <w:lvlText w:val="%1.%2.%3　"/>
      <w:lvlJc w:val="left"/>
      <w:pPr>
        <w:ind w:left="0" w:firstLine="0"/>
      </w:pPr>
      <w:rPr>
        <w:rFonts w:hint="eastAsia" w:ascii="黑体" w:hAnsi="Times New Roman" w:eastAsia="黑体"/>
        <w:b w:val="0"/>
        <w:i w:val="0"/>
        <w:sz w:val="21"/>
      </w:rPr>
    </w:lvl>
    <w:lvl w:ilvl="3" w:tentative="0">
      <w:start w:val="1"/>
      <w:numFmt w:val="decimal"/>
      <w:pStyle w:val="152"/>
      <w:suff w:val="nothing"/>
      <w:lvlText w:val="%1.%2.%3.%4　"/>
      <w:lvlJc w:val="left"/>
      <w:pPr>
        <w:ind w:left="0" w:firstLine="0"/>
      </w:pPr>
      <w:rPr>
        <w:rFonts w:hint="eastAsia" w:ascii="黑体" w:hAnsi="Times New Roman" w:eastAsia="黑体"/>
        <w:b w:val="0"/>
        <w:i w:val="0"/>
        <w:sz w:val="21"/>
      </w:rPr>
    </w:lvl>
    <w:lvl w:ilvl="4" w:tentative="0">
      <w:start w:val="1"/>
      <w:numFmt w:val="decimal"/>
      <w:pStyle w:val="151"/>
      <w:suff w:val="nothing"/>
      <w:lvlText w:val="%1.%2.%3.%4.%5　"/>
      <w:lvlJc w:val="left"/>
      <w:pPr>
        <w:ind w:left="0" w:firstLine="0"/>
      </w:pPr>
      <w:rPr>
        <w:rFonts w:hint="eastAsia" w:ascii="黑体" w:hAnsi="Times New Roman" w:eastAsia="黑体"/>
        <w:b w:val="0"/>
        <w:i w:val="0"/>
        <w:sz w:val="21"/>
      </w:rPr>
    </w:lvl>
    <w:lvl w:ilvl="5" w:tentative="0">
      <w:start w:val="1"/>
      <w:numFmt w:val="decimal"/>
      <w:pStyle w:val="166"/>
      <w:suff w:val="nothing"/>
      <w:lvlText w:val="%1.%2.%3.%4.%5.%6　"/>
      <w:lvlJc w:val="left"/>
      <w:pPr>
        <w:ind w:left="0" w:firstLine="0"/>
      </w:pPr>
      <w:rPr>
        <w:rFonts w:hint="eastAsia" w:ascii="黑体" w:hAnsi="Times New Roman" w:eastAsia="黑体"/>
        <w:b w:val="0"/>
        <w:i w:val="0"/>
        <w:sz w:val="21"/>
      </w:rPr>
    </w:lvl>
    <w:lvl w:ilvl="6" w:tentative="0">
      <w:start w:val="1"/>
      <w:numFmt w:val="decimal"/>
      <w:pStyle w:val="16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5">
    <w:nsid w:val="6D6C07CD"/>
    <w:multiLevelType w:val="multilevel"/>
    <w:tmpl w:val="6D6C07CD"/>
    <w:lvl w:ilvl="0" w:tentative="0">
      <w:start w:val="1"/>
      <w:numFmt w:val="lowerLetter"/>
      <w:pStyle w:val="161"/>
      <w:lvlText w:val="%1)"/>
      <w:lvlJc w:val="left"/>
      <w:pPr>
        <w:tabs>
          <w:tab w:val="left" w:pos="839"/>
        </w:tabs>
        <w:ind w:left="839" w:hanging="419"/>
      </w:pPr>
      <w:rPr>
        <w:rFonts w:hint="eastAsia" w:ascii="宋体" w:eastAsia="宋体"/>
        <w:b w:val="0"/>
        <w:i w:val="0"/>
        <w:sz w:val="21"/>
      </w:rPr>
    </w:lvl>
    <w:lvl w:ilvl="1" w:tentative="0">
      <w:start w:val="1"/>
      <w:numFmt w:val="decimal"/>
      <w:pStyle w:val="154"/>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46">
    <w:nsid w:val="6DBF04F4"/>
    <w:multiLevelType w:val="multilevel"/>
    <w:tmpl w:val="6DBF04F4"/>
    <w:lvl w:ilvl="0" w:tentative="0">
      <w:start w:val="1"/>
      <w:numFmt w:val="none"/>
      <w:pStyle w:val="12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7">
    <w:nsid w:val="72450E13"/>
    <w:multiLevelType w:val="singleLevel"/>
    <w:tmpl w:val="72450E13"/>
    <w:lvl w:ilvl="0" w:tentative="0">
      <w:start w:val="1"/>
      <w:numFmt w:val="lowerLetter"/>
      <w:suff w:val="nothing"/>
      <w:lvlText w:val="%1）"/>
      <w:lvlJc w:val="left"/>
    </w:lvl>
  </w:abstractNum>
  <w:abstractNum w:abstractNumId="48">
    <w:nsid w:val="7A6CA17E"/>
    <w:multiLevelType w:val="singleLevel"/>
    <w:tmpl w:val="7A6CA17E"/>
    <w:lvl w:ilvl="0" w:tentative="0">
      <w:start w:val="1"/>
      <w:numFmt w:val="lowerLetter"/>
      <w:lvlText w:val="%1)"/>
      <w:lvlJc w:val="left"/>
      <w:pPr>
        <w:tabs>
          <w:tab w:val="left" w:pos="312"/>
        </w:tabs>
      </w:pPr>
    </w:lvl>
  </w:abstractNum>
  <w:abstractNum w:abstractNumId="49">
    <w:nsid w:val="7B0FE1E4"/>
    <w:multiLevelType w:val="singleLevel"/>
    <w:tmpl w:val="7B0FE1E4"/>
    <w:lvl w:ilvl="0" w:tentative="0">
      <w:start w:val="1"/>
      <w:numFmt w:val="lowerLetter"/>
      <w:suff w:val="nothing"/>
      <w:lvlText w:val="%1）"/>
      <w:lvlJc w:val="left"/>
    </w:lvl>
  </w:abstractNum>
  <w:abstractNum w:abstractNumId="50">
    <w:nsid w:val="7F107E0D"/>
    <w:multiLevelType w:val="singleLevel"/>
    <w:tmpl w:val="7F107E0D"/>
    <w:lvl w:ilvl="0" w:tentative="0">
      <w:start w:val="1"/>
      <w:numFmt w:val="lowerLetter"/>
      <w:suff w:val="nothing"/>
      <w:lvlText w:val="%1）"/>
      <w:lvlJc w:val="left"/>
    </w:lvl>
  </w:abstractNum>
  <w:num w:numId="1">
    <w:abstractNumId w:val="34"/>
  </w:num>
  <w:num w:numId="2">
    <w:abstractNumId w:val="19"/>
  </w:num>
  <w:num w:numId="3">
    <w:abstractNumId w:val="27"/>
  </w:num>
  <w:num w:numId="4">
    <w:abstractNumId w:val="30"/>
  </w:num>
  <w:num w:numId="5">
    <w:abstractNumId w:val="20"/>
  </w:num>
  <w:num w:numId="6">
    <w:abstractNumId w:val="35"/>
  </w:num>
  <w:num w:numId="7">
    <w:abstractNumId w:val="46"/>
  </w:num>
  <w:num w:numId="8">
    <w:abstractNumId w:val="18"/>
  </w:num>
  <w:num w:numId="9">
    <w:abstractNumId w:val="38"/>
  </w:num>
  <w:num w:numId="10">
    <w:abstractNumId w:val="26"/>
  </w:num>
  <w:num w:numId="11">
    <w:abstractNumId w:val="44"/>
  </w:num>
  <w:num w:numId="12">
    <w:abstractNumId w:val="45"/>
  </w:num>
  <w:num w:numId="13">
    <w:abstractNumId w:val="29"/>
  </w:num>
  <w:num w:numId="14">
    <w:abstractNumId w:val="41"/>
  </w:num>
  <w:num w:numId="15">
    <w:abstractNumId w:val="39"/>
  </w:num>
  <w:num w:numId="16">
    <w:abstractNumId w:val="21"/>
  </w:num>
  <w:num w:numId="17">
    <w:abstractNumId w:val="43"/>
  </w:num>
  <w:num w:numId="18">
    <w:abstractNumId w:val="4"/>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9"/>
  </w:num>
  <w:num w:numId="46">
    <w:abstractNumId w:val="48"/>
  </w:num>
  <w:num w:numId="47">
    <w:abstractNumId w:val="6"/>
  </w:num>
  <w:num w:numId="48">
    <w:abstractNumId w:val="22"/>
  </w:num>
  <w:num w:numId="49">
    <w:abstractNumId w:val="0"/>
  </w:num>
  <w:num w:numId="50">
    <w:abstractNumId w:val="50"/>
  </w:num>
  <w:num w:numId="51">
    <w:abstractNumId w:val="16"/>
  </w:num>
  <w:num w:numId="52">
    <w:abstractNumId w:val="42"/>
  </w:num>
  <w:num w:numId="53">
    <w:abstractNumId w:val="14"/>
  </w:num>
  <w:num w:numId="54">
    <w:abstractNumId w:val="7"/>
  </w:num>
  <w:num w:numId="55">
    <w:abstractNumId w:val="8"/>
  </w:num>
  <w:num w:numId="56">
    <w:abstractNumId w:val="5"/>
  </w:num>
  <w:num w:numId="57">
    <w:abstractNumId w:val="12"/>
  </w:num>
  <w:num w:numId="58">
    <w:abstractNumId w:val="10"/>
  </w:num>
  <w:num w:numId="59">
    <w:abstractNumId w:val="32"/>
  </w:num>
  <w:num w:numId="60">
    <w:abstractNumId w:val="33"/>
  </w:num>
  <w:num w:numId="61">
    <w:abstractNumId w:val="23"/>
  </w:num>
  <w:num w:numId="62">
    <w:abstractNumId w:val="37"/>
  </w:num>
  <w:num w:numId="63">
    <w:abstractNumId w:val="47"/>
  </w:num>
  <w:num w:numId="64">
    <w:abstractNumId w:val="1"/>
  </w:num>
  <w:num w:numId="65">
    <w:abstractNumId w:val="31"/>
  </w:num>
  <w:num w:numId="66">
    <w:abstractNumId w:val="25"/>
  </w:num>
  <w:num w:numId="67">
    <w:abstractNumId w:val="2"/>
  </w:num>
  <w:num w:numId="68">
    <w:abstractNumId w:val="28"/>
  </w:num>
  <w:num w:numId="69">
    <w:abstractNumId w:val="36"/>
  </w:num>
  <w:num w:numId="70">
    <w:abstractNumId w:val="13"/>
  </w:num>
  <w:num w:numId="71">
    <w:abstractNumId w:val="11"/>
  </w:num>
  <w:num w:numId="72">
    <w:abstractNumId w:val="9"/>
  </w:num>
  <w:num w:numId="73">
    <w:abstractNumId w:val="17"/>
  </w:num>
  <w:num w:numId="74">
    <w:abstractNumId w:val="24"/>
  </w:num>
  <w:num w:numId="75">
    <w:abstractNumId w:val="3"/>
  </w:num>
  <w:num w:numId="76">
    <w:abstractNumId w:val="40"/>
  </w:num>
  <w:num w:numId="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iMjZlNzM5YzczY2YzMWRhNzBhZjUwOTdhZDNiN2MifQ=="/>
  </w:docVars>
  <w:rsids>
    <w:rsidRoot w:val="00035925"/>
    <w:rsid w:val="00000244"/>
    <w:rsid w:val="0000185F"/>
    <w:rsid w:val="0000586F"/>
    <w:rsid w:val="000128B9"/>
    <w:rsid w:val="00013D86"/>
    <w:rsid w:val="00013E02"/>
    <w:rsid w:val="0002143C"/>
    <w:rsid w:val="00025A65"/>
    <w:rsid w:val="00026C31"/>
    <w:rsid w:val="00027280"/>
    <w:rsid w:val="000320A7"/>
    <w:rsid w:val="00032A04"/>
    <w:rsid w:val="00035925"/>
    <w:rsid w:val="00035C87"/>
    <w:rsid w:val="00037DE3"/>
    <w:rsid w:val="000513E3"/>
    <w:rsid w:val="0006365B"/>
    <w:rsid w:val="000643E0"/>
    <w:rsid w:val="00065DD4"/>
    <w:rsid w:val="00067CDF"/>
    <w:rsid w:val="000706A7"/>
    <w:rsid w:val="00072967"/>
    <w:rsid w:val="00074FBE"/>
    <w:rsid w:val="00083A09"/>
    <w:rsid w:val="0009005E"/>
    <w:rsid w:val="000912C3"/>
    <w:rsid w:val="00092857"/>
    <w:rsid w:val="00096F8E"/>
    <w:rsid w:val="00097C3B"/>
    <w:rsid w:val="000A20A9"/>
    <w:rsid w:val="000A48B1"/>
    <w:rsid w:val="000A558D"/>
    <w:rsid w:val="000A61F8"/>
    <w:rsid w:val="000A78E5"/>
    <w:rsid w:val="000B1BA7"/>
    <w:rsid w:val="000B3143"/>
    <w:rsid w:val="000B47A2"/>
    <w:rsid w:val="000C1759"/>
    <w:rsid w:val="000C6B05"/>
    <w:rsid w:val="000C6B63"/>
    <w:rsid w:val="000C6DD6"/>
    <w:rsid w:val="000C73D4"/>
    <w:rsid w:val="000D3534"/>
    <w:rsid w:val="000D3D4C"/>
    <w:rsid w:val="000D4F51"/>
    <w:rsid w:val="000D718B"/>
    <w:rsid w:val="000E0C46"/>
    <w:rsid w:val="000E4B48"/>
    <w:rsid w:val="000E5EE0"/>
    <w:rsid w:val="000F030C"/>
    <w:rsid w:val="000F129C"/>
    <w:rsid w:val="00101AE9"/>
    <w:rsid w:val="00102C60"/>
    <w:rsid w:val="00102FED"/>
    <w:rsid w:val="001042BE"/>
    <w:rsid w:val="001056DE"/>
    <w:rsid w:val="0010707B"/>
    <w:rsid w:val="001124C0"/>
    <w:rsid w:val="0011269F"/>
    <w:rsid w:val="0011522B"/>
    <w:rsid w:val="001315D9"/>
    <w:rsid w:val="0013175F"/>
    <w:rsid w:val="00143011"/>
    <w:rsid w:val="0014316E"/>
    <w:rsid w:val="001512B4"/>
    <w:rsid w:val="001620A5"/>
    <w:rsid w:val="00164E53"/>
    <w:rsid w:val="0016699D"/>
    <w:rsid w:val="00175159"/>
    <w:rsid w:val="00176208"/>
    <w:rsid w:val="00177CDD"/>
    <w:rsid w:val="00177D66"/>
    <w:rsid w:val="00181976"/>
    <w:rsid w:val="0018211B"/>
    <w:rsid w:val="00183D51"/>
    <w:rsid w:val="001840D3"/>
    <w:rsid w:val="001856EC"/>
    <w:rsid w:val="001857E2"/>
    <w:rsid w:val="001900F8"/>
    <w:rsid w:val="00191258"/>
    <w:rsid w:val="00192680"/>
    <w:rsid w:val="00193037"/>
    <w:rsid w:val="00193A2C"/>
    <w:rsid w:val="001969A9"/>
    <w:rsid w:val="001A037F"/>
    <w:rsid w:val="001A288E"/>
    <w:rsid w:val="001A59EC"/>
    <w:rsid w:val="001A72F4"/>
    <w:rsid w:val="001B0DD0"/>
    <w:rsid w:val="001B5ACB"/>
    <w:rsid w:val="001B6DC2"/>
    <w:rsid w:val="001C149C"/>
    <w:rsid w:val="001C20F6"/>
    <w:rsid w:val="001C21AC"/>
    <w:rsid w:val="001C42C4"/>
    <w:rsid w:val="001C47BA"/>
    <w:rsid w:val="001C59EA"/>
    <w:rsid w:val="001D406C"/>
    <w:rsid w:val="001D41EE"/>
    <w:rsid w:val="001E0380"/>
    <w:rsid w:val="001E09C7"/>
    <w:rsid w:val="001E13B1"/>
    <w:rsid w:val="001E16E5"/>
    <w:rsid w:val="001E34E2"/>
    <w:rsid w:val="001E6DDF"/>
    <w:rsid w:val="001F3A19"/>
    <w:rsid w:val="001F6982"/>
    <w:rsid w:val="00217148"/>
    <w:rsid w:val="00221129"/>
    <w:rsid w:val="00225EBA"/>
    <w:rsid w:val="00230BE1"/>
    <w:rsid w:val="00231F32"/>
    <w:rsid w:val="00234467"/>
    <w:rsid w:val="00235485"/>
    <w:rsid w:val="00237D8D"/>
    <w:rsid w:val="00241DA2"/>
    <w:rsid w:val="00244CEB"/>
    <w:rsid w:val="00247343"/>
    <w:rsid w:val="00247FEE"/>
    <w:rsid w:val="00250E7D"/>
    <w:rsid w:val="002533CF"/>
    <w:rsid w:val="002565D5"/>
    <w:rsid w:val="0026024E"/>
    <w:rsid w:val="002622C0"/>
    <w:rsid w:val="00265035"/>
    <w:rsid w:val="00266807"/>
    <w:rsid w:val="00275B61"/>
    <w:rsid w:val="002778AE"/>
    <w:rsid w:val="00277BFF"/>
    <w:rsid w:val="0028269A"/>
    <w:rsid w:val="00283590"/>
    <w:rsid w:val="00286973"/>
    <w:rsid w:val="002942DB"/>
    <w:rsid w:val="00294E70"/>
    <w:rsid w:val="002A1924"/>
    <w:rsid w:val="002A383B"/>
    <w:rsid w:val="002A7420"/>
    <w:rsid w:val="002B0F12"/>
    <w:rsid w:val="002B1308"/>
    <w:rsid w:val="002B3C71"/>
    <w:rsid w:val="002B4554"/>
    <w:rsid w:val="002C2A98"/>
    <w:rsid w:val="002C72D8"/>
    <w:rsid w:val="002D11FA"/>
    <w:rsid w:val="002D6DF9"/>
    <w:rsid w:val="002E0DDF"/>
    <w:rsid w:val="002E2906"/>
    <w:rsid w:val="002E3046"/>
    <w:rsid w:val="002E5635"/>
    <w:rsid w:val="002E64C3"/>
    <w:rsid w:val="002E6A2C"/>
    <w:rsid w:val="002E6BE4"/>
    <w:rsid w:val="002F1D8C"/>
    <w:rsid w:val="002F21DA"/>
    <w:rsid w:val="002F4098"/>
    <w:rsid w:val="00301F39"/>
    <w:rsid w:val="003035CC"/>
    <w:rsid w:val="00305CCB"/>
    <w:rsid w:val="00324FF0"/>
    <w:rsid w:val="00325698"/>
    <w:rsid w:val="00325926"/>
    <w:rsid w:val="00325C9E"/>
    <w:rsid w:val="00325F46"/>
    <w:rsid w:val="00327A8A"/>
    <w:rsid w:val="003335C1"/>
    <w:rsid w:val="00336610"/>
    <w:rsid w:val="003406BC"/>
    <w:rsid w:val="0034135D"/>
    <w:rsid w:val="00341B2C"/>
    <w:rsid w:val="00343F73"/>
    <w:rsid w:val="00345060"/>
    <w:rsid w:val="003513A3"/>
    <w:rsid w:val="0035323B"/>
    <w:rsid w:val="003609D2"/>
    <w:rsid w:val="00361E62"/>
    <w:rsid w:val="00363F22"/>
    <w:rsid w:val="00375564"/>
    <w:rsid w:val="003807E3"/>
    <w:rsid w:val="00383191"/>
    <w:rsid w:val="003860F3"/>
    <w:rsid w:val="00386625"/>
    <w:rsid w:val="003868F6"/>
    <w:rsid w:val="00386AA0"/>
    <w:rsid w:val="00386DED"/>
    <w:rsid w:val="003912E7"/>
    <w:rsid w:val="00393947"/>
    <w:rsid w:val="00394813"/>
    <w:rsid w:val="003A2275"/>
    <w:rsid w:val="003A2EE5"/>
    <w:rsid w:val="003A6A4F"/>
    <w:rsid w:val="003A7088"/>
    <w:rsid w:val="003B00DF"/>
    <w:rsid w:val="003B1275"/>
    <w:rsid w:val="003B1778"/>
    <w:rsid w:val="003B3008"/>
    <w:rsid w:val="003B3485"/>
    <w:rsid w:val="003C11CB"/>
    <w:rsid w:val="003C4158"/>
    <w:rsid w:val="003C75F3"/>
    <w:rsid w:val="003C78A3"/>
    <w:rsid w:val="003D21AB"/>
    <w:rsid w:val="003D53A5"/>
    <w:rsid w:val="003D7ACB"/>
    <w:rsid w:val="003E1867"/>
    <w:rsid w:val="003E43FC"/>
    <w:rsid w:val="003E5729"/>
    <w:rsid w:val="003E72C4"/>
    <w:rsid w:val="003F149B"/>
    <w:rsid w:val="003F4CAE"/>
    <w:rsid w:val="003F4EE0"/>
    <w:rsid w:val="00402153"/>
    <w:rsid w:val="00402FC1"/>
    <w:rsid w:val="0040580E"/>
    <w:rsid w:val="004115AF"/>
    <w:rsid w:val="004200C3"/>
    <w:rsid w:val="00425082"/>
    <w:rsid w:val="00431DEB"/>
    <w:rsid w:val="00434FDB"/>
    <w:rsid w:val="00437975"/>
    <w:rsid w:val="00446B29"/>
    <w:rsid w:val="0044790B"/>
    <w:rsid w:val="00453F9A"/>
    <w:rsid w:val="00454BA4"/>
    <w:rsid w:val="004578EE"/>
    <w:rsid w:val="0046375D"/>
    <w:rsid w:val="00467A75"/>
    <w:rsid w:val="00471E91"/>
    <w:rsid w:val="00474387"/>
    <w:rsid w:val="00474675"/>
    <w:rsid w:val="0047470C"/>
    <w:rsid w:val="00475259"/>
    <w:rsid w:val="0048070B"/>
    <w:rsid w:val="00491E6B"/>
    <w:rsid w:val="0049523A"/>
    <w:rsid w:val="004A35F9"/>
    <w:rsid w:val="004A58F5"/>
    <w:rsid w:val="004B24C1"/>
    <w:rsid w:val="004B4D87"/>
    <w:rsid w:val="004C00A6"/>
    <w:rsid w:val="004C292F"/>
    <w:rsid w:val="004C35FA"/>
    <w:rsid w:val="004C6E0B"/>
    <w:rsid w:val="004D538D"/>
    <w:rsid w:val="004D5B62"/>
    <w:rsid w:val="004E01E3"/>
    <w:rsid w:val="004F50DF"/>
    <w:rsid w:val="004F58AB"/>
    <w:rsid w:val="004F68E1"/>
    <w:rsid w:val="0050046B"/>
    <w:rsid w:val="0050638A"/>
    <w:rsid w:val="00510280"/>
    <w:rsid w:val="00513D73"/>
    <w:rsid w:val="00514A43"/>
    <w:rsid w:val="005174E5"/>
    <w:rsid w:val="00522393"/>
    <w:rsid w:val="00522620"/>
    <w:rsid w:val="00525656"/>
    <w:rsid w:val="00530E19"/>
    <w:rsid w:val="00530FF5"/>
    <w:rsid w:val="00534C02"/>
    <w:rsid w:val="00534EF4"/>
    <w:rsid w:val="00536834"/>
    <w:rsid w:val="005407CE"/>
    <w:rsid w:val="00541997"/>
    <w:rsid w:val="0054264B"/>
    <w:rsid w:val="00543786"/>
    <w:rsid w:val="0055076F"/>
    <w:rsid w:val="005533D7"/>
    <w:rsid w:val="00553911"/>
    <w:rsid w:val="005556A9"/>
    <w:rsid w:val="00565923"/>
    <w:rsid w:val="005703DE"/>
    <w:rsid w:val="00571634"/>
    <w:rsid w:val="00573D90"/>
    <w:rsid w:val="0058136B"/>
    <w:rsid w:val="0058464E"/>
    <w:rsid w:val="00584D83"/>
    <w:rsid w:val="00593490"/>
    <w:rsid w:val="005964C7"/>
    <w:rsid w:val="005A01CB"/>
    <w:rsid w:val="005A26F6"/>
    <w:rsid w:val="005A58FF"/>
    <w:rsid w:val="005A5EAF"/>
    <w:rsid w:val="005A64C0"/>
    <w:rsid w:val="005B3C11"/>
    <w:rsid w:val="005C10DD"/>
    <w:rsid w:val="005C1C28"/>
    <w:rsid w:val="005C2024"/>
    <w:rsid w:val="005C6DB5"/>
    <w:rsid w:val="005D3C07"/>
    <w:rsid w:val="005E19E7"/>
    <w:rsid w:val="005E4EA8"/>
    <w:rsid w:val="005E63D5"/>
    <w:rsid w:val="005E7EDE"/>
    <w:rsid w:val="00612679"/>
    <w:rsid w:val="0061716C"/>
    <w:rsid w:val="00620E9F"/>
    <w:rsid w:val="006243A1"/>
    <w:rsid w:val="006251F9"/>
    <w:rsid w:val="0062669A"/>
    <w:rsid w:val="0063244B"/>
    <w:rsid w:val="00632E56"/>
    <w:rsid w:val="00635CBA"/>
    <w:rsid w:val="00640190"/>
    <w:rsid w:val="00641377"/>
    <w:rsid w:val="0064338B"/>
    <w:rsid w:val="00646542"/>
    <w:rsid w:val="006504F4"/>
    <w:rsid w:val="00654BC9"/>
    <w:rsid w:val="006552FD"/>
    <w:rsid w:val="00656E15"/>
    <w:rsid w:val="0066270C"/>
    <w:rsid w:val="00663AF3"/>
    <w:rsid w:val="00665D20"/>
    <w:rsid w:val="00666B6C"/>
    <w:rsid w:val="00671792"/>
    <w:rsid w:val="00674BD1"/>
    <w:rsid w:val="00676FC4"/>
    <w:rsid w:val="00682682"/>
    <w:rsid w:val="00682702"/>
    <w:rsid w:val="00692368"/>
    <w:rsid w:val="00694D8F"/>
    <w:rsid w:val="006A059B"/>
    <w:rsid w:val="006A090C"/>
    <w:rsid w:val="006A2EBC"/>
    <w:rsid w:val="006A5EA0"/>
    <w:rsid w:val="006A783B"/>
    <w:rsid w:val="006A7B33"/>
    <w:rsid w:val="006B4E13"/>
    <w:rsid w:val="006B75DD"/>
    <w:rsid w:val="006C5260"/>
    <w:rsid w:val="006C67E0"/>
    <w:rsid w:val="006C7ABA"/>
    <w:rsid w:val="006D0D60"/>
    <w:rsid w:val="006D1122"/>
    <w:rsid w:val="006D11C2"/>
    <w:rsid w:val="006D3223"/>
    <w:rsid w:val="006D3C00"/>
    <w:rsid w:val="006E15C1"/>
    <w:rsid w:val="006E3675"/>
    <w:rsid w:val="006E4A7F"/>
    <w:rsid w:val="006E76E7"/>
    <w:rsid w:val="006F1CF2"/>
    <w:rsid w:val="006F2A80"/>
    <w:rsid w:val="006F2DA6"/>
    <w:rsid w:val="006F7DA9"/>
    <w:rsid w:val="007007DA"/>
    <w:rsid w:val="00704DF6"/>
    <w:rsid w:val="00705DD8"/>
    <w:rsid w:val="0070651C"/>
    <w:rsid w:val="0071251F"/>
    <w:rsid w:val="007132A3"/>
    <w:rsid w:val="00716421"/>
    <w:rsid w:val="00716EAF"/>
    <w:rsid w:val="0072331E"/>
    <w:rsid w:val="00724EFB"/>
    <w:rsid w:val="00727600"/>
    <w:rsid w:val="00731C4B"/>
    <w:rsid w:val="00737E0E"/>
    <w:rsid w:val="007419C3"/>
    <w:rsid w:val="00745AE4"/>
    <w:rsid w:val="007467A7"/>
    <w:rsid w:val="007469DD"/>
    <w:rsid w:val="0074741B"/>
    <w:rsid w:val="0074759E"/>
    <w:rsid w:val="007478EA"/>
    <w:rsid w:val="0075415C"/>
    <w:rsid w:val="007563F7"/>
    <w:rsid w:val="00763502"/>
    <w:rsid w:val="0076431C"/>
    <w:rsid w:val="00767986"/>
    <w:rsid w:val="0077768F"/>
    <w:rsid w:val="007913AB"/>
    <w:rsid w:val="007914F7"/>
    <w:rsid w:val="00792EFE"/>
    <w:rsid w:val="007948AE"/>
    <w:rsid w:val="007A74E4"/>
    <w:rsid w:val="007B03AD"/>
    <w:rsid w:val="007B1625"/>
    <w:rsid w:val="007B2638"/>
    <w:rsid w:val="007B706E"/>
    <w:rsid w:val="007B71EB"/>
    <w:rsid w:val="007C01B7"/>
    <w:rsid w:val="007C3455"/>
    <w:rsid w:val="007C6205"/>
    <w:rsid w:val="007C686A"/>
    <w:rsid w:val="007C728E"/>
    <w:rsid w:val="007D2C53"/>
    <w:rsid w:val="007D3D60"/>
    <w:rsid w:val="007E1980"/>
    <w:rsid w:val="007E4B76"/>
    <w:rsid w:val="007E5EA8"/>
    <w:rsid w:val="007F035F"/>
    <w:rsid w:val="007F0CF1"/>
    <w:rsid w:val="007F10C6"/>
    <w:rsid w:val="007F12A5"/>
    <w:rsid w:val="007F4CF1"/>
    <w:rsid w:val="007F758D"/>
    <w:rsid w:val="007F7D52"/>
    <w:rsid w:val="00804290"/>
    <w:rsid w:val="0080654C"/>
    <w:rsid w:val="00806A77"/>
    <w:rsid w:val="008071C6"/>
    <w:rsid w:val="008134C0"/>
    <w:rsid w:val="008137E4"/>
    <w:rsid w:val="00817A00"/>
    <w:rsid w:val="00823CC7"/>
    <w:rsid w:val="00825C80"/>
    <w:rsid w:val="008261D6"/>
    <w:rsid w:val="00826C65"/>
    <w:rsid w:val="0083420B"/>
    <w:rsid w:val="00835DB3"/>
    <w:rsid w:val="0083617B"/>
    <w:rsid w:val="008371BD"/>
    <w:rsid w:val="00840153"/>
    <w:rsid w:val="00846017"/>
    <w:rsid w:val="00847473"/>
    <w:rsid w:val="008504A8"/>
    <w:rsid w:val="008512A1"/>
    <w:rsid w:val="0085282E"/>
    <w:rsid w:val="0085288A"/>
    <w:rsid w:val="008572F7"/>
    <w:rsid w:val="00864FA1"/>
    <w:rsid w:val="00871279"/>
    <w:rsid w:val="0087198C"/>
    <w:rsid w:val="00872C1F"/>
    <w:rsid w:val="00873B42"/>
    <w:rsid w:val="00884BF6"/>
    <w:rsid w:val="008856D8"/>
    <w:rsid w:val="00891B1A"/>
    <w:rsid w:val="00892E82"/>
    <w:rsid w:val="00895049"/>
    <w:rsid w:val="008A5441"/>
    <w:rsid w:val="008B0008"/>
    <w:rsid w:val="008B0755"/>
    <w:rsid w:val="008B4B53"/>
    <w:rsid w:val="008B7262"/>
    <w:rsid w:val="008C0170"/>
    <w:rsid w:val="008C1B58"/>
    <w:rsid w:val="008C39AE"/>
    <w:rsid w:val="008C590D"/>
    <w:rsid w:val="008C6C4E"/>
    <w:rsid w:val="008D1290"/>
    <w:rsid w:val="008D34CE"/>
    <w:rsid w:val="008D3EB4"/>
    <w:rsid w:val="008D5A2A"/>
    <w:rsid w:val="008E031B"/>
    <w:rsid w:val="008E346C"/>
    <w:rsid w:val="008E3BAB"/>
    <w:rsid w:val="008E6DAF"/>
    <w:rsid w:val="008E7029"/>
    <w:rsid w:val="008E7EF6"/>
    <w:rsid w:val="008F1F98"/>
    <w:rsid w:val="008F394A"/>
    <w:rsid w:val="008F6758"/>
    <w:rsid w:val="008F78D9"/>
    <w:rsid w:val="008F7DC4"/>
    <w:rsid w:val="00903705"/>
    <w:rsid w:val="00903D6F"/>
    <w:rsid w:val="009040DD"/>
    <w:rsid w:val="0090488B"/>
    <w:rsid w:val="00905724"/>
    <w:rsid w:val="00905B47"/>
    <w:rsid w:val="00906A86"/>
    <w:rsid w:val="0091331C"/>
    <w:rsid w:val="00917E60"/>
    <w:rsid w:val="009279DE"/>
    <w:rsid w:val="00930116"/>
    <w:rsid w:val="009320CC"/>
    <w:rsid w:val="00936276"/>
    <w:rsid w:val="0094212C"/>
    <w:rsid w:val="00947E42"/>
    <w:rsid w:val="009512F7"/>
    <w:rsid w:val="009543BC"/>
    <w:rsid w:val="00954689"/>
    <w:rsid w:val="00961762"/>
    <w:rsid w:val="009617C9"/>
    <w:rsid w:val="00961C93"/>
    <w:rsid w:val="00965324"/>
    <w:rsid w:val="0097091E"/>
    <w:rsid w:val="009760D3"/>
    <w:rsid w:val="00977132"/>
    <w:rsid w:val="0098051C"/>
    <w:rsid w:val="00980D57"/>
    <w:rsid w:val="0098136C"/>
    <w:rsid w:val="00981A4B"/>
    <w:rsid w:val="00982501"/>
    <w:rsid w:val="009854B5"/>
    <w:rsid w:val="009877D3"/>
    <w:rsid w:val="00987E8F"/>
    <w:rsid w:val="00994A64"/>
    <w:rsid w:val="00994E8F"/>
    <w:rsid w:val="009951DC"/>
    <w:rsid w:val="009959BB"/>
    <w:rsid w:val="00997158"/>
    <w:rsid w:val="009A3A7C"/>
    <w:rsid w:val="009A65EE"/>
    <w:rsid w:val="009B2ADB"/>
    <w:rsid w:val="009B603A"/>
    <w:rsid w:val="009B7851"/>
    <w:rsid w:val="009C269E"/>
    <w:rsid w:val="009C2D0E"/>
    <w:rsid w:val="009C3DAC"/>
    <w:rsid w:val="009C42E0"/>
    <w:rsid w:val="009C56D0"/>
    <w:rsid w:val="009D1BBF"/>
    <w:rsid w:val="009D5362"/>
    <w:rsid w:val="009E1415"/>
    <w:rsid w:val="009E2F18"/>
    <w:rsid w:val="009E6116"/>
    <w:rsid w:val="00A01C21"/>
    <w:rsid w:val="00A02E43"/>
    <w:rsid w:val="00A05A54"/>
    <w:rsid w:val="00A065F9"/>
    <w:rsid w:val="00A07F34"/>
    <w:rsid w:val="00A22154"/>
    <w:rsid w:val="00A25C38"/>
    <w:rsid w:val="00A3042B"/>
    <w:rsid w:val="00A36BBE"/>
    <w:rsid w:val="00A4210D"/>
    <w:rsid w:val="00A4307A"/>
    <w:rsid w:val="00A47EBB"/>
    <w:rsid w:val="00A5107C"/>
    <w:rsid w:val="00A51CDD"/>
    <w:rsid w:val="00A5244E"/>
    <w:rsid w:val="00A6730D"/>
    <w:rsid w:val="00A71625"/>
    <w:rsid w:val="00A71B9B"/>
    <w:rsid w:val="00A74F47"/>
    <w:rsid w:val="00A751C7"/>
    <w:rsid w:val="00A76A99"/>
    <w:rsid w:val="00A80731"/>
    <w:rsid w:val="00A81CB1"/>
    <w:rsid w:val="00A85B84"/>
    <w:rsid w:val="00A87844"/>
    <w:rsid w:val="00AA038C"/>
    <w:rsid w:val="00AA3BDC"/>
    <w:rsid w:val="00AA7A09"/>
    <w:rsid w:val="00AB1CA9"/>
    <w:rsid w:val="00AB3B50"/>
    <w:rsid w:val="00AB5B08"/>
    <w:rsid w:val="00AC05B1"/>
    <w:rsid w:val="00AD356C"/>
    <w:rsid w:val="00AD66EB"/>
    <w:rsid w:val="00AE25DF"/>
    <w:rsid w:val="00AE2914"/>
    <w:rsid w:val="00AE35B2"/>
    <w:rsid w:val="00AE6D15"/>
    <w:rsid w:val="00AF3C34"/>
    <w:rsid w:val="00AF4602"/>
    <w:rsid w:val="00B021A7"/>
    <w:rsid w:val="00B03125"/>
    <w:rsid w:val="00B04182"/>
    <w:rsid w:val="00B04EC7"/>
    <w:rsid w:val="00B07AE3"/>
    <w:rsid w:val="00B108E1"/>
    <w:rsid w:val="00B10A10"/>
    <w:rsid w:val="00B11430"/>
    <w:rsid w:val="00B17714"/>
    <w:rsid w:val="00B17F31"/>
    <w:rsid w:val="00B218B8"/>
    <w:rsid w:val="00B23180"/>
    <w:rsid w:val="00B30BAF"/>
    <w:rsid w:val="00B353EB"/>
    <w:rsid w:val="00B40782"/>
    <w:rsid w:val="00B42155"/>
    <w:rsid w:val="00B4270F"/>
    <w:rsid w:val="00B439C4"/>
    <w:rsid w:val="00B4535E"/>
    <w:rsid w:val="00B454B1"/>
    <w:rsid w:val="00B50756"/>
    <w:rsid w:val="00B52421"/>
    <w:rsid w:val="00B52A8C"/>
    <w:rsid w:val="00B636A8"/>
    <w:rsid w:val="00B644C9"/>
    <w:rsid w:val="00B665C6"/>
    <w:rsid w:val="00B805AF"/>
    <w:rsid w:val="00B851FB"/>
    <w:rsid w:val="00B867ED"/>
    <w:rsid w:val="00B869EC"/>
    <w:rsid w:val="00B90245"/>
    <w:rsid w:val="00B9397A"/>
    <w:rsid w:val="00B9633D"/>
    <w:rsid w:val="00BA0044"/>
    <w:rsid w:val="00BA2244"/>
    <w:rsid w:val="00BA2EBE"/>
    <w:rsid w:val="00BA6D6E"/>
    <w:rsid w:val="00BA7DF3"/>
    <w:rsid w:val="00BB0298"/>
    <w:rsid w:val="00BB0F28"/>
    <w:rsid w:val="00BB458A"/>
    <w:rsid w:val="00BC5ADE"/>
    <w:rsid w:val="00BD00D3"/>
    <w:rsid w:val="00BD1307"/>
    <w:rsid w:val="00BD1659"/>
    <w:rsid w:val="00BD3AA9"/>
    <w:rsid w:val="00BD4A18"/>
    <w:rsid w:val="00BD4B24"/>
    <w:rsid w:val="00BD6DB2"/>
    <w:rsid w:val="00BE11CF"/>
    <w:rsid w:val="00BE21AB"/>
    <w:rsid w:val="00BE5591"/>
    <w:rsid w:val="00BE55CB"/>
    <w:rsid w:val="00BF23FD"/>
    <w:rsid w:val="00BF4BC2"/>
    <w:rsid w:val="00BF4E64"/>
    <w:rsid w:val="00BF617A"/>
    <w:rsid w:val="00C0103D"/>
    <w:rsid w:val="00C017EA"/>
    <w:rsid w:val="00C027B0"/>
    <w:rsid w:val="00C0379D"/>
    <w:rsid w:val="00C03931"/>
    <w:rsid w:val="00C05FE3"/>
    <w:rsid w:val="00C1213B"/>
    <w:rsid w:val="00C2136D"/>
    <w:rsid w:val="00C2138A"/>
    <w:rsid w:val="00C214EE"/>
    <w:rsid w:val="00C2314B"/>
    <w:rsid w:val="00C24971"/>
    <w:rsid w:val="00C26BE5"/>
    <w:rsid w:val="00C26E4D"/>
    <w:rsid w:val="00C27909"/>
    <w:rsid w:val="00C27B03"/>
    <w:rsid w:val="00C314E1"/>
    <w:rsid w:val="00C34397"/>
    <w:rsid w:val="00C36AFE"/>
    <w:rsid w:val="00C37A5C"/>
    <w:rsid w:val="00C4095D"/>
    <w:rsid w:val="00C424C0"/>
    <w:rsid w:val="00C46D05"/>
    <w:rsid w:val="00C517F4"/>
    <w:rsid w:val="00C53074"/>
    <w:rsid w:val="00C5622D"/>
    <w:rsid w:val="00C568EB"/>
    <w:rsid w:val="00C601D2"/>
    <w:rsid w:val="00C64B93"/>
    <w:rsid w:val="00C65BCC"/>
    <w:rsid w:val="00C66970"/>
    <w:rsid w:val="00C7755C"/>
    <w:rsid w:val="00C8691C"/>
    <w:rsid w:val="00C87DDE"/>
    <w:rsid w:val="00C87DF6"/>
    <w:rsid w:val="00C87F5D"/>
    <w:rsid w:val="00C92240"/>
    <w:rsid w:val="00C97739"/>
    <w:rsid w:val="00CA168A"/>
    <w:rsid w:val="00CA357E"/>
    <w:rsid w:val="00CA4428"/>
    <w:rsid w:val="00CA44F9"/>
    <w:rsid w:val="00CA4A69"/>
    <w:rsid w:val="00CA4AD5"/>
    <w:rsid w:val="00CA7AF8"/>
    <w:rsid w:val="00CA7EEA"/>
    <w:rsid w:val="00CC3E0C"/>
    <w:rsid w:val="00CC4B1A"/>
    <w:rsid w:val="00CC505E"/>
    <w:rsid w:val="00CC58D3"/>
    <w:rsid w:val="00CC784D"/>
    <w:rsid w:val="00CD5E07"/>
    <w:rsid w:val="00CE1034"/>
    <w:rsid w:val="00CE70B9"/>
    <w:rsid w:val="00CF17DD"/>
    <w:rsid w:val="00D01CB3"/>
    <w:rsid w:val="00D0337B"/>
    <w:rsid w:val="00D06813"/>
    <w:rsid w:val="00D079B2"/>
    <w:rsid w:val="00D114E9"/>
    <w:rsid w:val="00D1170C"/>
    <w:rsid w:val="00D143EB"/>
    <w:rsid w:val="00D1677E"/>
    <w:rsid w:val="00D16DCF"/>
    <w:rsid w:val="00D17885"/>
    <w:rsid w:val="00D2352D"/>
    <w:rsid w:val="00D24FF0"/>
    <w:rsid w:val="00D319DD"/>
    <w:rsid w:val="00D376CC"/>
    <w:rsid w:val="00D420B3"/>
    <w:rsid w:val="00D429C6"/>
    <w:rsid w:val="00D47748"/>
    <w:rsid w:val="00D51D28"/>
    <w:rsid w:val="00D54135"/>
    <w:rsid w:val="00D54CC3"/>
    <w:rsid w:val="00D56DC8"/>
    <w:rsid w:val="00D579D1"/>
    <w:rsid w:val="00D6041A"/>
    <w:rsid w:val="00D633EB"/>
    <w:rsid w:val="00D70859"/>
    <w:rsid w:val="00D82FF7"/>
    <w:rsid w:val="00D847FE"/>
    <w:rsid w:val="00D86D76"/>
    <w:rsid w:val="00D91F25"/>
    <w:rsid w:val="00D964EA"/>
    <w:rsid w:val="00D966D0"/>
    <w:rsid w:val="00DA0C59"/>
    <w:rsid w:val="00DA0D7F"/>
    <w:rsid w:val="00DA142D"/>
    <w:rsid w:val="00DA2575"/>
    <w:rsid w:val="00DA3991"/>
    <w:rsid w:val="00DB033E"/>
    <w:rsid w:val="00DB0EC6"/>
    <w:rsid w:val="00DB1B91"/>
    <w:rsid w:val="00DB230E"/>
    <w:rsid w:val="00DB236D"/>
    <w:rsid w:val="00DB367A"/>
    <w:rsid w:val="00DB484D"/>
    <w:rsid w:val="00DB53F5"/>
    <w:rsid w:val="00DB7402"/>
    <w:rsid w:val="00DB7E6C"/>
    <w:rsid w:val="00DC200A"/>
    <w:rsid w:val="00DC3778"/>
    <w:rsid w:val="00DC46E0"/>
    <w:rsid w:val="00DD408B"/>
    <w:rsid w:val="00DD5A29"/>
    <w:rsid w:val="00DD5D9D"/>
    <w:rsid w:val="00DD669B"/>
    <w:rsid w:val="00DE2656"/>
    <w:rsid w:val="00DE35CB"/>
    <w:rsid w:val="00DE3F59"/>
    <w:rsid w:val="00DE4BC6"/>
    <w:rsid w:val="00DE56F6"/>
    <w:rsid w:val="00DF21E9"/>
    <w:rsid w:val="00DF3EFB"/>
    <w:rsid w:val="00DF5523"/>
    <w:rsid w:val="00E00F14"/>
    <w:rsid w:val="00E054BF"/>
    <w:rsid w:val="00E0621C"/>
    <w:rsid w:val="00E06386"/>
    <w:rsid w:val="00E14A82"/>
    <w:rsid w:val="00E15F7D"/>
    <w:rsid w:val="00E235AD"/>
    <w:rsid w:val="00E24EB4"/>
    <w:rsid w:val="00E27626"/>
    <w:rsid w:val="00E320ED"/>
    <w:rsid w:val="00E33AFB"/>
    <w:rsid w:val="00E34218"/>
    <w:rsid w:val="00E34EDF"/>
    <w:rsid w:val="00E36CE0"/>
    <w:rsid w:val="00E3770E"/>
    <w:rsid w:val="00E37E77"/>
    <w:rsid w:val="00E429AB"/>
    <w:rsid w:val="00E46282"/>
    <w:rsid w:val="00E5216E"/>
    <w:rsid w:val="00E53486"/>
    <w:rsid w:val="00E8028C"/>
    <w:rsid w:val="00E82344"/>
    <w:rsid w:val="00E824CD"/>
    <w:rsid w:val="00E83D80"/>
    <w:rsid w:val="00E83FBD"/>
    <w:rsid w:val="00E84C82"/>
    <w:rsid w:val="00E84D64"/>
    <w:rsid w:val="00E87408"/>
    <w:rsid w:val="00E914C4"/>
    <w:rsid w:val="00E934F5"/>
    <w:rsid w:val="00E96961"/>
    <w:rsid w:val="00EA1B40"/>
    <w:rsid w:val="00EA50B1"/>
    <w:rsid w:val="00EA62A1"/>
    <w:rsid w:val="00EA72EC"/>
    <w:rsid w:val="00EB11CB"/>
    <w:rsid w:val="00EB275A"/>
    <w:rsid w:val="00EB4212"/>
    <w:rsid w:val="00EB786A"/>
    <w:rsid w:val="00EC1578"/>
    <w:rsid w:val="00EC1C72"/>
    <w:rsid w:val="00EC3CC9"/>
    <w:rsid w:val="00EC4CD6"/>
    <w:rsid w:val="00EC680A"/>
    <w:rsid w:val="00ED34DB"/>
    <w:rsid w:val="00EE15F6"/>
    <w:rsid w:val="00EE1902"/>
    <w:rsid w:val="00EE2BED"/>
    <w:rsid w:val="00EE374B"/>
    <w:rsid w:val="00F07EB8"/>
    <w:rsid w:val="00F11BB5"/>
    <w:rsid w:val="00F13AFD"/>
    <w:rsid w:val="00F1417B"/>
    <w:rsid w:val="00F156F6"/>
    <w:rsid w:val="00F31179"/>
    <w:rsid w:val="00F314C5"/>
    <w:rsid w:val="00F34B99"/>
    <w:rsid w:val="00F43489"/>
    <w:rsid w:val="00F43751"/>
    <w:rsid w:val="00F50A6C"/>
    <w:rsid w:val="00F52B91"/>
    <w:rsid w:val="00F52DAB"/>
    <w:rsid w:val="00F5304B"/>
    <w:rsid w:val="00F53E32"/>
    <w:rsid w:val="00F543F0"/>
    <w:rsid w:val="00F6441A"/>
    <w:rsid w:val="00F81D29"/>
    <w:rsid w:val="00F901A0"/>
    <w:rsid w:val="00F91C4D"/>
    <w:rsid w:val="00F92FD9"/>
    <w:rsid w:val="00F95A9F"/>
    <w:rsid w:val="00F971F6"/>
    <w:rsid w:val="00F973B0"/>
    <w:rsid w:val="00FA2E3D"/>
    <w:rsid w:val="00FA6684"/>
    <w:rsid w:val="00FA731E"/>
    <w:rsid w:val="00FB06DA"/>
    <w:rsid w:val="00FB2B38"/>
    <w:rsid w:val="00FB6088"/>
    <w:rsid w:val="00FC6358"/>
    <w:rsid w:val="00FD013D"/>
    <w:rsid w:val="00FD19DE"/>
    <w:rsid w:val="00FD320D"/>
    <w:rsid w:val="00FD3D36"/>
    <w:rsid w:val="00FE198A"/>
    <w:rsid w:val="00FE23DE"/>
    <w:rsid w:val="00FF75AB"/>
    <w:rsid w:val="011A24F4"/>
    <w:rsid w:val="01275B88"/>
    <w:rsid w:val="014A14D6"/>
    <w:rsid w:val="015A1604"/>
    <w:rsid w:val="01802117"/>
    <w:rsid w:val="01995B0E"/>
    <w:rsid w:val="01AD223D"/>
    <w:rsid w:val="01B325DF"/>
    <w:rsid w:val="01EC78D6"/>
    <w:rsid w:val="01F33EE0"/>
    <w:rsid w:val="0208700B"/>
    <w:rsid w:val="020967F0"/>
    <w:rsid w:val="020A3A91"/>
    <w:rsid w:val="020B07BA"/>
    <w:rsid w:val="020C635E"/>
    <w:rsid w:val="020E3E06"/>
    <w:rsid w:val="02363411"/>
    <w:rsid w:val="02421862"/>
    <w:rsid w:val="025920CC"/>
    <w:rsid w:val="02685C0C"/>
    <w:rsid w:val="0284486C"/>
    <w:rsid w:val="028B75C9"/>
    <w:rsid w:val="028D0BBF"/>
    <w:rsid w:val="029D441C"/>
    <w:rsid w:val="02DD436C"/>
    <w:rsid w:val="02DF39F5"/>
    <w:rsid w:val="02E80AFB"/>
    <w:rsid w:val="02ED4364"/>
    <w:rsid w:val="02F56D74"/>
    <w:rsid w:val="0310449C"/>
    <w:rsid w:val="0334789D"/>
    <w:rsid w:val="033539F3"/>
    <w:rsid w:val="034A3564"/>
    <w:rsid w:val="034F77FF"/>
    <w:rsid w:val="035957F7"/>
    <w:rsid w:val="036A1983"/>
    <w:rsid w:val="03A22D5F"/>
    <w:rsid w:val="03AE0DB3"/>
    <w:rsid w:val="03C62215"/>
    <w:rsid w:val="03CF75C5"/>
    <w:rsid w:val="03E5328D"/>
    <w:rsid w:val="03EA26AC"/>
    <w:rsid w:val="041E7C35"/>
    <w:rsid w:val="044C5FC6"/>
    <w:rsid w:val="04504BAA"/>
    <w:rsid w:val="04697054"/>
    <w:rsid w:val="04810F63"/>
    <w:rsid w:val="04953949"/>
    <w:rsid w:val="04A15406"/>
    <w:rsid w:val="04A673C0"/>
    <w:rsid w:val="04B769D7"/>
    <w:rsid w:val="04DE7223"/>
    <w:rsid w:val="04FA2D68"/>
    <w:rsid w:val="050339CA"/>
    <w:rsid w:val="050C5B96"/>
    <w:rsid w:val="05157BA2"/>
    <w:rsid w:val="054D31F5"/>
    <w:rsid w:val="058F488B"/>
    <w:rsid w:val="05971BC9"/>
    <w:rsid w:val="05A131E3"/>
    <w:rsid w:val="05B20F4D"/>
    <w:rsid w:val="05B64EE1"/>
    <w:rsid w:val="05D300F0"/>
    <w:rsid w:val="05F45A09"/>
    <w:rsid w:val="05FB6D97"/>
    <w:rsid w:val="060F1DCA"/>
    <w:rsid w:val="062E2CC9"/>
    <w:rsid w:val="063127B9"/>
    <w:rsid w:val="063F4ED6"/>
    <w:rsid w:val="06456AB1"/>
    <w:rsid w:val="064A387B"/>
    <w:rsid w:val="066D1C07"/>
    <w:rsid w:val="068723D9"/>
    <w:rsid w:val="068B0DB5"/>
    <w:rsid w:val="06CB0518"/>
    <w:rsid w:val="06F061D0"/>
    <w:rsid w:val="07167296"/>
    <w:rsid w:val="072F21D0"/>
    <w:rsid w:val="073A38EF"/>
    <w:rsid w:val="073B3484"/>
    <w:rsid w:val="07746E01"/>
    <w:rsid w:val="07A02A1B"/>
    <w:rsid w:val="07A348F0"/>
    <w:rsid w:val="07AB6798"/>
    <w:rsid w:val="07B23486"/>
    <w:rsid w:val="07CD4764"/>
    <w:rsid w:val="07D56FD6"/>
    <w:rsid w:val="07DE5A18"/>
    <w:rsid w:val="07ED1622"/>
    <w:rsid w:val="08071A24"/>
    <w:rsid w:val="08135F0E"/>
    <w:rsid w:val="08200168"/>
    <w:rsid w:val="0822060B"/>
    <w:rsid w:val="08384C75"/>
    <w:rsid w:val="083B791F"/>
    <w:rsid w:val="08442604"/>
    <w:rsid w:val="084C5688"/>
    <w:rsid w:val="084D6F6A"/>
    <w:rsid w:val="086A32AC"/>
    <w:rsid w:val="086E3851"/>
    <w:rsid w:val="0870581B"/>
    <w:rsid w:val="08815A44"/>
    <w:rsid w:val="08890248"/>
    <w:rsid w:val="08B1373D"/>
    <w:rsid w:val="08C3390C"/>
    <w:rsid w:val="08CF1E16"/>
    <w:rsid w:val="08D51CAC"/>
    <w:rsid w:val="08ED3476"/>
    <w:rsid w:val="08F44F67"/>
    <w:rsid w:val="08F57ACE"/>
    <w:rsid w:val="09086FB5"/>
    <w:rsid w:val="090E6DE2"/>
    <w:rsid w:val="091D7025"/>
    <w:rsid w:val="092572DC"/>
    <w:rsid w:val="092C1016"/>
    <w:rsid w:val="093A7BD7"/>
    <w:rsid w:val="096B68F4"/>
    <w:rsid w:val="097035F9"/>
    <w:rsid w:val="09795283"/>
    <w:rsid w:val="0982465B"/>
    <w:rsid w:val="09931095"/>
    <w:rsid w:val="09A60DC8"/>
    <w:rsid w:val="0A024019"/>
    <w:rsid w:val="0A1A6167"/>
    <w:rsid w:val="0A2274D3"/>
    <w:rsid w:val="0A272AAD"/>
    <w:rsid w:val="0A4A5BF8"/>
    <w:rsid w:val="0A5623AC"/>
    <w:rsid w:val="0A623426"/>
    <w:rsid w:val="0A6A629A"/>
    <w:rsid w:val="0A7464E2"/>
    <w:rsid w:val="0A76068F"/>
    <w:rsid w:val="0A8235E3"/>
    <w:rsid w:val="0A8B727D"/>
    <w:rsid w:val="0A96708F"/>
    <w:rsid w:val="0AAD5485"/>
    <w:rsid w:val="0AB539B9"/>
    <w:rsid w:val="0AD53E64"/>
    <w:rsid w:val="0AE0030A"/>
    <w:rsid w:val="0B12230C"/>
    <w:rsid w:val="0B125344"/>
    <w:rsid w:val="0B2F451F"/>
    <w:rsid w:val="0B455D14"/>
    <w:rsid w:val="0B6049A3"/>
    <w:rsid w:val="0B6614D4"/>
    <w:rsid w:val="0B941820"/>
    <w:rsid w:val="0BA70615"/>
    <w:rsid w:val="0BD849EE"/>
    <w:rsid w:val="0BE20551"/>
    <w:rsid w:val="0BFC7C41"/>
    <w:rsid w:val="0C145A07"/>
    <w:rsid w:val="0C1849DB"/>
    <w:rsid w:val="0C193AD3"/>
    <w:rsid w:val="0C30706F"/>
    <w:rsid w:val="0C514C1C"/>
    <w:rsid w:val="0C551FB1"/>
    <w:rsid w:val="0C5B6479"/>
    <w:rsid w:val="0C61547A"/>
    <w:rsid w:val="0C6805B7"/>
    <w:rsid w:val="0C774C9E"/>
    <w:rsid w:val="0C7B478E"/>
    <w:rsid w:val="0C851169"/>
    <w:rsid w:val="0C86311A"/>
    <w:rsid w:val="0C9045D1"/>
    <w:rsid w:val="0CA725E1"/>
    <w:rsid w:val="0CAE1DD1"/>
    <w:rsid w:val="0CC1308A"/>
    <w:rsid w:val="0CCE20D6"/>
    <w:rsid w:val="0CF002C4"/>
    <w:rsid w:val="0D2B7F62"/>
    <w:rsid w:val="0D2E0C91"/>
    <w:rsid w:val="0D383D9E"/>
    <w:rsid w:val="0D3E43FE"/>
    <w:rsid w:val="0D464D9C"/>
    <w:rsid w:val="0D4C1C87"/>
    <w:rsid w:val="0D5A4EE7"/>
    <w:rsid w:val="0D7F3E0A"/>
    <w:rsid w:val="0D8472AC"/>
    <w:rsid w:val="0D8B6C53"/>
    <w:rsid w:val="0DAE298D"/>
    <w:rsid w:val="0DC874AD"/>
    <w:rsid w:val="0DDC300B"/>
    <w:rsid w:val="0DE819AF"/>
    <w:rsid w:val="0DF2046D"/>
    <w:rsid w:val="0E012A71"/>
    <w:rsid w:val="0E06452B"/>
    <w:rsid w:val="0E1F7808"/>
    <w:rsid w:val="0E2026EB"/>
    <w:rsid w:val="0E435067"/>
    <w:rsid w:val="0E5C6807"/>
    <w:rsid w:val="0E6D45AA"/>
    <w:rsid w:val="0E71409B"/>
    <w:rsid w:val="0E851533"/>
    <w:rsid w:val="0E865285"/>
    <w:rsid w:val="0E903DF5"/>
    <w:rsid w:val="0EAE4F7C"/>
    <w:rsid w:val="0EC248F6"/>
    <w:rsid w:val="0ED71034"/>
    <w:rsid w:val="0F0031C8"/>
    <w:rsid w:val="0F130CAE"/>
    <w:rsid w:val="0F2E5AE8"/>
    <w:rsid w:val="0F351457"/>
    <w:rsid w:val="0F371414"/>
    <w:rsid w:val="0F3D3F7D"/>
    <w:rsid w:val="0F4B669A"/>
    <w:rsid w:val="0F550F6B"/>
    <w:rsid w:val="0F5C232E"/>
    <w:rsid w:val="0F7152D0"/>
    <w:rsid w:val="0F89671C"/>
    <w:rsid w:val="0FC87CEA"/>
    <w:rsid w:val="0FEB602A"/>
    <w:rsid w:val="0FF72A83"/>
    <w:rsid w:val="0FFB29EF"/>
    <w:rsid w:val="100A68DF"/>
    <w:rsid w:val="1010343F"/>
    <w:rsid w:val="10172A20"/>
    <w:rsid w:val="1045758D"/>
    <w:rsid w:val="104825CB"/>
    <w:rsid w:val="106A2B50"/>
    <w:rsid w:val="106F0166"/>
    <w:rsid w:val="1092654A"/>
    <w:rsid w:val="10A1798E"/>
    <w:rsid w:val="10A95DCB"/>
    <w:rsid w:val="10C50341"/>
    <w:rsid w:val="10CE7EBA"/>
    <w:rsid w:val="10D87AB1"/>
    <w:rsid w:val="10E62F63"/>
    <w:rsid w:val="10F20D97"/>
    <w:rsid w:val="110A60E1"/>
    <w:rsid w:val="110B6E43"/>
    <w:rsid w:val="111D22F4"/>
    <w:rsid w:val="1125627A"/>
    <w:rsid w:val="11302E04"/>
    <w:rsid w:val="11342296"/>
    <w:rsid w:val="1158509E"/>
    <w:rsid w:val="11733BAD"/>
    <w:rsid w:val="118A0FD0"/>
    <w:rsid w:val="11955EB6"/>
    <w:rsid w:val="119A56B6"/>
    <w:rsid w:val="119D161C"/>
    <w:rsid w:val="11B24476"/>
    <w:rsid w:val="11C24C0D"/>
    <w:rsid w:val="11D24E50"/>
    <w:rsid w:val="11E55D1E"/>
    <w:rsid w:val="11F56D91"/>
    <w:rsid w:val="11F8583B"/>
    <w:rsid w:val="11FB541C"/>
    <w:rsid w:val="12107727"/>
    <w:rsid w:val="123A48AC"/>
    <w:rsid w:val="123B2EBE"/>
    <w:rsid w:val="125E4936"/>
    <w:rsid w:val="126E10DD"/>
    <w:rsid w:val="12771554"/>
    <w:rsid w:val="128D6FC9"/>
    <w:rsid w:val="129231C7"/>
    <w:rsid w:val="129A24F6"/>
    <w:rsid w:val="129A7D26"/>
    <w:rsid w:val="12C549B5"/>
    <w:rsid w:val="130D5EC0"/>
    <w:rsid w:val="131119A8"/>
    <w:rsid w:val="13271B78"/>
    <w:rsid w:val="1336713A"/>
    <w:rsid w:val="134864C8"/>
    <w:rsid w:val="134E2D9D"/>
    <w:rsid w:val="13651CF4"/>
    <w:rsid w:val="1379754E"/>
    <w:rsid w:val="1384217A"/>
    <w:rsid w:val="139239A9"/>
    <w:rsid w:val="13987E00"/>
    <w:rsid w:val="13CD425F"/>
    <w:rsid w:val="13D53733"/>
    <w:rsid w:val="13F53CB6"/>
    <w:rsid w:val="13F72496"/>
    <w:rsid w:val="14143437"/>
    <w:rsid w:val="141B23B3"/>
    <w:rsid w:val="14267492"/>
    <w:rsid w:val="1433752E"/>
    <w:rsid w:val="143D057B"/>
    <w:rsid w:val="14447B5C"/>
    <w:rsid w:val="1449010B"/>
    <w:rsid w:val="14636234"/>
    <w:rsid w:val="146401FE"/>
    <w:rsid w:val="148166BA"/>
    <w:rsid w:val="148D319C"/>
    <w:rsid w:val="14934BAA"/>
    <w:rsid w:val="14CB5B87"/>
    <w:rsid w:val="14D6007C"/>
    <w:rsid w:val="14DB226E"/>
    <w:rsid w:val="14E37374"/>
    <w:rsid w:val="14F14B98"/>
    <w:rsid w:val="14F50E56"/>
    <w:rsid w:val="14F63641"/>
    <w:rsid w:val="15035488"/>
    <w:rsid w:val="15141F2A"/>
    <w:rsid w:val="151632A6"/>
    <w:rsid w:val="15234C67"/>
    <w:rsid w:val="15632263"/>
    <w:rsid w:val="1565422D"/>
    <w:rsid w:val="157A70CF"/>
    <w:rsid w:val="15862336"/>
    <w:rsid w:val="158741A4"/>
    <w:rsid w:val="15A57EE0"/>
    <w:rsid w:val="15AD5BBC"/>
    <w:rsid w:val="15C068C6"/>
    <w:rsid w:val="15CF11DB"/>
    <w:rsid w:val="15D51795"/>
    <w:rsid w:val="15DD358D"/>
    <w:rsid w:val="15E2762C"/>
    <w:rsid w:val="15F01A61"/>
    <w:rsid w:val="15FA3081"/>
    <w:rsid w:val="160457F4"/>
    <w:rsid w:val="16094BB9"/>
    <w:rsid w:val="16162106"/>
    <w:rsid w:val="163F568B"/>
    <w:rsid w:val="164113BF"/>
    <w:rsid w:val="1663076D"/>
    <w:rsid w:val="16694939"/>
    <w:rsid w:val="166A47D8"/>
    <w:rsid w:val="167423BB"/>
    <w:rsid w:val="16744AFC"/>
    <w:rsid w:val="16793DB9"/>
    <w:rsid w:val="167C538B"/>
    <w:rsid w:val="169528F0"/>
    <w:rsid w:val="16A834F3"/>
    <w:rsid w:val="16AD3796"/>
    <w:rsid w:val="16B872BC"/>
    <w:rsid w:val="16BA0495"/>
    <w:rsid w:val="16BD18BB"/>
    <w:rsid w:val="16E37E1E"/>
    <w:rsid w:val="16EA212C"/>
    <w:rsid w:val="16EB2510"/>
    <w:rsid w:val="16EF40D6"/>
    <w:rsid w:val="16F164C4"/>
    <w:rsid w:val="17051824"/>
    <w:rsid w:val="17147CB9"/>
    <w:rsid w:val="17236C1E"/>
    <w:rsid w:val="175D4555"/>
    <w:rsid w:val="176146A2"/>
    <w:rsid w:val="1768590F"/>
    <w:rsid w:val="177668DC"/>
    <w:rsid w:val="178D5376"/>
    <w:rsid w:val="17935082"/>
    <w:rsid w:val="17AF5B3D"/>
    <w:rsid w:val="17B172B6"/>
    <w:rsid w:val="17C57205"/>
    <w:rsid w:val="17D905BB"/>
    <w:rsid w:val="17DD00AB"/>
    <w:rsid w:val="17EE050A"/>
    <w:rsid w:val="17F76497"/>
    <w:rsid w:val="181031A8"/>
    <w:rsid w:val="181647AE"/>
    <w:rsid w:val="1821268E"/>
    <w:rsid w:val="185540E5"/>
    <w:rsid w:val="1862157F"/>
    <w:rsid w:val="187C7EAF"/>
    <w:rsid w:val="187D53EA"/>
    <w:rsid w:val="18842C1C"/>
    <w:rsid w:val="18860743"/>
    <w:rsid w:val="188B2CCF"/>
    <w:rsid w:val="189574BA"/>
    <w:rsid w:val="18980476"/>
    <w:rsid w:val="189B3AC2"/>
    <w:rsid w:val="18C67F86"/>
    <w:rsid w:val="18CD6371"/>
    <w:rsid w:val="18D433A8"/>
    <w:rsid w:val="18E12ABB"/>
    <w:rsid w:val="18E37DCD"/>
    <w:rsid w:val="18EF453A"/>
    <w:rsid w:val="18FA2EDF"/>
    <w:rsid w:val="190F04D1"/>
    <w:rsid w:val="192A5572"/>
    <w:rsid w:val="19302EC9"/>
    <w:rsid w:val="1937792A"/>
    <w:rsid w:val="195F286D"/>
    <w:rsid w:val="19630A84"/>
    <w:rsid w:val="196C63D1"/>
    <w:rsid w:val="196D36B1"/>
    <w:rsid w:val="19762F09"/>
    <w:rsid w:val="198253AE"/>
    <w:rsid w:val="19C24365"/>
    <w:rsid w:val="19E76F97"/>
    <w:rsid w:val="19E82C70"/>
    <w:rsid w:val="1A0F63C5"/>
    <w:rsid w:val="1A1E25B4"/>
    <w:rsid w:val="1A255D39"/>
    <w:rsid w:val="1A2C356C"/>
    <w:rsid w:val="1A3146DE"/>
    <w:rsid w:val="1A3348FA"/>
    <w:rsid w:val="1A393593"/>
    <w:rsid w:val="1A5F4560"/>
    <w:rsid w:val="1A7171D0"/>
    <w:rsid w:val="1A743E65"/>
    <w:rsid w:val="1A7B761F"/>
    <w:rsid w:val="1A801EC0"/>
    <w:rsid w:val="1A8A67FF"/>
    <w:rsid w:val="1A9458D8"/>
    <w:rsid w:val="1A993C3E"/>
    <w:rsid w:val="1AA80E44"/>
    <w:rsid w:val="1AB31F84"/>
    <w:rsid w:val="1AB478A9"/>
    <w:rsid w:val="1AC01714"/>
    <w:rsid w:val="1ACE7608"/>
    <w:rsid w:val="1ADC12DC"/>
    <w:rsid w:val="1AEB0943"/>
    <w:rsid w:val="1B040B45"/>
    <w:rsid w:val="1B0B3978"/>
    <w:rsid w:val="1B0F1D21"/>
    <w:rsid w:val="1B1856E4"/>
    <w:rsid w:val="1B1C713C"/>
    <w:rsid w:val="1B1E4D15"/>
    <w:rsid w:val="1B2127E9"/>
    <w:rsid w:val="1B2604E2"/>
    <w:rsid w:val="1B370403"/>
    <w:rsid w:val="1B3A6132"/>
    <w:rsid w:val="1B3D4DCF"/>
    <w:rsid w:val="1B4E25D2"/>
    <w:rsid w:val="1B590684"/>
    <w:rsid w:val="1B5C578B"/>
    <w:rsid w:val="1B762CF0"/>
    <w:rsid w:val="1B7927E1"/>
    <w:rsid w:val="1B7C1635"/>
    <w:rsid w:val="1B7F0B01"/>
    <w:rsid w:val="1B7F1479"/>
    <w:rsid w:val="1BA07D6D"/>
    <w:rsid w:val="1BB67591"/>
    <w:rsid w:val="1BC4730D"/>
    <w:rsid w:val="1BCD48DA"/>
    <w:rsid w:val="1BF66860"/>
    <w:rsid w:val="1C0A51E7"/>
    <w:rsid w:val="1C140E3E"/>
    <w:rsid w:val="1C1657C1"/>
    <w:rsid w:val="1C185B56"/>
    <w:rsid w:val="1C2838BF"/>
    <w:rsid w:val="1C2B1655"/>
    <w:rsid w:val="1C2F20FA"/>
    <w:rsid w:val="1C4050AC"/>
    <w:rsid w:val="1C6012AB"/>
    <w:rsid w:val="1C6A4C76"/>
    <w:rsid w:val="1CA00852"/>
    <w:rsid w:val="1CC45CDD"/>
    <w:rsid w:val="1CC63804"/>
    <w:rsid w:val="1CD92DD3"/>
    <w:rsid w:val="1CE4012E"/>
    <w:rsid w:val="1CE617B0"/>
    <w:rsid w:val="1D047E88"/>
    <w:rsid w:val="1D056603"/>
    <w:rsid w:val="1D083E48"/>
    <w:rsid w:val="1D1327C1"/>
    <w:rsid w:val="1D171829"/>
    <w:rsid w:val="1D2F75FB"/>
    <w:rsid w:val="1D327D60"/>
    <w:rsid w:val="1D5A5A80"/>
    <w:rsid w:val="1D605385"/>
    <w:rsid w:val="1D6923CE"/>
    <w:rsid w:val="1D807CC2"/>
    <w:rsid w:val="1D835251"/>
    <w:rsid w:val="1D892188"/>
    <w:rsid w:val="1DB346B9"/>
    <w:rsid w:val="1DBC0763"/>
    <w:rsid w:val="1DCA2E80"/>
    <w:rsid w:val="1DCE54BB"/>
    <w:rsid w:val="1DE2466D"/>
    <w:rsid w:val="1DEB1048"/>
    <w:rsid w:val="1DEB3A4A"/>
    <w:rsid w:val="1DEF6D8A"/>
    <w:rsid w:val="1DF570C3"/>
    <w:rsid w:val="1DFE1E6D"/>
    <w:rsid w:val="1E0124B2"/>
    <w:rsid w:val="1E2332C6"/>
    <w:rsid w:val="1E27716B"/>
    <w:rsid w:val="1E320A25"/>
    <w:rsid w:val="1E3F4E8F"/>
    <w:rsid w:val="1E42510C"/>
    <w:rsid w:val="1E605592"/>
    <w:rsid w:val="1E79156A"/>
    <w:rsid w:val="1E7D6144"/>
    <w:rsid w:val="1E7F7F9B"/>
    <w:rsid w:val="1E831280"/>
    <w:rsid w:val="1E843635"/>
    <w:rsid w:val="1EB0202F"/>
    <w:rsid w:val="1EB04FE9"/>
    <w:rsid w:val="1EB6489D"/>
    <w:rsid w:val="1EC51899"/>
    <w:rsid w:val="1EE2069D"/>
    <w:rsid w:val="1EE6029B"/>
    <w:rsid w:val="1EE61F3B"/>
    <w:rsid w:val="1EF74DEA"/>
    <w:rsid w:val="1F1A5182"/>
    <w:rsid w:val="1F27664A"/>
    <w:rsid w:val="1F362DAB"/>
    <w:rsid w:val="1F3D3B25"/>
    <w:rsid w:val="1F496D2C"/>
    <w:rsid w:val="1F604C8D"/>
    <w:rsid w:val="1F941775"/>
    <w:rsid w:val="1F9966AD"/>
    <w:rsid w:val="1FAD0CAB"/>
    <w:rsid w:val="1FAF65E3"/>
    <w:rsid w:val="1FB04EF7"/>
    <w:rsid w:val="1FBD6E74"/>
    <w:rsid w:val="1FD9384E"/>
    <w:rsid w:val="1FEF6BCD"/>
    <w:rsid w:val="1FF033B1"/>
    <w:rsid w:val="1FF14381"/>
    <w:rsid w:val="200C1F5C"/>
    <w:rsid w:val="201C7BDE"/>
    <w:rsid w:val="20480121"/>
    <w:rsid w:val="20606EA6"/>
    <w:rsid w:val="207277FE"/>
    <w:rsid w:val="2077520F"/>
    <w:rsid w:val="208F4801"/>
    <w:rsid w:val="20A35A82"/>
    <w:rsid w:val="20B05A5D"/>
    <w:rsid w:val="20B120D5"/>
    <w:rsid w:val="20B73B45"/>
    <w:rsid w:val="20B77DF5"/>
    <w:rsid w:val="20CA464C"/>
    <w:rsid w:val="20D42996"/>
    <w:rsid w:val="210003C7"/>
    <w:rsid w:val="210B3D91"/>
    <w:rsid w:val="212329A4"/>
    <w:rsid w:val="2133333B"/>
    <w:rsid w:val="213D4F34"/>
    <w:rsid w:val="214A7798"/>
    <w:rsid w:val="214E5B76"/>
    <w:rsid w:val="21580679"/>
    <w:rsid w:val="216F6122"/>
    <w:rsid w:val="21932702"/>
    <w:rsid w:val="21933ED0"/>
    <w:rsid w:val="2195074D"/>
    <w:rsid w:val="21B31E7D"/>
    <w:rsid w:val="21C35049"/>
    <w:rsid w:val="21D16CF9"/>
    <w:rsid w:val="21E40288"/>
    <w:rsid w:val="21E92695"/>
    <w:rsid w:val="21F2616B"/>
    <w:rsid w:val="22196719"/>
    <w:rsid w:val="22252D7A"/>
    <w:rsid w:val="224B67CE"/>
    <w:rsid w:val="2250591D"/>
    <w:rsid w:val="226169E2"/>
    <w:rsid w:val="226D6DA9"/>
    <w:rsid w:val="227E692E"/>
    <w:rsid w:val="22821F7B"/>
    <w:rsid w:val="22957D44"/>
    <w:rsid w:val="2297354C"/>
    <w:rsid w:val="229D4396"/>
    <w:rsid w:val="229D5007"/>
    <w:rsid w:val="22A03E40"/>
    <w:rsid w:val="22A12407"/>
    <w:rsid w:val="22A3242C"/>
    <w:rsid w:val="22A6078D"/>
    <w:rsid w:val="22AF19D5"/>
    <w:rsid w:val="22D34BE4"/>
    <w:rsid w:val="22D45E02"/>
    <w:rsid w:val="22FE4012"/>
    <w:rsid w:val="230E6547"/>
    <w:rsid w:val="23156EF8"/>
    <w:rsid w:val="232B0864"/>
    <w:rsid w:val="2349260D"/>
    <w:rsid w:val="234C07DB"/>
    <w:rsid w:val="2355143D"/>
    <w:rsid w:val="237017BB"/>
    <w:rsid w:val="237829C7"/>
    <w:rsid w:val="23871813"/>
    <w:rsid w:val="239F090A"/>
    <w:rsid w:val="23B573CF"/>
    <w:rsid w:val="23BA1BE8"/>
    <w:rsid w:val="23C465C3"/>
    <w:rsid w:val="23D031BA"/>
    <w:rsid w:val="23D304FE"/>
    <w:rsid w:val="23E138B2"/>
    <w:rsid w:val="23F32A04"/>
    <w:rsid w:val="23F8626D"/>
    <w:rsid w:val="2418246B"/>
    <w:rsid w:val="24363AD1"/>
    <w:rsid w:val="24372A2E"/>
    <w:rsid w:val="244119C2"/>
    <w:rsid w:val="24653902"/>
    <w:rsid w:val="24A65CC9"/>
    <w:rsid w:val="24C83E91"/>
    <w:rsid w:val="24D02247"/>
    <w:rsid w:val="24E231A5"/>
    <w:rsid w:val="24F028CE"/>
    <w:rsid w:val="250A44A9"/>
    <w:rsid w:val="25161299"/>
    <w:rsid w:val="253B451D"/>
    <w:rsid w:val="254E083A"/>
    <w:rsid w:val="25553977"/>
    <w:rsid w:val="25572210"/>
    <w:rsid w:val="25671385"/>
    <w:rsid w:val="256F255E"/>
    <w:rsid w:val="257F6C45"/>
    <w:rsid w:val="258E50DA"/>
    <w:rsid w:val="25A20B86"/>
    <w:rsid w:val="25A246E2"/>
    <w:rsid w:val="25A2790B"/>
    <w:rsid w:val="25AA776F"/>
    <w:rsid w:val="25AC4BC9"/>
    <w:rsid w:val="25B31B4E"/>
    <w:rsid w:val="25C91C6F"/>
    <w:rsid w:val="25E76599"/>
    <w:rsid w:val="25F27417"/>
    <w:rsid w:val="26004373"/>
    <w:rsid w:val="26353B79"/>
    <w:rsid w:val="26357304"/>
    <w:rsid w:val="264B2FCC"/>
    <w:rsid w:val="264D0AF2"/>
    <w:rsid w:val="264D464E"/>
    <w:rsid w:val="264F55DA"/>
    <w:rsid w:val="26601D38"/>
    <w:rsid w:val="268D5392"/>
    <w:rsid w:val="26962499"/>
    <w:rsid w:val="26976211"/>
    <w:rsid w:val="26A30712"/>
    <w:rsid w:val="26A64398"/>
    <w:rsid w:val="26AC3A6A"/>
    <w:rsid w:val="26C03BA3"/>
    <w:rsid w:val="26D57B13"/>
    <w:rsid w:val="26E27AF3"/>
    <w:rsid w:val="26E36D60"/>
    <w:rsid w:val="26F409A6"/>
    <w:rsid w:val="26F61BE2"/>
    <w:rsid w:val="27047D47"/>
    <w:rsid w:val="270E251E"/>
    <w:rsid w:val="27147861"/>
    <w:rsid w:val="27262540"/>
    <w:rsid w:val="27306DB0"/>
    <w:rsid w:val="273E043A"/>
    <w:rsid w:val="27412EF7"/>
    <w:rsid w:val="2743408A"/>
    <w:rsid w:val="276F4B2A"/>
    <w:rsid w:val="278B7B24"/>
    <w:rsid w:val="279A1544"/>
    <w:rsid w:val="27AB08A1"/>
    <w:rsid w:val="27C44DE4"/>
    <w:rsid w:val="27C72BA8"/>
    <w:rsid w:val="27C753BF"/>
    <w:rsid w:val="27D41D17"/>
    <w:rsid w:val="27FF406E"/>
    <w:rsid w:val="280F79D3"/>
    <w:rsid w:val="28164F13"/>
    <w:rsid w:val="283C3C9A"/>
    <w:rsid w:val="283F090E"/>
    <w:rsid w:val="28416434"/>
    <w:rsid w:val="28665EEB"/>
    <w:rsid w:val="286E142E"/>
    <w:rsid w:val="28702FC2"/>
    <w:rsid w:val="287C746C"/>
    <w:rsid w:val="287E4F92"/>
    <w:rsid w:val="28936F9D"/>
    <w:rsid w:val="289C366A"/>
    <w:rsid w:val="28B6166C"/>
    <w:rsid w:val="28DA4193"/>
    <w:rsid w:val="28F97E28"/>
    <w:rsid w:val="290241E0"/>
    <w:rsid w:val="2903193C"/>
    <w:rsid w:val="290C4C94"/>
    <w:rsid w:val="292057C1"/>
    <w:rsid w:val="293145B7"/>
    <w:rsid w:val="2944442E"/>
    <w:rsid w:val="29447358"/>
    <w:rsid w:val="294C6E3F"/>
    <w:rsid w:val="295405C2"/>
    <w:rsid w:val="299802D6"/>
    <w:rsid w:val="29996461"/>
    <w:rsid w:val="29A547A1"/>
    <w:rsid w:val="29B35110"/>
    <w:rsid w:val="29BB58CB"/>
    <w:rsid w:val="29C15A7E"/>
    <w:rsid w:val="29C16524"/>
    <w:rsid w:val="29CA4207"/>
    <w:rsid w:val="29D21D57"/>
    <w:rsid w:val="29EA3C4D"/>
    <w:rsid w:val="29F00112"/>
    <w:rsid w:val="29FD248E"/>
    <w:rsid w:val="2A031E71"/>
    <w:rsid w:val="2A0E2346"/>
    <w:rsid w:val="2A29066B"/>
    <w:rsid w:val="2A2E4796"/>
    <w:rsid w:val="2A312E92"/>
    <w:rsid w:val="2A3A138D"/>
    <w:rsid w:val="2A481BF5"/>
    <w:rsid w:val="2A4D7D8E"/>
    <w:rsid w:val="2A500EE9"/>
    <w:rsid w:val="2A570191"/>
    <w:rsid w:val="2A581813"/>
    <w:rsid w:val="2A950CB9"/>
    <w:rsid w:val="2AA657E7"/>
    <w:rsid w:val="2AA738C7"/>
    <w:rsid w:val="2AB95296"/>
    <w:rsid w:val="2AC05D36"/>
    <w:rsid w:val="2ADC2444"/>
    <w:rsid w:val="2AE412F9"/>
    <w:rsid w:val="2AF65246"/>
    <w:rsid w:val="2AFA28CA"/>
    <w:rsid w:val="2B0B4AD7"/>
    <w:rsid w:val="2B110340"/>
    <w:rsid w:val="2B1154A6"/>
    <w:rsid w:val="2B1C4F36"/>
    <w:rsid w:val="2B33475A"/>
    <w:rsid w:val="2B347A72"/>
    <w:rsid w:val="2B77111E"/>
    <w:rsid w:val="2B842931"/>
    <w:rsid w:val="2B9729F4"/>
    <w:rsid w:val="2BA07916"/>
    <w:rsid w:val="2BC453B2"/>
    <w:rsid w:val="2BD60768"/>
    <w:rsid w:val="2BDB42D1"/>
    <w:rsid w:val="2BF043F9"/>
    <w:rsid w:val="2C0749CF"/>
    <w:rsid w:val="2C1370C1"/>
    <w:rsid w:val="2C4604BD"/>
    <w:rsid w:val="2C4D04F5"/>
    <w:rsid w:val="2C523774"/>
    <w:rsid w:val="2C7A710C"/>
    <w:rsid w:val="2C8974AE"/>
    <w:rsid w:val="2CD21D51"/>
    <w:rsid w:val="2CD54322"/>
    <w:rsid w:val="2CD80F18"/>
    <w:rsid w:val="2CF27CFD"/>
    <w:rsid w:val="2CFE0485"/>
    <w:rsid w:val="2D175631"/>
    <w:rsid w:val="2D2C04AC"/>
    <w:rsid w:val="2D4367AA"/>
    <w:rsid w:val="2D487F1F"/>
    <w:rsid w:val="2D6055AE"/>
    <w:rsid w:val="2D63576B"/>
    <w:rsid w:val="2D687FBF"/>
    <w:rsid w:val="2DA134D1"/>
    <w:rsid w:val="2DBD655D"/>
    <w:rsid w:val="2DCA5DD0"/>
    <w:rsid w:val="2DE81100"/>
    <w:rsid w:val="2E062EA7"/>
    <w:rsid w:val="2E1B0239"/>
    <w:rsid w:val="2E1B7727"/>
    <w:rsid w:val="2E240862"/>
    <w:rsid w:val="2E29665D"/>
    <w:rsid w:val="2E2D7E8A"/>
    <w:rsid w:val="2E352597"/>
    <w:rsid w:val="2E3D31FA"/>
    <w:rsid w:val="2E424CB4"/>
    <w:rsid w:val="2E6A1CC8"/>
    <w:rsid w:val="2E6F24F6"/>
    <w:rsid w:val="2E780DBC"/>
    <w:rsid w:val="2E805732"/>
    <w:rsid w:val="2E8D4CB7"/>
    <w:rsid w:val="2E905B30"/>
    <w:rsid w:val="2EC90BD7"/>
    <w:rsid w:val="2EE67B0A"/>
    <w:rsid w:val="2EEF6BEA"/>
    <w:rsid w:val="2EFE5771"/>
    <w:rsid w:val="2F1A353B"/>
    <w:rsid w:val="2F1B1E0D"/>
    <w:rsid w:val="2F2D326E"/>
    <w:rsid w:val="2F2F4EB6"/>
    <w:rsid w:val="2F3D16DC"/>
    <w:rsid w:val="2F40561C"/>
    <w:rsid w:val="2F437EA6"/>
    <w:rsid w:val="2F4B4EA5"/>
    <w:rsid w:val="2F617857"/>
    <w:rsid w:val="2F8310E0"/>
    <w:rsid w:val="2F834274"/>
    <w:rsid w:val="2F8C268B"/>
    <w:rsid w:val="2F8E7C0F"/>
    <w:rsid w:val="2F916C29"/>
    <w:rsid w:val="2FA5374C"/>
    <w:rsid w:val="2FAD43AF"/>
    <w:rsid w:val="2FB7006A"/>
    <w:rsid w:val="2FB709F8"/>
    <w:rsid w:val="2FB92D54"/>
    <w:rsid w:val="2FE96AAF"/>
    <w:rsid w:val="3011493E"/>
    <w:rsid w:val="30142680"/>
    <w:rsid w:val="30412137"/>
    <w:rsid w:val="3058256D"/>
    <w:rsid w:val="305B3E0B"/>
    <w:rsid w:val="3075311F"/>
    <w:rsid w:val="30804F22"/>
    <w:rsid w:val="30817D16"/>
    <w:rsid w:val="309335A5"/>
    <w:rsid w:val="30A06EA7"/>
    <w:rsid w:val="30A66697"/>
    <w:rsid w:val="30AC71B2"/>
    <w:rsid w:val="30B73737"/>
    <w:rsid w:val="30C77BA3"/>
    <w:rsid w:val="30CD2F5B"/>
    <w:rsid w:val="30D20571"/>
    <w:rsid w:val="30DB683C"/>
    <w:rsid w:val="30E12562"/>
    <w:rsid w:val="30E129F7"/>
    <w:rsid w:val="31083F93"/>
    <w:rsid w:val="31140B8A"/>
    <w:rsid w:val="3153748F"/>
    <w:rsid w:val="315F16D9"/>
    <w:rsid w:val="315F280B"/>
    <w:rsid w:val="318C7A44"/>
    <w:rsid w:val="318E651B"/>
    <w:rsid w:val="3192160B"/>
    <w:rsid w:val="31CE0FF7"/>
    <w:rsid w:val="31E22A36"/>
    <w:rsid w:val="31E866CA"/>
    <w:rsid w:val="31EE13DB"/>
    <w:rsid w:val="32173782"/>
    <w:rsid w:val="321C2550"/>
    <w:rsid w:val="32272E29"/>
    <w:rsid w:val="32292413"/>
    <w:rsid w:val="322A1CE7"/>
    <w:rsid w:val="323A4620"/>
    <w:rsid w:val="323B0398"/>
    <w:rsid w:val="323B47BC"/>
    <w:rsid w:val="325D6758"/>
    <w:rsid w:val="32EB3B6C"/>
    <w:rsid w:val="32ED2113"/>
    <w:rsid w:val="32F50547"/>
    <w:rsid w:val="32F50A89"/>
    <w:rsid w:val="3304005B"/>
    <w:rsid w:val="33053078"/>
    <w:rsid w:val="33060559"/>
    <w:rsid w:val="330E3E8E"/>
    <w:rsid w:val="33121018"/>
    <w:rsid w:val="332350B4"/>
    <w:rsid w:val="33255C47"/>
    <w:rsid w:val="33296443"/>
    <w:rsid w:val="33372092"/>
    <w:rsid w:val="3344562F"/>
    <w:rsid w:val="335B0F7F"/>
    <w:rsid w:val="33602D2A"/>
    <w:rsid w:val="336603AC"/>
    <w:rsid w:val="336631F3"/>
    <w:rsid w:val="33793B62"/>
    <w:rsid w:val="337F1800"/>
    <w:rsid w:val="338B4A07"/>
    <w:rsid w:val="339064C2"/>
    <w:rsid w:val="33945FB2"/>
    <w:rsid w:val="339C6C14"/>
    <w:rsid w:val="33A063BD"/>
    <w:rsid w:val="33C01207"/>
    <w:rsid w:val="33D75E9F"/>
    <w:rsid w:val="33E0020A"/>
    <w:rsid w:val="34164C19"/>
    <w:rsid w:val="34384B8F"/>
    <w:rsid w:val="344563D5"/>
    <w:rsid w:val="34456949"/>
    <w:rsid w:val="34605E94"/>
    <w:rsid w:val="34645984"/>
    <w:rsid w:val="347003C1"/>
    <w:rsid w:val="347D25A2"/>
    <w:rsid w:val="347D7FDE"/>
    <w:rsid w:val="348079F5"/>
    <w:rsid w:val="3493613F"/>
    <w:rsid w:val="34A63039"/>
    <w:rsid w:val="34B726F0"/>
    <w:rsid w:val="34C75F13"/>
    <w:rsid w:val="34D348B8"/>
    <w:rsid w:val="34DF5688"/>
    <w:rsid w:val="34E93742"/>
    <w:rsid w:val="34EC597A"/>
    <w:rsid w:val="34F24EC2"/>
    <w:rsid w:val="350C1B78"/>
    <w:rsid w:val="351110E2"/>
    <w:rsid w:val="35156C7E"/>
    <w:rsid w:val="3556642F"/>
    <w:rsid w:val="35614BA6"/>
    <w:rsid w:val="3564684C"/>
    <w:rsid w:val="35A12905"/>
    <w:rsid w:val="35AC043F"/>
    <w:rsid w:val="35AE1CD4"/>
    <w:rsid w:val="35ED7BFB"/>
    <w:rsid w:val="360D204B"/>
    <w:rsid w:val="36127A16"/>
    <w:rsid w:val="36280C33"/>
    <w:rsid w:val="362A49AB"/>
    <w:rsid w:val="363658DF"/>
    <w:rsid w:val="365026C9"/>
    <w:rsid w:val="36661D13"/>
    <w:rsid w:val="36752E32"/>
    <w:rsid w:val="36932551"/>
    <w:rsid w:val="36945957"/>
    <w:rsid w:val="36B85D7E"/>
    <w:rsid w:val="36D3294D"/>
    <w:rsid w:val="36D71786"/>
    <w:rsid w:val="36DD557A"/>
    <w:rsid w:val="36E25286"/>
    <w:rsid w:val="36EC7EB3"/>
    <w:rsid w:val="37025444"/>
    <w:rsid w:val="37046FAB"/>
    <w:rsid w:val="370D4617"/>
    <w:rsid w:val="372431A9"/>
    <w:rsid w:val="37264CBA"/>
    <w:rsid w:val="3731386E"/>
    <w:rsid w:val="374857F5"/>
    <w:rsid w:val="37644562"/>
    <w:rsid w:val="378144F0"/>
    <w:rsid w:val="37841E99"/>
    <w:rsid w:val="37884128"/>
    <w:rsid w:val="379F166F"/>
    <w:rsid w:val="37A36E1F"/>
    <w:rsid w:val="37B24AB3"/>
    <w:rsid w:val="37C968C2"/>
    <w:rsid w:val="37D07F5E"/>
    <w:rsid w:val="37D90437"/>
    <w:rsid w:val="37EA43F2"/>
    <w:rsid w:val="38145D2A"/>
    <w:rsid w:val="381B0A50"/>
    <w:rsid w:val="3825367C"/>
    <w:rsid w:val="38415FDC"/>
    <w:rsid w:val="38521F98"/>
    <w:rsid w:val="385505E5"/>
    <w:rsid w:val="38624C3C"/>
    <w:rsid w:val="38BD6C14"/>
    <w:rsid w:val="38BF2EF1"/>
    <w:rsid w:val="38CE2BF1"/>
    <w:rsid w:val="39137979"/>
    <w:rsid w:val="391A73AB"/>
    <w:rsid w:val="39282448"/>
    <w:rsid w:val="392E47B3"/>
    <w:rsid w:val="39396CB4"/>
    <w:rsid w:val="39523814"/>
    <w:rsid w:val="395A1104"/>
    <w:rsid w:val="395B41F9"/>
    <w:rsid w:val="396106E4"/>
    <w:rsid w:val="39672644"/>
    <w:rsid w:val="396B5955"/>
    <w:rsid w:val="3973604A"/>
    <w:rsid w:val="397F500E"/>
    <w:rsid w:val="39902D77"/>
    <w:rsid w:val="39954E0B"/>
    <w:rsid w:val="399D36E6"/>
    <w:rsid w:val="39AE77D7"/>
    <w:rsid w:val="39AF4D02"/>
    <w:rsid w:val="39C97138"/>
    <w:rsid w:val="39D763A5"/>
    <w:rsid w:val="39D934E8"/>
    <w:rsid w:val="39E210F9"/>
    <w:rsid w:val="39EF3F42"/>
    <w:rsid w:val="39FB3D7F"/>
    <w:rsid w:val="39FC36EA"/>
    <w:rsid w:val="3A2A31CC"/>
    <w:rsid w:val="3A391794"/>
    <w:rsid w:val="3A39340F"/>
    <w:rsid w:val="3A4514D5"/>
    <w:rsid w:val="3A491E4F"/>
    <w:rsid w:val="3A4B3142"/>
    <w:rsid w:val="3A543DA5"/>
    <w:rsid w:val="3A59585F"/>
    <w:rsid w:val="3A6769F0"/>
    <w:rsid w:val="3A797448"/>
    <w:rsid w:val="3A8723CC"/>
    <w:rsid w:val="3A8839A7"/>
    <w:rsid w:val="3A891A84"/>
    <w:rsid w:val="3A8E2130"/>
    <w:rsid w:val="3A9B5E78"/>
    <w:rsid w:val="3A9F208C"/>
    <w:rsid w:val="3AA14ABB"/>
    <w:rsid w:val="3AC802EF"/>
    <w:rsid w:val="3AD4709C"/>
    <w:rsid w:val="3AD636F1"/>
    <w:rsid w:val="3AD82C28"/>
    <w:rsid w:val="3AD969A0"/>
    <w:rsid w:val="3AF07C1B"/>
    <w:rsid w:val="3AFB0C69"/>
    <w:rsid w:val="3AFD4E28"/>
    <w:rsid w:val="3B005CDB"/>
    <w:rsid w:val="3B1F0857"/>
    <w:rsid w:val="3B2C6AD0"/>
    <w:rsid w:val="3B331C0C"/>
    <w:rsid w:val="3B337E5E"/>
    <w:rsid w:val="3B3D2A8B"/>
    <w:rsid w:val="3B620744"/>
    <w:rsid w:val="3B7364AD"/>
    <w:rsid w:val="3B7A5B9F"/>
    <w:rsid w:val="3B9D1AEE"/>
    <w:rsid w:val="3BB27411"/>
    <w:rsid w:val="3BC64444"/>
    <w:rsid w:val="3C074E47"/>
    <w:rsid w:val="3C221BD4"/>
    <w:rsid w:val="3C2276E1"/>
    <w:rsid w:val="3C291261"/>
    <w:rsid w:val="3C325AC1"/>
    <w:rsid w:val="3C5F6A31"/>
    <w:rsid w:val="3C616C4D"/>
    <w:rsid w:val="3C6D73A0"/>
    <w:rsid w:val="3C7F70D3"/>
    <w:rsid w:val="3C810839"/>
    <w:rsid w:val="3CA11A68"/>
    <w:rsid w:val="3CCA2A44"/>
    <w:rsid w:val="3D094583"/>
    <w:rsid w:val="3D2A5291"/>
    <w:rsid w:val="3D3E0D3C"/>
    <w:rsid w:val="3D4F686A"/>
    <w:rsid w:val="3D692FFB"/>
    <w:rsid w:val="3D6C63B3"/>
    <w:rsid w:val="3DE9514C"/>
    <w:rsid w:val="3E06185A"/>
    <w:rsid w:val="3E1809D7"/>
    <w:rsid w:val="3E4351E2"/>
    <w:rsid w:val="3E441EA3"/>
    <w:rsid w:val="3E491747"/>
    <w:rsid w:val="3E497999"/>
    <w:rsid w:val="3E630A5B"/>
    <w:rsid w:val="3E883052"/>
    <w:rsid w:val="3E894239"/>
    <w:rsid w:val="3E8B1D5F"/>
    <w:rsid w:val="3E950B2D"/>
    <w:rsid w:val="3EB017C6"/>
    <w:rsid w:val="3EB46EC5"/>
    <w:rsid w:val="3EDC25BB"/>
    <w:rsid w:val="3EDE4C10"/>
    <w:rsid w:val="3EE576C2"/>
    <w:rsid w:val="3EEA2F2A"/>
    <w:rsid w:val="3F0044FB"/>
    <w:rsid w:val="3F0227F8"/>
    <w:rsid w:val="3F090E0E"/>
    <w:rsid w:val="3F147860"/>
    <w:rsid w:val="3F537DB0"/>
    <w:rsid w:val="3F5F50EC"/>
    <w:rsid w:val="3F8D2662"/>
    <w:rsid w:val="3FB84DD6"/>
    <w:rsid w:val="3FCB420A"/>
    <w:rsid w:val="3FF676AC"/>
    <w:rsid w:val="3FF73B50"/>
    <w:rsid w:val="3FFA0D61"/>
    <w:rsid w:val="40055426"/>
    <w:rsid w:val="40056EED"/>
    <w:rsid w:val="403F4475"/>
    <w:rsid w:val="40534AFF"/>
    <w:rsid w:val="407128DB"/>
    <w:rsid w:val="40724472"/>
    <w:rsid w:val="40776A3F"/>
    <w:rsid w:val="40A56901"/>
    <w:rsid w:val="40A84E4B"/>
    <w:rsid w:val="40BC08F6"/>
    <w:rsid w:val="40C96B6F"/>
    <w:rsid w:val="40CB28E7"/>
    <w:rsid w:val="40CB31F2"/>
    <w:rsid w:val="40CF576F"/>
    <w:rsid w:val="40D611A6"/>
    <w:rsid w:val="40DC68A2"/>
    <w:rsid w:val="40E3738D"/>
    <w:rsid w:val="40E439A9"/>
    <w:rsid w:val="40F77863"/>
    <w:rsid w:val="412D35A2"/>
    <w:rsid w:val="412F10C8"/>
    <w:rsid w:val="4133147F"/>
    <w:rsid w:val="41442433"/>
    <w:rsid w:val="416D1BF0"/>
    <w:rsid w:val="41780CC1"/>
    <w:rsid w:val="417E3DFD"/>
    <w:rsid w:val="41911D83"/>
    <w:rsid w:val="419B050B"/>
    <w:rsid w:val="41A53138"/>
    <w:rsid w:val="41D91034"/>
    <w:rsid w:val="41FF4F3E"/>
    <w:rsid w:val="42002514"/>
    <w:rsid w:val="42042555"/>
    <w:rsid w:val="42794A69"/>
    <w:rsid w:val="427C033D"/>
    <w:rsid w:val="42807C28"/>
    <w:rsid w:val="429E4757"/>
    <w:rsid w:val="42A44624"/>
    <w:rsid w:val="42B23A97"/>
    <w:rsid w:val="42B775C7"/>
    <w:rsid w:val="42BC6C49"/>
    <w:rsid w:val="42D26925"/>
    <w:rsid w:val="42E00695"/>
    <w:rsid w:val="42FF5749"/>
    <w:rsid w:val="431D2C3D"/>
    <w:rsid w:val="431E4E21"/>
    <w:rsid w:val="434D3A87"/>
    <w:rsid w:val="436F1C50"/>
    <w:rsid w:val="43713C1A"/>
    <w:rsid w:val="4375761D"/>
    <w:rsid w:val="437906AA"/>
    <w:rsid w:val="437B5AE0"/>
    <w:rsid w:val="437D3EE7"/>
    <w:rsid w:val="43814A07"/>
    <w:rsid w:val="438F40A0"/>
    <w:rsid w:val="4397767E"/>
    <w:rsid w:val="43987AB3"/>
    <w:rsid w:val="439A0A12"/>
    <w:rsid w:val="439B0C97"/>
    <w:rsid w:val="43A012AD"/>
    <w:rsid w:val="43B241DC"/>
    <w:rsid w:val="43B41D58"/>
    <w:rsid w:val="43BB30E7"/>
    <w:rsid w:val="43BD792F"/>
    <w:rsid w:val="43D90C75"/>
    <w:rsid w:val="43FE2FD4"/>
    <w:rsid w:val="44095C00"/>
    <w:rsid w:val="441A7E0D"/>
    <w:rsid w:val="44250560"/>
    <w:rsid w:val="44270DD3"/>
    <w:rsid w:val="442742D8"/>
    <w:rsid w:val="442C7B41"/>
    <w:rsid w:val="442E1B0B"/>
    <w:rsid w:val="444A6219"/>
    <w:rsid w:val="44536725"/>
    <w:rsid w:val="445C6678"/>
    <w:rsid w:val="446F358C"/>
    <w:rsid w:val="447B3F14"/>
    <w:rsid w:val="447B4624"/>
    <w:rsid w:val="4487121B"/>
    <w:rsid w:val="44B813D4"/>
    <w:rsid w:val="44E328F5"/>
    <w:rsid w:val="44E87F0C"/>
    <w:rsid w:val="44ED72D0"/>
    <w:rsid w:val="44F21DF9"/>
    <w:rsid w:val="44F92119"/>
    <w:rsid w:val="45060F61"/>
    <w:rsid w:val="45075BE2"/>
    <w:rsid w:val="452435E9"/>
    <w:rsid w:val="454548C4"/>
    <w:rsid w:val="454964D0"/>
    <w:rsid w:val="45703A5D"/>
    <w:rsid w:val="45833790"/>
    <w:rsid w:val="45AC4E6E"/>
    <w:rsid w:val="45CE2B1D"/>
    <w:rsid w:val="45D71962"/>
    <w:rsid w:val="45EF52CA"/>
    <w:rsid w:val="460A5C60"/>
    <w:rsid w:val="461865CE"/>
    <w:rsid w:val="46191DA9"/>
    <w:rsid w:val="4631143E"/>
    <w:rsid w:val="464274C8"/>
    <w:rsid w:val="46555F14"/>
    <w:rsid w:val="46592743"/>
    <w:rsid w:val="466234AE"/>
    <w:rsid w:val="46696E2A"/>
    <w:rsid w:val="46783463"/>
    <w:rsid w:val="46875502"/>
    <w:rsid w:val="46887BCF"/>
    <w:rsid w:val="469B731F"/>
    <w:rsid w:val="46A837BE"/>
    <w:rsid w:val="46AC4F69"/>
    <w:rsid w:val="46AE2454"/>
    <w:rsid w:val="46CF7B75"/>
    <w:rsid w:val="46EE50A4"/>
    <w:rsid w:val="46F10BCE"/>
    <w:rsid w:val="46F801AE"/>
    <w:rsid w:val="46FD57C4"/>
    <w:rsid w:val="47170634"/>
    <w:rsid w:val="471C51D5"/>
    <w:rsid w:val="472D46A2"/>
    <w:rsid w:val="475E5C8C"/>
    <w:rsid w:val="476C4E39"/>
    <w:rsid w:val="47887784"/>
    <w:rsid w:val="47995D76"/>
    <w:rsid w:val="479E6064"/>
    <w:rsid w:val="47A10846"/>
    <w:rsid w:val="47B75973"/>
    <w:rsid w:val="47C702AC"/>
    <w:rsid w:val="47CA0656"/>
    <w:rsid w:val="47CC35CA"/>
    <w:rsid w:val="47E250E6"/>
    <w:rsid w:val="47FC782A"/>
    <w:rsid w:val="481B7A5B"/>
    <w:rsid w:val="483B0A5F"/>
    <w:rsid w:val="483F42E6"/>
    <w:rsid w:val="484B00BE"/>
    <w:rsid w:val="48590E09"/>
    <w:rsid w:val="485F1ADB"/>
    <w:rsid w:val="486E228A"/>
    <w:rsid w:val="48786BBD"/>
    <w:rsid w:val="487D566C"/>
    <w:rsid w:val="488A12DA"/>
    <w:rsid w:val="48A203D1"/>
    <w:rsid w:val="48A4188E"/>
    <w:rsid w:val="48BB047A"/>
    <w:rsid w:val="48D6451F"/>
    <w:rsid w:val="48D712D3"/>
    <w:rsid w:val="48EC2A89"/>
    <w:rsid w:val="48FD7CFE"/>
    <w:rsid w:val="48FF5E29"/>
    <w:rsid w:val="490B41C9"/>
    <w:rsid w:val="490C1CEF"/>
    <w:rsid w:val="49107A31"/>
    <w:rsid w:val="491C19C4"/>
    <w:rsid w:val="492122C3"/>
    <w:rsid w:val="49342136"/>
    <w:rsid w:val="493F7868"/>
    <w:rsid w:val="49437E06"/>
    <w:rsid w:val="496A6629"/>
    <w:rsid w:val="497C3561"/>
    <w:rsid w:val="49891453"/>
    <w:rsid w:val="498A5353"/>
    <w:rsid w:val="498E51B6"/>
    <w:rsid w:val="49971F00"/>
    <w:rsid w:val="49995C78"/>
    <w:rsid w:val="49B4660E"/>
    <w:rsid w:val="49BE2B1A"/>
    <w:rsid w:val="49CB3410"/>
    <w:rsid w:val="49D056AA"/>
    <w:rsid w:val="49ED2CCD"/>
    <w:rsid w:val="49EF3AEA"/>
    <w:rsid w:val="49F37A15"/>
    <w:rsid w:val="4A076C17"/>
    <w:rsid w:val="4A0C1647"/>
    <w:rsid w:val="4A327B96"/>
    <w:rsid w:val="4A3E68EF"/>
    <w:rsid w:val="4A4A7559"/>
    <w:rsid w:val="4A613747"/>
    <w:rsid w:val="4A8C1339"/>
    <w:rsid w:val="4A8F2BD7"/>
    <w:rsid w:val="4A964092"/>
    <w:rsid w:val="4A9B460E"/>
    <w:rsid w:val="4AA40BFE"/>
    <w:rsid w:val="4AAF1CC6"/>
    <w:rsid w:val="4AB64608"/>
    <w:rsid w:val="4AC00FE3"/>
    <w:rsid w:val="4AE41175"/>
    <w:rsid w:val="4AE42F23"/>
    <w:rsid w:val="4AE66C9B"/>
    <w:rsid w:val="4AE95E7D"/>
    <w:rsid w:val="4B1959DE"/>
    <w:rsid w:val="4B2E0642"/>
    <w:rsid w:val="4B554D03"/>
    <w:rsid w:val="4B5C6F5D"/>
    <w:rsid w:val="4B7B2466"/>
    <w:rsid w:val="4B8347A8"/>
    <w:rsid w:val="4BAA7B87"/>
    <w:rsid w:val="4BB23021"/>
    <w:rsid w:val="4BB42DD8"/>
    <w:rsid w:val="4BEE392E"/>
    <w:rsid w:val="4BEF0E75"/>
    <w:rsid w:val="4BF74ED8"/>
    <w:rsid w:val="4BF929FE"/>
    <w:rsid w:val="4C056E11"/>
    <w:rsid w:val="4C0849EF"/>
    <w:rsid w:val="4C0B1AD2"/>
    <w:rsid w:val="4C2555A1"/>
    <w:rsid w:val="4C2A705C"/>
    <w:rsid w:val="4C2C4B82"/>
    <w:rsid w:val="4C731397"/>
    <w:rsid w:val="4C7622A1"/>
    <w:rsid w:val="4C8C73CE"/>
    <w:rsid w:val="4CA2209A"/>
    <w:rsid w:val="4CBB5F06"/>
    <w:rsid w:val="4CC32FE0"/>
    <w:rsid w:val="4CD11285"/>
    <w:rsid w:val="4CE0771A"/>
    <w:rsid w:val="4CE3329E"/>
    <w:rsid w:val="4CFB27A6"/>
    <w:rsid w:val="4D0D4E52"/>
    <w:rsid w:val="4D297313"/>
    <w:rsid w:val="4D494383"/>
    <w:rsid w:val="4D524C42"/>
    <w:rsid w:val="4D553C64"/>
    <w:rsid w:val="4D573E80"/>
    <w:rsid w:val="4D782049"/>
    <w:rsid w:val="4D9218CB"/>
    <w:rsid w:val="4DA44BEC"/>
    <w:rsid w:val="4DBC1F35"/>
    <w:rsid w:val="4DC04E99"/>
    <w:rsid w:val="4DC332C4"/>
    <w:rsid w:val="4DCB43C2"/>
    <w:rsid w:val="4DD951BC"/>
    <w:rsid w:val="4DDA060D"/>
    <w:rsid w:val="4DE93F75"/>
    <w:rsid w:val="4DF96CE5"/>
    <w:rsid w:val="4E046D41"/>
    <w:rsid w:val="4E094938"/>
    <w:rsid w:val="4E21623C"/>
    <w:rsid w:val="4E277A6F"/>
    <w:rsid w:val="4E65437B"/>
    <w:rsid w:val="4E920EE8"/>
    <w:rsid w:val="4EB1775C"/>
    <w:rsid w:val="4ED432AF"/>
    <w:rsid w:val="4ED60DD5"/>
    <w:rsid w:val="4EDF237F"/>
    <w:rsid w:val="4EEA70AA"/>
    <w:rsid w:val="4EEA7D7E"/>
    <w:rsid w:val="4EED6038"/>
    <w:rsid w:val="4EF851EF"/>
    <w:rsid w:val="4F10078B"/>
    <w:rsid w:val="4F22334E"/>
    <w:rsid w:val="4F442AF1"/>
    <w:rsid w:val="4F52562F"/>
    <w:rsid w:val="4F641116"/>
    <w:rsid w:val="4F7F44DF"/>
    <w:rsid w:val="4F980DD3"/>
    <w:rsid w:val="4FBC7274"/>
    <w:rsid w:val="4FD260A2"/>
    <w:rsid w:val="4FDE2637"/>
    <w:rsid w:val="4FE575B6"/>
    <w:rsid w:val="4FF26C0A"/>
    <w:rsid w:val="5005450E"/>
    <w:rsid w:val="50100316"/>
    <w:rsid w:val="501C4F0D"/>
    <w:rsid w:val="50210776"/>
    <w:rsid w:val="504F52E3"/>
    <w:rsid w:val="5051105B"/>
    <w:rsid w:val="50574197"/>
    <w:rsid w:val="50924ECA"/>
    <w:rsid w:val="50AE7095"/>
    <w:rsid w:val="50C11611"/>
    <w:rsid w:val="50C629AA"/>
    <w:rsid w:val="50C975CB"/>
    <w:rsid w:val="50CA4969"/>
    <w:rsid w:val="50CE2C7B"/>
    <w:rsid w:val="50EC0D83"/>
    <w:rsid w:val="50EC6EA8"/>
    <w:rsid w:val="50FB0FC7"/>
    <w:rsid w:val="50FC089B"/>
    <w:rsid w:val="511B21E6"/>
    <w:rsid w:val="51273826"/>
    <w:rsid w:val="512775DF"/>
    <w:rsid w:val="512B7442"/>
    <w:rsid w:val="512F2A1E"/>
    <w:rsid w:val="51337EE4"/>
    <w:rsid w:val="513C6BA1"/>
    <w:rsid w:val="51475FBA"/>
    <w:rsid w:val="51543B1F"/>
    <w:rsid w:val="51570191"/>
    <w:rsid w:val="515C5017"/>
    <w:rsid w:val="51713037"/>
    <w:rsid w:val="51854B3C"/>
    <w:rsid w:val="51917235"/>
    <w:rsid w:val="51993CDC"/>
    <w:rsid w:val="51AB0D8B"/>
    <w:rsid w:val="51AD7BA6"/>
    <w:rsid w:val="51B64CA7"/>
    <w:rsid w:val="51BA678C"/>
    <w:rsid w:val="51C969CF"/>
    <w:rsid w:val="51D6733E"/>
    <w:rsid w:val="51EF5A14"/>
    <w:rsid w:val="51F81C55"/>
    <w:rsid w:val="5206670B"/>
    <w:rsid w:val="52462715"/>
    <w:rsid w:val="524D5852"/>
    <w:rsid w:val="526861E8"/>
    <w:rsid w:val="526D5AC7"/>
    <w:rsid w:val="526F3A1A"/>
    <w:rsid w:val="52935B67"/>
    <w:rsid w:val="529C0587"/>
    <w:rsid w:val="529F12A2"/>
    <w:rsid w:val="52B37259"/>
    <w:rsid w:val="52BA27BB"/>
    <w:rsid w:val="52BC45CC"/>
    <w:rsid w:val="52C84732"/>
    <w:rsid w:val="52CD6993"/>
    <w:rsid w:val="52D80A22"/>
    <w:rsid w:val="52E00474"/>
    <w:rsid w:val="52EB4CD8"/>
    <w:rsid w:val="530362DC"/>
    <w:rsid w:val="53065A01"/>
    <w:rsid w:val="53107FEA"/>
    <w:rsid w:val="531620E8"/>
    <w:rsid w:val="532E0186"/>
    <w:rsid w:val="532E5683"/>
    <w:rsid w:val="53303C4F"/>
    <w:rsid w:val="53321C93"/>
    <w:rsid w:val="534C78B7"/>
    <w:rsid w:val="53590226"/>
    <w:rsid w:val="537B1F4B"/>
    <w:rsid w:val="538613BB"/>
    <w:rsid w:val="538C05FC"/>
    <w:rsid w:val="53995037"/>
    <w:rsid w:val="539B71D8"/>
    <w:rsid w:val="53A414A2"/>
    <w:rsid w:val="53A53D2B"/>
    <w:rsid w:val="53A849E0"/>
    <w:rsid w:val="53B10062"/>
    <w:rsid w:val="53B813F1"/>
    <w:rsid w:val="53C460FC"/>
    <w:rsid w:val="53DD4EB7"/>
    <w:rsid w:val="53EA5AEC"/>
    <w:rsid w:val="53F131C4"/>
    <w:rsid w:val="54040192"/>
    <w:rsid w:val="541008E5"/>
    <w:rsid w:val="542C1497"/>
    <w:rsid w:val="54322F51"/>
    <w:rsid w:val="54555807"/>
    <w:rsid w:val="547D1CF3"/>
    <w:rsid w:val="54977258"/>
    <w:rsid w:val="54AD4386"/>
    <w:rsid w:val="54B22564"/>
    <w:rsid w:val="54B554D9"/>
    <w:rsid w:val="54BA62D4"/>
    <w:rsid w:val="54BE670B"/>
    <w:rsid w:val="54C06F4C"/>
    <w:rsid w:val="54C74812"/>
    <w:rsid w:val="54D73AF9"/>
    <w:rsid w:val="54E57FC4"/>
    <w:rsid w:val="54EA5019"/>
    <w:rsid w:val="54FA3343"/>
    <w:rsid w:val="55256CDB"/>
    <w:rsid w:val="55356C10"/>
    <w:rsid w:val="5536079B"/>
    <w:rsid w:val="55376345"/>
    <w:rsid w:val="553B13A1"/>
    <w:rsid w:val="554A7E27"/>
    <w:rsid w:val="554B54F8"/>
    <w:rsid w:val="554C2B7A"/>
    <w:rsid w:val="556D7E1E"/>
    <w:rsid w:val="5596306C"/>
    <w:rsid w:val="55980C4B"/>
    <w:rsid w:val="55A25EB5"/>
    <w:rsid w:val="55A70D11"/>
    <w:rsid w:val="55E42029"/>
    <w:rsid w:val="56165938"/>
    <w:rsid w:val="565076BF"/>
    <w:rsid w:val="565959E7"/>
    <w:rsid w:val="565A678F"/>
    <w:rsid w:val="56835CE6"/>
    <w:rsid w:val="56AC1AED"/>
    <w:rsid w:val="56D4209E"/>
    <w:rsid w:val="56F95FA8"/>
    <w:rsid w:val="56FF5614"/>
    <w:rsid w:val="5700392F"/>
    <w:rsid w:val="570D735E"/>
    <w:rsid w:val="570F757A"/>
    <w:rsid w:val="571909A1"/>
    <w:rsid w:val="5748483A"/>
    <w:rsid w:val="575907F5"/>
    <w:rsid w:val="575C0A5E"/>
    <w:rsid w:val="57794F9D"/>
    <w:rsid w:val="578066B8"/>
    <w:rsid w:val="57A37CC2"/>
    <w:rsid w:val="57F2339A"/>
    <w:rsid w:val="57F55E83"/>
    <w:rsid w:val="57FF0E9F"/>
    <w:rsid w:val="581F1A3E"/>
    <w:rsid w:val="58216480"/>
    <w:rsid w:val="58242BB1"/>
    <w:rsid w:val="58266F89"/>
    <w:rsid w:val="583D24B7"/>
    <w:rsid w:val="58522830"/>
    <w:rsid w:val="586C27AA"/>
    <w:rsid w:val="58831FCD"/>
    <w:rsid w:val="58A261CC"/>
    <w:rsid w:val="58B57CAD"/>
    <w:rsid w:val="58BD150F"/>
    <w:rsid w:val="58C16652"/>
    <w:rsid w:val="58D00F8B"/>
    <w:rsid w:val="58D40845"/>
    <w:rsid w:val="58D81EB3"/>
    <w:rsid w:val="58F509F1"/>
    <w:rsid w:val="58F77D70"/>
    <w:rsid w:val="59081C17"/>
    <w:rsid w:val="59192F0D"/>
    <w:rsid w:val="5934080A"/>
    <w:rsid w:val="59381C91"/>
    <w:rsid w:val="594D050C"/>
    <w:rsid w:val="594D4389"/>
    <w:rsid w:val="595E20F3"/>
    <w:rsid w:val="59653481"/>
    <w:rsid w:val="5966544B"/>
    <w:rsid w:val="596976EA"/>
    <w:rsid w:val="59710078"/>
    <w:rsid w:val="597D4F1D"/>
    <w:rsid w:val="59815DE1"/>
    <w:rsid w:val="599E2E37"/>
    <w:rsid w:val="59A044B9"/>
    <w:rsid w:val="59C86B3A"/>
    <w:rsid w:val="5A046B86"/>
    <w:rsid w:val="5A0F68C7"/>
    <w:rsid w:val="5A235C52"/>
    <w:rsid w:val="5A551748"/>
    <w:rsid w:val="5A5E0A66"/>
    <w:rsid w:val="5A6B0F6B"/>
    <w:rsid w:val="5A8F0385"/>
    <w:rsid w:val="5AA63D51"/>
    <w:rsid w:val="5AA7343E"/>
    <w:rsid w:val="5AA77AC9"/>
    <w:rsid w:val="5AC93EE4"/>
    <w:rsid w:val="5AD018B0"/>
    <w:rsid w:val="5AD6077A"/>
    <w:rsid w:val="5ADD173D"/>
    <w:rsid w:val="5AEB47DE"/>
    <w:rsid w:val="5AF2343A"/>
    <w:rsid w:val="5B1044F7"/>
    <w:rsid w:val="5B1533D9"/>
    <w:rsid w:val="5B372BFB"/>
    <w:rsid w:val="5B381E3A"/>
    <w:rsid w:val="5B4266A5"/>
    <w:rsid w:val="5B603524"/>
    <w:rsid w:val="5B914A01"/>
    <w:rsid w:val="5B934787"/>
    <w:rsid w:val="5B964540"/>
    <w:rsid w:val="5B982868"/>
    <w:rsid w:val="5BA33255"/>
    <w:rsid w:val="5BAD0E4E"/>
    <w:rsid w:val="5BB95AEB"/>
    <w:rsid w:val="5BBD0424"/>
    <w:rsid w:val="5BC466E3"/>
    <w:rsid w:val="5BCB5E61"/>
    <w:rsid w:val="5BDE39BF"/>
    <w:rsid w:val="5BEB23B2"/>
    <w:rsid w:val="5BF01291"/>
    <w:rsid w:val="5C0E385F"/>
    <w:rsid w:val="5C110361"/>
    <w:rsid w:val="5C186ED1"/>
    <w:rsid w:val="5C237623"/>
    <w:rsid w:val="5C527AF5"/>
    <w:rsid w:val="5C593045"/>
    <w:rsid w:val="5C5B7FFC"/>
    <w:rsid w:val="5C6558EF"/>
    <w:rsid w:val="5C6E4D42"/>
    <w:rsid w:val="5C98591B"/>
    <w:rsid w:val="5CB119BF"/>
    <w:rsid w:val="5CC457D6"/>
    <w:rsid w:val="5CC674F4"/>
    <w:rsid w:val="5CCF789F"/>
    <w:rsid w:val="5CDF5B2F"/>
    <w:rsid w:val="5CF75872"/>
    <w:rsid w:val="5CFF1E3E"/>
    <w:rsid w:val="5D0336DD"/>
    <w:rsid w:val="5D2E7169"/>
    <w:rsid w:val="5D3429A9"/>
    <w:rsid w:val="5D3818CE"/>
    <w:rsid w:val="5D4D2BAA"/>
    <w:rsid w:val="5D5B27A1"/>
    <w:rsid w:val="5D6821FC"/>
    <w:rsid w:val="5D7E151C"/>
    <w:rsid w:val="5D850596"/>
    <w:rsid w:val="5D855A5F"/>
    <w:rsid w:val="5D926E93"/>
    <w:rsid w:val="5D964551"/>
    <w:rsid w:val="5DA91EAB"/>
    <w:rsid w:val="5DCA7AC0"/>
    <w:rsid w:val="5DE11C39"/>
    <w:rsid w:val="5DE132F2"/>
    <w:rsid w:val="5DED613B"/>
    <w:rsid w:val="5E0873ED"/>
    <w:rsid w:val="5E290035"/>
    <w:rsid w:val="5E2F3276"/>
    <w:rsid w:val="5E3425B0"/>
    <w:rsid w:val="5E47584B"/>
    <w:rsid w:val="5E4D2736"/>
    <w:rsid w:val="5E765DF7"/>
    <w:rsid w:val="5E800D5D"/>
    <w:rsid w:val="5E8F1076"/>
    <w:rsid w:val="5E99597B"/>
    <w:rsid w:val="5EE70DDC"/>
    <w:rsid w:val="5F100333"/>
    <w:rsid w:val="5F103E8F"/>
    <w:rsid w:val="5F1056A9"/>
    <w:rsid w:val="5F2416E8"/>
    <w:rsid w:val="5F334021"/>
    <w:rsid w:val="5F3A2B98"/>
    <w:rsid w:val="5F3C5F70"/>
    <w:rsid w:val="5F4F0E5B"/>
    <w:rsid w:val="5F5C70D4"/>
    <w:rsid w:val="5F64242D"/>
    <w:rsid w:val="5F645F89"/>
    <w:rsid w:val="5F6E5059"/>
    <w:rsid w:val="5FBC5DC5"/>
    <w:rsid w:val="5FEB66AA"/>
    <w:rsid w:val="5FF27A39"/>
    <w:rsid w:val="5FF55861"/>
    <w:rsid w:val="600A4D82"/>
    <w:rsid w:val="600E0B24"/>
    <w:rsid w:val="60100E82"/>
    <w:rsid w:val="601C03A2"/>
    <w:rsid w:val="6036009B"/>
    <w:rsid w:val="603C0CE8"/>
    <w:rsid w:val="604162CA"/>
    <w:rsid w:val="604E1113"/>
    <w:rsid w:val="605E50CE"/>
    <w:rsid w:val="60647C3D"/>
    <w:rsid w:val="606D71EE"/>
    <w:rsid w:val="607406B8"/>
    <w:rsid w:val="607A461D"/>
    <w:rsid w:val="608763D3"/>
    <w:rsid w:val="60A90772"/>
    <w:rsid w:val="60AA25CD"/>
    <w:rsid w:val="60AA6A02"/>
    <w:rsid w:val="60BA6858"/>
    <w:rsid w:val="60BB5F37"/>
    <w:rsid w:val="60BC61A1"/>
    <w:rsid w:val="60C15E27"/>
    <w:rsid w:val="60D07D7A"/>
    <w:rsid w:val="60D4713E"/>
    <w:rsid w:val="60DD484C"/>
    <w:rsid w:val="60F51A9F"/>
    <w:rsid w:val="60FD6A27"/>
    <w:rsid w:val="610F6093"/>
    <w:rsid w:val="6113015A"/>
    <w:rsid w:val="61251748"/>
    <w:rsid w:val="612541B0"/>
    <w:rsid w:val="61382351"/>
    <w:rsid w:val="61474CB9"/>
    <w:rsid w:val="6151078F"/>
    <w:rsid w:val="615D0EE2"/>
    <w:rsid w:val="615F4858"/>
    <w:rsid w:val="61732F39"/>
    <w:rsid w:val="617A7CE6"/>
    <w:rsid w:val="6189617B"/>
    <w:rsid w:val="618B4237"/>
    <w:rsid w:val="618D6CB2"/>
    <w:rsid w:val="61911850"/>
    <w:rsid w:val="619A4353"/>
    <w:rsid w:val="619B5AF8"/>
    <w:rsid w:val="619F14FA"/>
    <w:rsid w:val="61A11716"/>
    <w:rsid w:val="61A2267D"/>
    <w:rsid w:val="61A3723C"/>
    <w:rsid w:val="61A4737B"/>
    <w:rsid w:val="61EA7BFD"/>
    <w:rsid w:val="61F61101"/>
    <w:rsid w:val="620607CE"/>
    <w:rsid w:val="624B1D15"/>
    <w:rsid w:val="624F4CCE"/>
    <w:rsid w:val="625422E5"/>
    <w:rsid w:val="625F0C30"/>
    <w:rsid w:val="6263685B"/>
    <w:rsid w:val="62703343"/>
    <w:rsid w:val="628909C1"/>
    <w:rsid w:val="62891879"/>
    <w:rsid w:val="628D25B2"/>
    <w:rsid w:val="62912C97"/>
    <w:rsid w:val="62AF02B7"/>
    <w:rsid w:val="62BF17DE"/>
    <w:rsid w:val="62C7431A"/>
    <w:rsid w:val="62E95123"/>
    <w:rsid w:val="62F64EA8"/>
    <w:rsid w:val="6324120F"/>
    <w:rsid w:val="633A772C"/>
    <w:rsid w:val="63473BF7"/>
    <w:rsid w:val="6350482B"/>
    <w:rsid w:val="635A392B"/>
    <w:rsid w:val="63A21CB8"/>
    <w:rsid w:val="63D336DD"/>
    <w:rsid w:val="63DB1F7C"/>
    <w:rsid w:val="63EA6A6B"/>
    <w:rsid w:val="63F97F90"/>
    <w:rsid w:val="643C1282"/>
    <w:rsid w:val="646F78AA"/>
    <w:rsid w:val="6473026B"/>
    <w:rsid w:val="647472E2"/>
    <w:rsid w:val="64836EB1"/>
    <w:rsid w:val="64852C29"/>
    <w:rsid w:val="649B069F"/>
    <w:rsid w:val="64BC3D42"/>
    <w:rsid w:val="64F52D67"/>
    <w:rsid w:val="64F97927"/>
    <w:rsid w:val="65062D4A"/>
    <w:rsid w:val="650E0E71"/>
    <w:rsid w:val="651B17E0"/>
    <w:rsid w:val="65222B6E"/>
    <w:rsid w:val="652258CA"/>
    <w:rsid w:val="65362175"/>
    <w:rsid w:val="653F54CE"/>
    <w:rsid w:val="65534AD5"/>
    <w:rsid w:val="655F07AC"/>
    <w:rsid w:val="656E62BD"/>
    <w:rsid w:val="65742020"/>
    <w:rsid w:val="657F1D6E"/>
    <w:rsid w:val="65A672FB"/>
    <w:rsid w:val="65A914F4"/>
    <w:rsid w:val="65B95387"/>
    <w:rsid w:val="65C85707"/>
    <w:rsid w:val="65D26342"/>
    <w:rsid w:val="65DC4BD2"/>
    <w:rsid w:val="65E168ED"/>
    <w:rsid w:val="65F84574"/>
    <w:rsid w:val="65FF3D2A"/>
    <w:rsid w:val="660202AA"/>
    <w:rsid w:val="660B1854"/>
    <w:rsid w:val="660C5D78"/>
    <w:rsid w:val="66145291"/>
    <w:rsid w:val="663714AA"/>
    <w:rsid w:val="6637730E"/>
    <w:rsid w:val="66500642"/>
    <w:rsid w:val="667644F6"/>
    <w:rsid w:val="667A7224"/>
    <w:rsid w:val="66831B3C"/>
    <w:rsid w:val="668D04BB"/>
    <w:rsid w:val="669730E8"/>
    <w:rsid w:val="669C3B40"/>
    <w:rsid w:val="66D87988"/>
    <w:rsid w:val="66D954AE"/>
    <w:rsid w:val="66DE4873"/>
    <w:rsid w:val="66ED4AB6"/>
    <w:rsid w:val="66F159A2"/>
    <w:rsid w:val="67073449"/>
    <w:rsid w:val="671604B0"/>
    <w:rsid w:val="674047A3"/>
    <w:rsid w:val="67513297"/>
    <w:rsid w:val="67F51E74"/>
    <w:rsid w:val="681F1E75"/>
    <w:rsid w:val="68261B9D"/>
    <w:rsid w:val="68262975"/>
    <w:rsid w:val="682B7F8C"/>
    <w:rsid w:val="682D2446"/>
    <w:rsid w:val="68316C99"/>
    <w:rsid w:val="68442DFB"/>
    <w:rsid w:val="684B780E"/>
    <w:rsid w:val="684D3A5E"/>
    <w:rsid w:val="685B160F"/>
    <w:rsid w:val="68785667"/>
    <w:rsid w:val="69110F2F"/>
    <w:rsid w:val="691B3B5C"/>
    <w:rsid w:val="692F0C03"/>
    <w:rsid w:val="69390486"/>
    <w:rsid w:val="693E3CEF"/>
    <w:rsid w:val="6949691B"/>
    <w:rsid w:val="69556EEC"/>
    <w:rsid w:val="69591DF9"/>
    <w:rsid w:val="695A349C"/>
    <w:rsid w:val="69654C1F"/>
    <w:rsid w:val="69675B1D"/>
    <w:rsid w:val="697D4817"/>
    <w:rsid w:val="697F0FD0"/>
    <w:rsid w:val="69886938"/>
    <w:rsid w:val="698931BC"/>
    <w:rsid w:val="6989647A"/>
    <w:rsid w:val="698C2CAC"/>
    <w:rsid w:val="69A8401D"/>
    <w:rsid w:val="69A9560C"/>
    <w:rsid w:val="69B1233A"/>
    <w:rsid w:val="69B53FB1"/>
    <w:rsid w:val="69BB533F"/>
    <w:rsid w:val="6A136F29"/>
    <w:rsid w:val="6A316B86"/>
    <w:rsid w:val="6A4D41E9"/>
    <w:rsid w:val="6A4D78B3"/>
    <w:rsid w:val="6A5C2468"/>
    <w:rsid w:val="6A5C442C"/>
    <w:rsid w:val="6A6130B1"/>
    <w:rsid w:val="6A6B0B13"/>
    <w:rsid w:val="6A7379C8"/>
    <w:rsid w:val="6A794FDE"/>
    <w:rsid w:val="6AD767C0"/>
    <w:rsid w:val="6AE25E31"/>
    <w:rsid w:val="6AEF704E"/>
    <w:rsid w:val="6B0F76F1"/>
    <w:rsid w:val="6B1A11BB"/>
    <w:rsid w:val="6B2667E8"/>
    <w:rsid w:val="6B272FFA"/>
    <w:rsid w:val="6B460B20"/>
    <w:rsid w:val="6B7439F8"/>
    <w:rsid w:val="6B7C191B"/>
    <w:rsid w:val="6B7D2246"/>
    <w:rsid w:val="6B813195"/>
    <w:rsid w:val="6BA35A2B"/>
    <w:rsid w:val="6BA442DD"/>
    <w:rsid w:val="6BAA7886"/>
    <w:rsid w:val="6BCD6D25"/>
    <w:rsid w:val="6BD6529C"/>
    <w:rsid w:val="6BE741CA"/>
    <w:rsid w:val="6C180827"/>
    <w:rsid w:val="6C417D7E"/>
    <w:rsid w:val="6C5A4D98"/>
    <w:rsid w:val="6C627CF4"/>
    <w:rsid w:val="6C731F01"/>
    <w:rsid w:val="6C98090F"/>
    <w:rsid w:val="6CA35ADE"/>
    <w:rsid w:val="6CAF118B"/>
    <w:rsid w:val="6CB27486"/>
    <w:rsid w:val="6CB71DEE"/>
    <w:rsid w:val="6CC57BB7"/>
    <w:rsid w:val="6CE60925"/>
    <w:rsid w:val="6CEF77DA"/>
    <w:rsid w:val="6CF517E4"/>
    <w:rsid w:val="6CF86804"/>
    <w:rsid w:val="6CF92406"/>
    <w:rsid w:val="6D1C4347"/>
    <w:rsid w:val="6D1E00BF"/>
    <w:rsid w:val="6D301BA0"/>
    <w:rsid w:val="6D3E31D9"/>
    <w:rsid w:val="6D3F3B91"/>
    <w:rsid w:val="6D8C4E9F"/>
    <w:rsid w:val="6D8C78EE"/>
    <w:rsid w:val="6D9E69AA"/>
    <w:rsid w:val="6D9F516C"/>
    <w:rsid w:val="6DB12CE1"/>
    <w:rsid w:val="6DB2451C"/>
    <w:rsid w:val="6DBB590E"/>
    <w:rsid w:val="6DD94D25"/>
    <w:rsid w:val="6DDD3AD6"/>
    <w:rsid w:val="6DDF211E"/>
    <w:rsid w:val="6DE0493D"/>
    <w:rsid w:val="6DE05374"/>
    <w:rsid w:val="6DE84CCF"/>
    <w:rsid w:val="6E092C09"/>
    <w:rsid w:val="6E0B0A1B"/>
    <w:rsid w:val="6E0E5C50"/>
    <w:rsid w:val="6E1A6AD8"/>
    <w:rsid w:val="6E1F26B5"/>
    <w:rsid w:val="6E2450AA"/>
    <w:rsid w:val="6E2E7B61"/>
    <w:rsid w:val="6E401E20"/>
    <w:rsid w:val="6E421B8B"/>
    <w:rsid w:val="6E454AF3"/>
    <w:rsid w:val="6E64790D"/>
    <w:rsid w:val="6E6C39BE"/>
    <w:rsid w:val="6E757966"/>
    <w:rsid w:val="6E773A27"/>
    <w:rsid w:val="6E7F06E9"/>
    <w:rsid w:val="6EA463A2"/>
    <w:rsid w:val="6EC304C5"/>
    <w:rsid w:val="6ECB05E7"/>
    <w:rsid w:val="6ECD58F9"/>
    <w:rsid w:val="6EDF73DA"/>
    <w:rsid w:val="6EE522B7"/>
    <w:rsid w:val="6EEA4213"/>
    <w:rsid w:val="6EF2009C"/>
    <w:rsid w:val="6EF86A39"/>
    <w:rsid w:val="6F123FA9"/>
    <w:rsid w:val="6F1C2E46"/>
    <w:rsid w:val="6F1D7D02"/>
    <w:rsid w:val="6F3B381E"/>
    <w:rsid w:val="6F631DB9"/>
    <w:rsid w:val="6F675D4D"/>
    <w:rsid w:val="6F7044D6"/>
    <w:rsid w:val="6F7E4E45"/>
    <w:rsid w:val="6F8334EC"/>
    <w:rsid w:val="6F89202D"/>
    <w:rsid w:val="6F8961D2"/>
    <w:rsid w:val="6F8B2600"/>
    <w:rsid w:val="6F9D0CED"/>
    <w:rsid w:val="6FA67EF8"/>
    <w:rsid w:val="6FAF3458"/>
    <w:rsid w:val="6FB40B89"/>
    <w:rsid w:val="6FCB372E"/>
    <w:rsid w:val="6FDF642C"/>
    <w:rsid w:val="6FE17B98"/>
    <w:rsid w:val="6FFF7E67"/>
    <w:rsid w:val="700A59E5"/>
    <w:rsid w:val="700A7ABD"/>
    <w:rsid w:val="70204269"/>
    <w:rsid w:val="703B0F88"/>
    <w:rsid w:val="707966DF"/>
    <w:rsid w:val="707A29DE"/>
    <w:rsid w:val="707C2004"/>
    <w:rsid w:val="707F0E75"/>
    <w:rsid w:val="70BD374B"/>
    <w:rsid w:val="70C157D7"/>
    <w:rsid w:val="70C92614"/>
    <w:rsid w:val="70CD7848"/>
    <w:rsid w:val="71066EA0"/>
    <w:rsid w:val="7106729F"/>
    <w:rsid w:val="710B44B6"/>
    <w:rsid w:val="71153587"/>
    <w:rsid w:val="711E5C32"/>
    <w:rsid w:val="71305FFF"/>
    <w:rsid w:val="713B0FCF"/>
    <w:rsid w:val="714B7A0B"/>
    <w:rsid w:val="715C7408"/>
    <w:rsid w:val="717209D9"/>
    <w:rsid w:val="7173136A"/>
    <w:rsid w:val="717A163C"/>
    <w:rsid w:val="71B132B0"/>
    <w:rsid w:val="71B51899"/>
    <w:rsid w:val="71BC7EA6"/>
    <w:rsid w:val="71C6177C"/>
    <w:rsid w:val="71CF7BDA"/>
    <w:rsid w:val="71E511AB"/>
    <w:rsid w:val="71F46E9F"/>
    <w:rsid w:val="72064065"/>
    <w:rsid w:val="722872EA"/>
    <w:rsid w:val="72314560"/>
    <w:rsid w:val="72345C8F"/>
    <w:rsid w:val="72456814"/>
    <w:rsid w:val="724A54B2"/>
    <w:rsid w:val="72647F95"/>
    <w:rsid w:val="726A16B0"/>
    <w:rsid w:val="727234AC"/>
    <w:rsid w:val="728B432D"/>
    <w:rsid w:val="7297175D"/>
    <w:rsid w:val="72B43F65"/>
    <w:rsid w:val="72BF19FC"/>
    <w:rsid w:val="72C44160"/>
    <w:rsid w:val="72E060B9"/>
    <w:rsid w:val="731A1328"/>
    <w:rsid w:val="731D6723"/>
    <w:rsid w:val="7329331A"/>
    <w:rsid w:val="73397A01"/>
    <w:rsid w:val="73431772"/>
    <w:rsid w:val="7343262D"/>
    <w:rsid w:val="736A32DF"/>
    <w:rsid w:val="736E6F7E"/>
    <w:rsid w:val="737124FE"/>
    <w:rsid w:val="737733D7"/>
    <w:rsid w:val="73830C7C"/>
    <w:rsid w:val="73915C85"/>
    <w:rsid w:val="73A9730D"/>
    <w:rsid w:val="73C06B69"/>
    <w:rsid w:val="73DF367F"/>
    <w:rsid w:val="745D327B"/>
    <w:rsid w:val="746722E6"/>
    <w:rsid w:val="74AA6677"/>
    <w:rsid w:val="74D557EE"/>
    <w:rsid w:val="74DA0D6F"/>
    <w:rsid w:val="74DF0134"/>
    <w:rsid w:val="74DF2C27"/>
    <w:rsid w:val="750B2001"/>
    <w:rsid w:val="75104791"/>
    <w:rsid w:val="752F3B99"/>
    <w:rsid w:val="7548217D"/>
    <w:rsid w:val="755C7FD2"/>
    <w:rsid w:val="755D54FC"/>
    <w:rsid w:val="75727829"/>
    <w:rsid w:val="758304A5"/>
    <w:rsid w:val="758E66CF"/>
    <w:rsid w:val="75AD1FE0"/>
    <w:rsid w:val="75E579CC"/>
    <w:rsid w:val="761A55C6"/>
    <w:rsid w:val="7622359C"/>
    <w:rsid w:val="76407FE1"/>
    <w:rsid w:val="765506D4"/>
    <w:rsid w:val="76676633"/>
    <w:rsid w:val="768B2F27"/>
    <w:rsid w:val="768C7E47"/>
    <w:rsid w:val="769A6A08"/>
    <w:rsid w:val="76C27D0D"/>
    <w:rsid w:val="76D0242A"/>
    <w:rsid w:val="76E560D4"/>
    <w:rsid w:val="76F854DD"/>
    <w:rsid w:val="77097583"/>
    <w:rsid w:val="77270C06"/>
    <w:rsid w:val="77453882"/>
    <w:rsid w:val="77573568"/>
    <w:rsid w:val="775B28A9"/>
    <w:rsid w:val="777D6759"/>
    <w:rsid w:val="77845339"/>
    <w:rsid w:val="7789082B"/>
    <w:rsid w:val="77931854"/>
    <w:rsid w:val="77B165C5"/>
    <w:rsid w:val="77B92EBE"/>
    <w:rsid w:val="77CA4EC1"/>
    <w:rsid w:val="77CD6969"/>
    <w:rsid w:val="77D32D01"/>
    <w:rsid w:val="77DF044B"/>
    <w:rsid w:val="782474C5"/>
    <w:rsid w:val="78542BE7"/>
    <w:rsid w:val="78554193"/>
    <w:rsid w:val="7866233E"/>
    <w:rsid w:val="786A240A"/>
    <w:rsid w:val="787E5EB6"/>
    <w:rsid w:val="787E7C64"/>
    <w:rsid w:val="78815B9B"/>
    <w:rsid w:val="788D7EA7"/>
    <w:rsid w:val="788E24B4"/>
    <w:rsid w:val="78947487"/>
    <w:rsid w:val="78A354DF"/>
    <w:rsid w:val="78B12877"/>
    <w:rsid w:val="78D67AA0"/>
    <w:rsid w:val="78DE0B05"/>
    <w:rsid w:val="78E03E5D"/>
    <w:rsid w:val="78F77C5A"/>
    <w:rsid w:val="78FD1A13"/>
    <w:rsid w:val="7901120A"/>
    <w:rsid w:val="79084964"/>
    <w:rsid w:val="79097472"/>
    <w:rsid w:val="79143D0B"/>
    <w:rsid w:val="792C3B64"/>
    <w:rsid w:val="7988298D"/>
    <w:rsid w:val="799F4335"/>
    <w:rsid w:val="799F60E4"/>
    <w:rsid w:val="79A04937"/>
    <w:rsid w:val="79A762B1"/>
    <w:rsid w:val="79B778D1"/>
    <w:rsid w:val="79BA1F1C"/>
    <w:rsid w:val="79BB05F2"/>
    <w:rsid w:val="79BC7F59"/>
    <w:rsid w:val="79BF247A"/>
    <w:rsid w:val="79C93160"/>
    <w:rsid w:val="79D7531D"/>
    <w:rsid w:val="7A122D59"/>
    <w:rsid w:val="7A40270A"/>
    <w:rsid w:val="7A5A200A"/>
    <w:rsid w:val="7A644718"/>
    <w:rsid w:val="7A715E12"/>
    <w:rsid w:val="7A756E44"/>
    <w:rsid w:val="7A7D43B5"/>
    <w:rsid w:val="7A903C7E"/>
    <w:rsid w:val="7AA716F4"/>
    <w:rsid w:val="7AAB11D5"/>
    <w:rsid w:val="7AB17307"/>
    <w:rsid w:val="7AF627FC"/>
    <w:rsid w:val="7B0C3169"/>
    <w:rsid w:val="7B1A0118"/>
    <w:rsid w:val="7B1D1C45"/>
    <w:rsid w:val="7B1E5CCB"/>
    <w:rsid w:val="7B2A083E"/>
    <w:rsid w:val="7B332F87"/>
    <w:rsid w:val="7B3B6278"/>
    <w:rsid w:val="7B403392"/>
    <w:rsid w:val="7B4F58E7"/>
    <w:rsid w:val="7B55406D"/>
    <w:rsid w:val="7B5D1DB2"/>
    <w:rsid w:val="7B7A0BB6"/>
    <w:rsid w:val="7B7B492E"/>
    <w:rsid w:val="7BBB4D2B"/>
    <w:rsid w:val="7BBF7212"/>
    <w:rsid w:val="7BDF6C6B"/>
    <w:rsid w:val="7BF137E6"/>
    <w:rsid w:val="7BF344C5"/>
    <w:rsid w:val="7BF71509"/>
    <w:rsid w:val="7C091F3A"/>
    <w:rsid w:val="7C205EFE"/>
    <w:rsid w:val="7C262AEC"/>
    <w:rsid w:val="7C4C618D"/>
    <w:rsid w:val="7C612B4F"/>
    <w:rsid w:val="7C7B6E03"/>
    <w:rsid w:val="7C7E46D6"/>
    <w:rsid w:val="7CAD1111"/>
    <w:rsid w:val="7CBB3234"/>
    <w:rsid w:val="7CBE322D"/>
    <w:rsid w:val="7CC540B3"/>
    <w:rsid w:val="7CED53B8"/>
    <w:rsid w:val="7CEF7382"/>
    <w:rsid w:val="7D112885"/>
    <w:rsid w:val="7D124E1E"/>
    <w:rsid w:val="7D190847"/>
    <w:rsid w:val="7D1A07BD"/>
    <w:rsid w:val="7D29291B"/>
    <w:rsid w:val="7D2B353C"/>
    <w:rsid w:val="7D371E7C"/>
    <w:rsid w:val="7D3B25C7"/>
    <w:rsid w:val="7D3D3F69"/>
    <w:rsid w:val="7D495EEB"/>
    <w:rsid w:val="7D4A45B8"/>
    <w:rsid w:val="7D636009"/>
    <w:rsid w:val="7D755AD9"/>
    <w:rsid w:val="7DBF31EF"/>
    <w:rsid w:val="7DC205F3"/>
    <w:rsid w:val="7DC9399E"/>
    <w:rsid w:val="7DD24CD9"/>
    <w:rsid w:val="7DD345AE"/>
    <w:rsid w:val="7DD87E16"/>
    <w:rsid w:val="7DE844FD"/>
    <w:rsid w:val="7DEE13E8"/>
    <w:rsid w:val="7DFF6163"/>
    <w:rsid w:val="7E034693"/>
    <w:rsid w:val="7E1628DA"/>
    <w:rsid w:val="7E1A3F8B"/>
    <w:rsid w:val="7E292420"/>
    <w:rsid w:val="7E4E00D8"/>
    <w:rsid w:val="7E4E624B"/>
    <w:rsid w:val="7E4F1E25"/>
    <w:rsid w:val="7E6529A1"/>
    <w:rsid w:val="7E6C7708"/>
    <w:rsid w:val="7E7E190D"/>
    <w:rsid w:val="7E851623"/>
    <w:rsid w:val="7E8A00CE"/>
    <w:rsid w:val="7E8B48A1"/>
    <w:rsid w:val="7E9C79A1"/>
    <w:rsid w:val="7EC1347B"/>
    <w:rsid w:val="7ECD4307"/>
    <w:rsid w:val="7ED71E7C"/>
    <w:rsid w:val="7F0C5FC9"/>
    <w:rsid w:val="7F1C1963"/>
    <w:rsid w:val="7F25708B"/>
    <w:rsid w:val="7F2826D7"/>
    <w:rsid w:val="7F370B6C"/>
    <w:rsid w:val="7F453289"/>
    <w:rsid w:val="7F5510A3"/>
    <w:rsid w:val="7F5D0387"/>
    <w:rsid w:val="7F647E1B"/>
    <w:rsid w:val="7F737DF6"/>
    <w:rsid w:val="7F89761A"/>
    <w:rsid w:val="7F9011C2"/>
    <w:rsid w:val="7F9460E1"/>
    <w:rsid w:val="7FA526EE"/>
    <w:rsid w:val="7FAA12DB"/>
    <w:rsid w:val="7FD14B1D"/>
    <w:rsid w:val="7FD341FD"/>
    <w:rsid w:val="7FEE4741"/>
    <w:rsid w:val="7FF127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qFormat="1"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ind w:firstLine="3595" w:firstLineChars="1492"/>
      <w:jc w:val="right"/>
      <w:outlineLvl w:val="1"/>
    </w:pPr>
    <w:rPr>
      <w:b/>
      <w:bCs/>
      <w:sz w:val="24"/>
    </w:rPr>
  </w:style>
  <w:style w:type="paragraph" w:styleId="4">
    <w:name w:val="heading 3"/>
    <w:basedOn w:val="1"/>
    <w:next w:val="1"/>
    <w:link w:val="63"/>
    <w:qFormat/>
    <w:uiPriority w:val="0"/>
    <w:pPr>
      <w:keepNext/>
      <w:keepLines/>
      <w:spacing w:before="260" w:after="260" w:line="416" w:lineRule="auto"/>
      <w:outlineLvl w:val="2"/>
    </w:pPr>
    <w:rPr>
      <w:b/>
      <w:bCs/>
      <w:sz w:val="32"/>
      <w:szCs w:val="32"/>
    </w:rPr>
  </w:style>
  <w:style w:type="paragraph" w:styleId="5">
    <w:name w:val="heading 4"/>
    <w:basedOn w:val="1"/>
    <w:next w:val="1"/>
    <w:link w:val="64"/>
    <w:qFormat/>
    <w:uiPriority w:val="0"/>
    <w:pPr>
      <w:keepNext/>
      <w:keepLines/>
      <w:widowControl/>
      <w:spacing w:line="360" w:lineRule="auto"/>
      <w:ind w:left="-180"/>
      <w:jc w:val="left"/>
      <w:outlineLvl w:val="3"/>
    </w:pPr>
    <w:rPr>
      <w:rFonts w:eastAsia="黑体"/>
      <w:spacing w:val="-2"/>
      <w:kern w:val="28"/>
      <w:sz w:val="24"/>
      <w:szCs w:val="20"/>
    </w:rPr>
  </w:style>
  <w:style w:type="paragraph" w:styleId="6">
    <w:name w:val="heading 5"/>
    <w:basedOn w:val="1"/>
    <w:next w:val="1"/>
    <w:link w:val="65"/>
    <w:qFormat/>
    <w:uiPriority w:val="0"/>
    <w:pPr>
      <w:keepNext/>
      <w:keepLines/>
      <w:widowControl/>
      <w:spacing w:line="360" w:lineRule="auto"/>
      <w:ind w:left="-180"/>
      <w:jc w:val="left"/>
      <w:outlineLvl w:val="4"/>
    </w:pPr>
    <w:rPr>
      <w:rFonts w:eastAsia="黑体"/>
      <w:spacing w:val="-2"/>
      <w:kern w:val="28"/>
      <w:sz w:val="24"/>
      <w:szCs w:val="20"/>
    </w:rPr>
  </w:style>
  <w:style w:type="paragraph" w:styleId="7">
    <w:name w:val="heading 6"/>
    <w:basedOn w:val="1"/>
    <w:next w:val="1"/>
    <w:link w:val="66"/>
    <w:qFormat/>
    <w:uiPriority w:val="0"/>
    <w:pPr>
      <w:keepNext/>
      <w:keepLines/>
      <w:widowControl/>
      <w:spacing w:line="360" w:lineRule="auto"/>
      <w:ind w:left="-180"/>
      <w:jc w:val="left"/>
      <w:outlineLvl w:val="5"/>
    </w:pPr>
    <w:rPr>
      <w:rFonts w:eastAsia="黑体"/>
      <w:spacing w:val="-4"/>
      <w:kern w:val="28"/>
      <w:sz w:val="24"/>
      <w:szCs w:val="20"/>
    </w:rPr>
  </w:style>
  <w:style w:type="paragraph" w:styleId="8">
    <w:name w:val="heading 7"/>
    <w:basedOn w:val="1"/>
    <w:next w:val="1"/>
    <w:link w:val="67"/>
    <w:qFormat/>
    <w:uiPriority w:val="0"/>
    <w:pPr>
      <w:keepNext/>
      <w:keepLines/>
      <w:widowControl/>
      <w:spacing w:line="360" w:lineRule="auto"/>
      <w:ind w:left="-180"/>
      <w:jc w:val="left"/>
      <w:outlineLvl w:val="6"/>
    </w:pPr>
    <w:rPr>
      <w:rFonts w:eastAsia="黑体"/>
      <w:spacing w:val="-4"/>
      <w:kern w:val="28"/>
      <w:sz w:val="24"/>
      <w:szCs w:val="20"/>
    </w:rPr>
  </w:style>
  <w:style w:type="paragraph" w:styleId="9">
    <w:name w:val="heading 8"/>
    <w:basedOn w:val="1"/>
    <w:next w:val="1"/>
    <w:link w:val="68"/>
    <w:qFormat/>
    <w:uiPriority w:val="0"/>
    <w:pPr>
      <w:keepNext/>
      <w:keepLines/>
      <w:widowControl/>
      <w:spacing w:line="360" w:lineRule="auto"/>
      <w:ind w:left="-180"/>
      <w:jc w:val="left"/>
      <w:outlineLvl w:val="7"/>
    </w:pPr>
    <w:rPr>
      <w:rFonts w:eastAsia="黑体"/>
      <w:spacing w:val="-4"/>
      <w:kern w:val="28"/>
      <w:sz w:val="24"/>
      <w:szCs w:val="20"/>
    </w:rPr>
  </w:style>
  <w:style w:type="paragraph" w:styleId="10">
    <w:name w:val="heading 9"/>
    <w:basedOn w:val="1"/>
    <w:next w:val="1"/>
    <w:link w:val="69"/>
    <w:qFormat/>
    <w:uiPriority w:val="0"/>
    <w:pPr>
      <w:keepNext/>
      <w:keepLines/>
      <w:spacing w:before="240" w:after="64" w:line="320" w:lineRule="auto"/>
      <w:outlineLvl w:val="8"/>
    </w:pPr>
    <w:rPr>
      <w:rFonts w:ascii="Arial" w:hAnsi="Arial" w:eastAsia="黑体"/>
      <w:szCs w:val="21"/>
    </w:rPr>
  </w:style>
  <w:style w:type="character" w:default="1" w:styleId="51">
    <w:name w:val="Default Paragraph Font"/>
    <w:semiHidden/>
    <w:qFormat/>
    <w:uiPriority w:val="0"/>
  </w:style>
  <w:style w:type="table" w:default="1" w:styleId="47">
    <w:name w:val="Normal Table"/>
    <w:semiHidden/>
    <w:qFormat/>
    <w:uiPriority w:val="0"/>
    <w:tblPr>
      <w:tblCellMar>
        <w:top w:w="0" w:type="dxa"/>
        <w:left w:w="108" w:type="dxa"/>
        <w:bottom w:w="0" w:type="dxa"/>
        <w:right w:w="108" w:type="dxa"/>
      </w:tblCellMar>
    </w:tblPr>
  </w:style>
  <w:style w:type="paragraph" w:styleId="11">
    <w:name w:val="toc 7"/>
    <w:basedOn w:val="1"/>
    <w:next w:val="1"/>
    <w:semiHidden/>
    <w:qFormat/>
    <w:uiPriority w:val="0"/>
    <w:pPr>
      <w:tabs>
        <w:tab w:val="right" w:leader="dot" w:pos="9241"/>
      </w:tabs>
      <w:ind w:firstLine="505" w:firstLineChars="500"/>
      <w:jc w:val="left"/>
    </w:pPr>
    <w:rPr>
      <w:rFonts w:ascii="宋体"/>
      <w:szCs w:val="21"/>
    </w:rPr>
  </w:style>
  <w:style w:type="paragraph" w:styleId="12">
    <w:name w:val="index 8"/>
    <w:basedOn w:val="1"/>
    <w:next w:val="1"/>
    <w:qFormat/>
    <w:uiPriority w:val="0"/>
    <w:pPr>
      <w:ind w:left="1680" w:hanging="210"/>
      <w:jc w:val="left"/>
    </w:pPr>
    <w:rPr>
      <w:rFonts w:ascii="Calibri" w:hAnsi="Calibri"/>
      <w:sz w:val="20"/>
      <w:szCs w:val="20"/>
    </w:rPr>
  </w:style>
  <w:style w:type="paragraph" w:styleId="13">
    <w:name w:val="caption"/>
    <w:basedOn w:val="1"/>
    <w:next w:val="1"/>
    <w:qFormat/>
    <w:uiPriority w:val="0"/>
    <w:pPr>
      <w:spacing w:before="152" w:after="160"/>
    </w:pPr>
    <w:rPr>
      <w:rFonts w:ascii="Arial" w:hAnsi="Arial" w:eastAsia="黑体" w:cs="Arial"/>
      <w:sz w:val="20"/>
      <w:szCs w:val="20"/>
    </w:rPr>
  </w:style>
  <w:style w:type="paragraph" w:styleId="14">
    <w:name w:val="index 5"/>
    <w:basedOn w:val="1"/>
    <w:next w:val="1"/>
    <w:qFormat/>
    <w:uiPriority w:val="0"/>
    <w:pPr>
      <w:ind w:left="1050" w:hanging="210"/>
      <w:jc w:val="left"/>
    </w:pPr>
    <w:rPr>
      <w:rFonts w:ascii="Calibri" w:hAnsi="Calibri"/>
      <w:sz w:val="20"/>
      <w:szCs w:val="20"/>
    </w:rPr>
  </w:style>
  <w:style w:type="paragraph" w:styleId="15">
    <w:name w:val="Document Map"/>
    <w:basedOn w:val="1"/>
    <w:link w:val="70"/>
    <w:semiHidden/>
    <w:qFormat/>
    <w:uiPriority w:val="0"/>
    <w:pPr>
      <w:shd w:val="clear" w:color="auto" w:fill="000080"/>
    </w:pPr>
  </w:style>
  <w:style w:type="paragraph" w:styleId="16">
    <w:name w:val="annotation text"/>
    <w:basedOn w:val="1"/>
    <w:link w:val="71"/>
    <w:qFormat/>
    <w:uiPriority w:val="0"/>
    <w:pPr>
      <w:jc w:val="left"/>
    </w:pPr>
  </w:style>
  <w:style w:type="paragraph" w:styleId="17">
    <w:name w:val="index 6"/>
    <w:basedOn w:val="1"/>
    <w:next w:val="1"/>
    <w:qFormat/>
    <w:uiPriority w:val="0"/>
    <w:pPr>
      <w:ind w:left="1260" w:hanging="210"/>
      <w:jc w:val="left"/>
    </w:pPr>
    <w:rPr>
      <w:rFonts w:ascii="Calibri" w:hAnsi="Calibri"/>
      <w:sz w:val="20"/>
      <w:szCs w:val="20"/>
    </w:rPr>
  </w:style>
  <w:style w:type="paragraph" w:styleId="18">
    <w:name w:val="Closing"/>
    <w:basedOn w:val="1"/>
    <w:link w:val="72"/>
    <w:unhideWhenUsed/>
    <w:qFormat/>
    <w:uiPriority w:val="0"/>
    <w:pPr>
      <w:ind w:left="100"/>
    </w:pPr>
    <w:rPr>
      <w:szCs w:val="20"/>
    </w:rPr>
  </w:style>
  <w:style w:type="paragraph" w:styleId="19">
    <w:name w:val="Body Text"/>
    <w:basedOn w:val="1"/>
    <w:link w:val="73"/>
    <w:qFormat/>
    <w:uiPriority w:val="0"/>
    <w:rPr>
      <w:sz w:val="28"/>
    </w:rPr>
  </w:style>
  <w:style w:type="paragraph" w:styleId="20">
    <w:name w:val="Body Text Indent"/>
    <w:basedOn w:val="1"/>
    <w:link w:val="74"/>
    <w:qFormat/>
    <w:uiPriority w:val="0"/>
    <w:pPr>
      <w:spacing w:after="120"/>
      <w:ind w:left="420" w:leftChars="200"/>
    </w:pPr>
  </w:style>
  <w:style w:type="paragraph" w:styleId="21">
    <w:name w:val="Block Text"/>
    <w:basedOn w:val="1"/>
    <w:qFormat/>
    <w:uiPriority w:val="0"/>
    <w:pPr>
      <w:spacing w:line="360" w:lineRule="auto"/>
      <w:ind w:left="1259" w:leftChars="49" w:right="533" w:rightChars="254" w:hanging="1156" w:hangingChars="481"/>
    </w:pPr>
    <w:rPr>
      <w:rFonts w:ascii="宋体" w:hAnsi="Plotter"/>
      <w:b/>
      <w:sz w:val="24"/>
      <w:szCs w:val="20"/>
    </w:rPr>
  </w:style>
  <w:style w:type="paragraph" w:styleId="22">
    <w:name w:val="index 4"/>
    <w:basedOn w:val="1"/>
    <w:next w:val="1"/>
    <w:qFormat/>
    <w:uiPriority w:val="0"/>
    <w:pPr>
      <w:ind w:left="840" w:hanging="210"/>
      <w:jc w:val="left"/>
    </w:pPr>
    <w:rPr>
      <w:rFonts w:ascii="Calibri" w:hAnsi="Calibri"/>
      <w:sz w:val="20"/>
      <w:szCs w:val="20"/>
    </w:rPr>
  </w:style>
  <w:style w:type="paragraph" w:styleId="23">
    <w:name w:val="toc 5"/>
    <w:basedOn w:val="1"/>
    <w:next w:val="1"/>
    <w:semiHidden/>
    <w:qFormat/>
    <w:uiPriority w:val="0"/>
    <w:pPr>
      <w:tabs>
        <w:tab w:val="right" w:leader="dot" w:pos="9241"/>
      </w:tabs>
      <w:ind w:firstLine="300" w:firstLineChars="300"/>
      <w:jc w:val="left"/>
    </w:pPr>
    <w:rPr>
      <w:rFonts w:ascii="宋体"/>
      <w:szCs w:val="21"/>
    </w:rPr>
  </w:style>
  <w:style w:type="paragraph" w:styleId="24">
    <w:name w:val="toc 3"/>
    <w:basedOn w:val="1"/>
    <w:next w:val="1"/>
    <w:semiHidden/>
    <w:qFormat/>
    <w:uiPriority w:val="0"/>
    <w:pPr>
      <w:tabs>
        <w:tab w:val="right" w:leader="dot" w:pos="9241"/>
      </w:tabs>
      <w:ind w:firstLine="102" w:firstLineChars="100"/>
      <w:jc w:val="left"/>
    </w:pPr>
    <w:rPr>
      <w:rFonts w:ascii="宋体"/>
      <w:szCs w:val="21"/>
    </w:rPr>
  </w:style>
  <w:style w:type="paragraph" w:styleId="25">
    <w:name w:val="toc 8"/>
    <w:basedOn w:val="1"/>
    <w:next w:val="1"/>
    <w:semiHidden/>
    <w:qFormat/>
    <w:uiPriority w:val="0"/>
    <w:pPr>
      <w:tabs>
        <w:tab w:val="right" w:leader="dot" w:pos="9241"/>
      </w:tabs>
      <w:ind w:firstLine="607" w:firstLineChars="600"/>
      <w:jc w:val="left"/>
    </w:pPr>
    <w:rPr>
      <w:rFonts w:ascii="宋体"/>
      <w:szCs w:val="21"/>
    </w:rPr>
  </w:style>
  <w:style w:type="paragraph" w:styleId="26">
    <w:name w:val="index 3"/>
    <w:basedOn w:val="1"/>
    <w:next w:val="1"/>
    <w:qFormat/>
    <w:uiPriority w:val="0"/>
    <w:pPr>
      <w:ind w:left="630" w:hanging="210"/>
      <w:jc w:val="left"/>
    </w:pPr>
    <w:rPr>
      <w:rFonts w:ascii="Calibri" w:hAnsi="Calibri"/>
      <w:sz w:val="20"/>
      <w:szCs w:val="20"/>
    </w:rPr>
  </w:style>
  <w:style w:type="paragraph" w:styleId="27">
    <w:name w:val="Date"/>
    <w:basedOn w:val="1"/>
    <w:next w:val="1"/>
    <w:link w:val="75"/>
    <w:qFormat/>
    <w:uiPriority w:val="0"/>
    <w:pPr>
      <w:ind w:left="100" w:leftChars="2500"/>
    </w:pPr>
  </w:style>
  <w:style w:type="paragraph" w:styleId="28">
    <w:name w:val="endnote text"/>
    <w:basedOn w:val="1"/>
    <w:link w:val="76"/>
    <w:semiHidden/>
    <w:qFormat/>
    <w:uiPriority w:val="0"/>
    <w:pPr>
      <w:snapToGrid w:val="0"/>
      <w:jc w:val="left"/>
    </w:pPr>
  </w:style>
  <w:style w:type="paragraph" w:styleId="29">
    <w:name w:val="Balloon Text"/>
    <w:basedOn w:val="1"/>
    <w:link w:val="77"/>
    <w:qFormat/>
    <w:uiPriority w:val="0"/>
    <w:rPr>
      <w:rFonts w:ascii="Calibri" w:hAnsi="Calibri"/>
      <w:sz w:val="18"/>
      <w:szCs w:val="18"/>
    </w:rPr>
  </w:style>
  <w:style w:type="paragraph" w:styleId="30">
    <w:name w:val="footer"/>
    <w:basedOn w:val="1"/>
    <w:link w:val="78"/>
    <w:qFormat/>
    <w:uiPriority w:val="0"/>
    <w:pPr>
      <w:snapToGrid w:val="0"/>
      <w:ind w:right="210" w:rightChars="100"/>
      <w:jc w:val="right"/>
    </w:pPr>
    <w:rPr>
      <w:sz w:val="18"/>
      <w:szCs w:val="18"/>
    </w:rPr>
  </w:style>
  <w:style w:type="paragraph" w:styleId="31">
    <w:name w:val="header"/>
    <w:basedOn w:val="1"/>
    <w:link w:val="79"/>
    <w:qFormat/>
    <w:uiPriority w:val="0"/>
    <w:pPr>
      <w:snapToGrid w:val="0"/>
      <w:jc w:val="left"/>
    </w:pPr>
    <w:rPr>
      <w:sz w:val="18"/>
      <w:szCs w:val="18"/>
    </w:rPr>
  </w:style>
  <w:style w:type="paragraph" w:styleId="32">
    <w:name w:val="toc 1"/>
    <w:basedOn w:val="1"/>
    <w:next w:val="1"/>
    <w:semiHidden/>
    <w:qFormat/>
    <w:uiPriority w:val="0"/>
    <w:pPr>
      <w:tabs>
        <w:tab w:val="right" w:leader="dot" w:pos="9241"/>
      </w:tabs>
      <w:spacing w:before="25" w:beforeLines="25" w:after="25" w:afterLines="25"/>
      <w:jc w:val="left"/>
    </w:pPr>
    <w:rPr>
      <w:rFonts w:ascii="宋体"/>
      <w:szCs w:val="21"/>
    </w:rPr>
  </w:style>
  <w:style w:type="paragraph" w:styleId="33">
    <w:name w:val="toc 4"/>
    <w:basedOn w:val="1"/>
    <w:next w:val="1"/>
    <w:semiHidden/>
    <w:qFormat/>
    <w:uiPriority w:val="0"/>
    <w:pPr>
      <w:tabs>
        <w:tab w:val="right" w:leader="dot" w:pos="9241"/>
      </w:tabs>
      <w:ind w:firstLine="198" w:firstLineChars="200"/>
      <w:jc w:val="left"/>
    </w:pPr>
    <w:rPr>
      <w:rFonts w:ascii="宋体"/>
      <w:szCs w:val="21"/>
    </w:rPr>
  </w:style>
  <w:style w:type="paragraph" w:styleId="34">
    <w:name w:val="index heading"/>
    <w:basedOn w:val="1"/>
    <w:next w:val="35"/>
    <w:qFormat/>
    <w:uiPriority w:val="0"/>
    <w:pPr>
      <w:spacing w:before="120" w:after="120"/>
      <w:jc w:val="center"/>
    </w:pPr>
    <w:rPr>
      <w:rFonts w:ascii="Calibri" w:hAnsi="Calibri"/>
      <w:b/>
      <w:bCs/>
      <w:iCs/>
      <w:szCs w:val="20"/>
    </w:rPr>
  </w:style>
  <w:style w:type="paragraph" w:styleId="35">
    <w:name w:val="index 1"/>
    <w:basedOn w:val="1"/>
    <w:next w:val="36"/>
    <w:qFormat/>
    <w:uiPriority w:val="0"/>
    <w:pPr>
      <w:tabs>
        <w:tab w:val="right" w:leader="dot" w:pos="9299"/>
      </w:tabs>
      <w:jc w:val="left"/>
    </w:pPr>
    <w:rPr>
      <w:rFonts w:ascii="宋体"/>
      <w:szCs w:val="21"/>
    </w:rPr>
  </w:style>
  <w:style w:type="paragraph" w:customStyle="1" w:styleId="36">
    <w:name w:val="段"/>
    <w:link w:val="8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7">
    <w:name w:val="Subtitle"/>
    <w:basedOn w:val="1"/>
    <w:next w:val="1"/>
    <w:link w:val="81"/>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82"/>
    <w:qFormat/>
    <w:uiPriority w:val="0"/>
    <w:pPr>
      <w:numPr>
        <w:ilvl w:val="0"/>
        <w:numId w:val="1"/>
      </w:numPr>
      <w:snapToGrid w:val="0"/>
      <w:jc w:val="left"/>
    </w:pPr>
    <w:rPr>
      <w:rFonts w:ascii="宋体"/>
      <w:sz w:val="18"/>
      <w:szCs w:val="18"/>
    </w:rPr>
  </w:style>
  <w:style w:type="paragraph" w:styleId="39">
    <w:name w:val="toc 6"/>
    <w:basedOn w:val="1"/>
    <w:next w:val="1"/>
    <w:semiHidden/>
    <w:qFormat/>
    <w:uiPriority w:val="0"/>
    <w:pPr>
      <w:tabs>
        <w:tab w:val="right" w:leader="dot" w:pos="9241"/>
      </w:tabs>
      <w:ind w:firstLine="403" w:firstLineChars="400"/>
      <w:jc w:val="left"/>
    </w:pPr>
    <w:rPr>
      <w:rFonts w:ascii="宋体"/>
      <w:szCs w:val="21"/>
    </w:rPr>
  </w:style>
  <w:style w:type="paragraph" w:styleId="40">
    <w:name w:val="index 7"/>
    <w:basedOn w:val="1"/>
    <w:next w:val="1"/>
    <w:qFormat/>
    <w:uiPriority w:val="0"/>
    <w:pPr>
      <w:ind w:left="1470" w:hanging="210"/>
      <w:jc w:val="left"/>
    </w:pPr>
    <w:rPr>
      <w:rFonts w:ascii="Calibri" w:hAnsi="Calibri"/>
      <w:sz w:val="20"/>
      <w:szCs w:val="20"/>
    </w:rPr>
  </w:style>
  <w:style w:type="paragraph" w:styleId="41">
    <w:name w:val="index 9"/>
    <w:basedOn w:val="1"/>
    <w:next w:val="1"/>
    <w:qFormat/>
    <w:uiPriority w:val="0"/>
    <w:pPr>
      <w:ind w:left="1890" w:hanging="210"/>
      <w:jc w:val="left"/>
    </w:pPr>
    <w:rPr>
      <w:rFonts w:ascii="Calibri" w:hAnsi="Calibri"/>
      <w:sz w:val="20"/>
      <w:szCs w:val="20"/>
    </w:rPr>
  </w:style>
  <w:style w:type="paragraph" w:styleId="42">
    <w:name w:val="toc 2"/>
    <w:basedOn w:val="1"/>
    <w:next w:val="1"/>
    <w:semiHidden/>
    <w:qFormat/>
    <w:uiPriority w:val="0"/>
    <w:pPr>
      <w:tabs>
        <w:tab w:val="right" w:leader="dot" w:pos="9241"/>
      </w:tabs>
    </w:pPr>
    <w:rPr>
      <w:rFonts w:ascii="宋体"/>
      <w:szCs w:val="21"/>
    </w:rPr>
  </w:style>
  <w:style w:type="paragraph" w:styleId="43">
    <w:name w:val="toc 9"/>
    <w:basedOn w:val="1"/>
    <w:next w:val="1"/>
    <w:semiHidden/>
    <w:qFormat/>
    <w:uiPriority w:val="0"/>
    <w:pPr>
      <w:ind w:left="1470"/>
      <w:jc w:val="left"/>
    </w:pPr>
    <w:rPr>
      <w:sz w:val="20"/>
      <w:szCs w:val="20"/>
    </w:rPr>
  </w:style>
  <w:style w:type="paragraph" w:styleId="44">
    <w:name w:val="Normal (Web)"/>
    <w:basedOn w:val="1"/>
    <w:qFormat/>
    <w:uiPriority w:val="0"/>
    <w:pPr>
      <w:widowControl/>
      <w:spacing w:before="100" w:beforeAutospacing="1" w:after="100" w:afterAutospacing="1"/>
      <w:jc w:val="left"/>
    </w:pPr>
    <w:rPr>
      <w:rFonts w:ascii="宋体" w:hAnsi="宋体"/>
      <w:kern w:val="0"/>
      <w:sz w:val="24"/>
    </w:rPr>
  </w:style>
  <w:style w:type="paragraph" w:styleId="45">
    <w:name w:val="index 2"/>
    <w:basedOn w:val="1"/>
    <w:next w:val="1"/>
    <w:qFormat/>
    <w:uiPriority w:val="0"/>
    <w:pPr>
      <w:ind w:left="420" w:hanging="210"/>
      <w:jc w:val="left"/>
    </w:pPr>
    <w:rPr>
      <w:rFonts w:ascii="Calibri" w:hAnsi="Calibri"/>
      <w:sz w:val="20"/>
      <w:szCs w:val="20"/>
    </w:rPr>
  </w:style>
  <w:style w:type="paragraph" w:styleId="46">
    <w:name w:val="annotation subject"/>
    <w:basedOn w:val="16"/>
    <w:next w:val="16"/>
    <w:link w:val="83"/>
    <w:qFormat/>
    <w:uiPriority w:val="0"/>
    <w:rPr>
      <w:b/>
      <w:bCs/>
    </w:rPr>
  </w:style>
  <w:style w:type="table" w:styleId="48">
    <w:name w:val="Table Grid"/>
    <w:basedOn w:val="4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9">
    <w:name w:val="Table Theme"/>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0">
    <w:name w:val="Table Classic 2"/>
    <w:basedOn w:val="47"/>
    <w:unhideWhenUsed/>
    <w:qFormat/>
    <w:uiPriority w:val="0"/>
    <w:pPr>
      <w:widowControl w:val="0"/>
      <w:jc w:val="both"/>
    </w:pPr>
    <w:tblPr>
      <w:tblBorders>
        <w:top w:val="single" w:color="000000" w:sz="12" w:space="0"/>
        <w:bottom w:val="single" w:color="000000" w:sz="12" w:space="0"/>
      </w:tblBorders>
    </w:tbl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character" w:styleId="52">
    <w:name w:val="Strong"/>
    <w:qFormat/>
    <w:uiPriority w:val="0"/>
    <w:rPr>
      <w:b/>
      <w:bCs/>
    </w:rPr>
  </w:style>
  <w:style w:type="character" w:styleId="53">
    <w:name w:val="endnote reference"/>
    <w:semiHidden/>
    <w:qFormat/>
    <w:uiPriority w:val="0"/>
    <w:rPr>
      <w:vertAlign w:val="superscript"/>
    </w:rPr>
  </w:style>
  <w:style w:type="character" w:styleId="54">
    <w:name w:val="page number"/>
    <w:qFormat/>
    <w:uiPriority w:val="0"/>
    <w:rPr>
      <w:rFonts w:ascii="Times New Roman" w:hAnsi="Times New Roman" w:eastAsia="宋体"/>
      <w:sz w:val="18"/>
    </w:rPr>
  </w:style>
  <w:style w:type="character" w:styleId="55">
    <w:name w:val="FollowedHyperlink"/>
    <w:qFormat/>
    <w:uiPriority w:val="0"/>
    <w:rPr>
      <w:color w:val="800080"/>
      <w:u w:val="single"/>
    </w:rPr>
  </w:style>
  <w:style w:type="character" w:styleId="56">
    <w:name w:val="Emphasis"/>
    <w:qFormat/>
    <w:uiPriority w:val="0"/>
    <w:rPr>
      <w:i/>
      <w:iCs/>
    </w:rPr>
  </w:style>
  <w:style w:type="character" w:styleId="57">
    <w:name w:val="Hyperlink"/>
    <w:qFormat/>
    <w:uiPriority w:val="0"/>
    <w:rPr>
      <w:color w:val="0000FF"/>
      <w:spacing w:val="0"/>
      <w:w w:val="100"/>
      <w:szCs w:val="21"/>
      <w:u w:val="single"/>
    </w:rPr>
  </w:style>
  <w:style w:type="character" w:styleId="58">
    <w:name w:val="HTML Code"/>
    <w:qFormat/>
    <w:uiPriority w:val="0"/>
    <w:rPr>
      <w:rFonts w:ascii="Courier New" w:hAnsi="Courier New"/>
      <w:sz w:val="20"/>
      <w:szCs w:val="20"/>
    </w:rPr>
  </w:style>
  <w:style w:type="character" w:styleId="59">
    <w:name w:val="annotation reference"/>
    <w:qFormat/>
    <w:uiPriority w:val="0"/>
    <w:rPr>
      <w:sz w:val="21"/>
      <w:szCs w:val="21"/>
    </w:rPr>
  </w:style>
  <w:style w:type="character" w:styleId="60">
    <w:name w:val="footnote reference"/>
    <w:semiHidden/>
    <w:qFormat/>
    <w:uiPriority w:val="0"/>
    <w:rPr>
      <w:vertAlign w:val="superscript"/>
    </w:rPr>
  </w:style>
  <w:style w:type="character" w:customStyle="1" w:styleId="61">
    <w:name w:val="标题 1 Char"/>
    <w:link w:val="2"/>
    <w:qFormat/>
    <w:uiPriority w:val="0"/>
    <w:rPr>
      <w:rFonts w:eastAsia="宋体"/>
      <w:b/>
      <w:bCs/>
      <w:kern w:val="44"/>
      <w:sz w:val="44"/>
      <w:szCs w:val="44"/>
      <w:lang w:val="en-US" w:eastAsia="zh-CN" w:bidi="ar-SA"/>
    </w:rPr>
  </w:style>
  <w:style w:type="character" w:customStyle="1" w:styleId="62">
    <w:name w:val="标题 2 Char"/>
    <w:link w:val="3"/>
    <w:qFormat/>
    <w:uiPriority w:val="0"/>
    <w:rPr>
      <w:rFonts w:eastAsia="宋体"/>
      <w:b/>
      <w:bCs/>
      <w:kern w:val="2"/>
      <w:sz w:val="24"/>
      <w:szCs w:val="24"/>
      <w:lang w:val="en-US" w:eastAsia="zh-CN" w:bidi="ar-SA"/>
    </w:rPr>
  </w:style>
  <w:style w:type="character" w:customStyle="1" w:styleId="63">
    <w:name w:val="标题 3 Char"/>
    <w:link w:val="4"/>
    <w:qFormat/>
    <w:uiPriority w:val="0"/>
    <w:rPr>
      <w:rFonts w:eastAsia="宋体"/>
      <w:b/>
      <w:bCs/>
      <w:kern w:val="2"/>
      <w:sz w:val="32"/>
      <w:szCs w:val="32"/>
      <w:lang w:val="en-US" w:eastAsia="zh-CN" w:bidi="ar-SA"/>
    </w:rPr>
  </w:style>
  <w:style w:type="character" w:customStyle="1" w:styleId="64">
    <w:name w:val="标题 4 Char"/>
    <w:link w:val="5"/>
    <w:qFormat/>
    <w:uiPriority w:val="0"/>
    <w:rPr>
      <w:rFonts w:eastAsia="黑体"/>
      <w:spacing w:val="-2"/>
      <w:kern w:val="28"/>
      <w:sz w:val="24"/>
      <w:lang w:val="en-US" w:eastAsia="zh-CN" w:bidi="ar-SA"/>
    </w:rPr>
  </w:style>
  <w:style w:type="character" w:customStyle="1" w:styleId="65">
    <w:name w:val="标题 5 Char"/>
    <w:link w:val="6"/>
    <w:qFormat/>
    <w:uiPriority w:val="0"/>
    <w:rPr>
      <w:rFonts w:eastAsia="黑体"/>
      <w:spacing w:val="-2"/>
      <w:kern w:val="28"/>
      <w:sz w:val="24"/>
      <w:lang w:val="en-US" w:eastAsia="zh-CN" w:bidi="ar-SA"/>
    </w:rPr>
  </w:style>
  <w:style w:type="character" w:customStyle="1" w:styleId="66">
    <w:name w:val="标题 6 Char"/>
    <w:link w:val="7"/>
    <w:qFormat/>
    <w:uiPriority w:val="0"/>
    <w:rPr>
      <w:rFonts w:eastAsia="黑体"/>
      <w:spacing w:val="-4"/>
      <w:kern w:val="28"/>
      <w:sz w:val="24"/>
      <w:lang w:val="en-US" w:eastAsia="zh-CN" w:bidi="ar-SA"/>
    </w:rPr>
  </w:style>
  <w:style w:type="character" w:customStyle="1" w:styleId="67">
    <w:name w:val="标题 7 Char"/>
    <w:link w:val="8"/>
    <w:qFormat/>
    <w:uiPriority w:val="0"/>
    <w:rPr>
      <w:rFonts w:eastAsia="黑体"/>
      <w:spacing w:val="-4"/>
      <w:kern w:val="28"/>
      <w:sz w:val="24"/>
      <w:lang w:val="en-US" w:eastAsia="zh-CN" w:bidi="ar-SA"/>
    </w:rPr>
  </w:style>
  <w:style w:type="character" w:customStyle="1" w:styleId="68">
    <w:name w:val="标题 8 Char"/>
    <w:link w:val="9"/>
    <w:qFormat/>
    <w:uiPriority w:val="0"/>
    <w:rPr>
      <w:rFonts w:eastAsia="黑体"/>
      <w:spacing w:val="-4"/>
      <w:kern w:val="28"/>
      <w:sz w:val="24"/>
      <w:lang w:val="en-US" w:eastAsia="zh-CN" w:bidi="ar-SA"/>
    </w:rPr>
  </w:style>
  <w:style w:type="character" w:customStyle="1" w:styleId="69">
    <w:name w:val="标题 9 Char"/>
    <w:link w:val="10"/>
    <w:qFormat/>
    <w:uiPriority w:val="0"/>
    <w:rPr>
      <w:rFonts w:ascii="Arial" w:hAnsi="Arial" w:eastAsia="黑体"/>
      <w:kern w:val="2"/>
      <w:sz w:val="21"/>
      <w:szCs w:val="21"/>
      <w:lang w:val="en-US" w:eastAsia="zh-CN" w:bidi="ar-SA"/>
    </w:rPr>
  </w:style>
  <w:style w:type="character" w:customStyle="1" w:styleId="70">
    <w:name w:val="文档结构图 Char"/>
    <w:link w:val="15"/>
    <w:semiHidden/>
    <w:qFormat/>
    <w:uiPriority w:val="0"/>
    <w:rPr>
      <w:rFonts w:eastAsia="宋体"/>
      <w:kern w:val="2"/>
      <w:sz w:val="21"/>
      <w:szCs w:val="24"/>
      <w:lang w:val="en-US" w:eastAsia="zh-CN" w:bidi="ar-SA"/>
    </w:rPr>
  </w:style>
  <w:style w:type="character" w:customStyle="1" w:styleId="71">
    <w:name w:val="批注文字 Char"/>
    <w:link w:val="16"/>
    <w:qFormat/>
    <w:uiPriority w:val="0"/>
    <w:rPr>
      <w:kern w:val="2"/>
      <w:sz w:val="21"/>
      <w:szCs w:val="24"/>
      <w:lang w:bidi="ar-SA"/>
    </w:rPr>
  </w:style>
  <w:style w:type="character" w:customStyle="1" w:styleId="72">
    <w:name w:val="结束语 Char"/>
    <w:link w:val="18"/>
    <w:qFormat/>
    <w:uiPriority w:val="0"/>
    <w:rPr>
      <w:kern w:val="2"/>
      <w:sz w:val="21"/>
      <w:lang w:bidi="ar-SA"/>
    </w:rPr>
  </w:style>
  <w:style w:type="character" w:customStyle="1" w:styleId="73">
    <w:name w:val="正文文本 Char"/>
    <w:link w:val="19"/>
    <w:qFormat/>
    <w:uiPriority w:val="0"/>
    <w:rPr>
      <w:kern w:val="2"/>
      <w:sz w:val="28"/>
      <w:szCs w:val="24"/>
      <w:lang w:bidi="ar-SA"/>
    </w:rPr>
  </w:style>
  <w:style w:type="character" w:customStyle="1" w:styleId="74">
    <w:name w:val="正文文本缩进 Char"/>
    <w:link w:val="20"/>
    <w:qFormat/>
    <w:uiPriority w:val="0"/>
    <w:rPr>
      <w:kern w:val="2"/>
      <w:sz w:val="21"/>
      <w:szCs w:val="24"/>
      <w:lang w:bidi="ar-SA"/>
    </w:rPr>
  </w:style>
  <w:style w:type="character" w:customStyle="1" w:styleId="75">
    <w:name w:val="日期 Char"/>
    <w:link w:val="27"/>
    <w:qFormat/>
    <w:uiPriority w:val="0"/>
    <w:rPr>
      <w:kern w:val="2"/>
      <w:sz w:val="21"/>
      <w:szCs w:val="24"/>
      <w:lang w:bidi="ar-SA"/>
    </w:rPr>
  </w:style>
  <w:style w:type="character" w:customStyle="1" w:styleId="76">
    <w:name w:val="尾注文本 Char"/>
    <w:link w:val="28"/>
    <w:semiHidden/>
    <w:qFormat/>
    <w:uiPriority w:val="0"/>
    <w:rPr>
      <w:rFonts w:eastAsia="宋体"/>
      <w:kern w:val="2"/>
      <w:sz w:val="21"/>
      <w:szCs w:val="24"/>
      <w:lang w:val="en-US" w:eastAsia="zh-CN" w:bidi="ar-SA"/>
    </w:rPr>
  </w:style>
  <w:style w:type="character" w:customStyle="1" w:styleId="77">
    <w:name w:val="批注框文本 Char"/>
    <w:link w:val="29"/>
    <w:qFormat/>
    <w:uiPriority w:val="0"/>
    <w:rPr>
      <w:rFonts w:ascii="Calibri" w:hAnsi="Calibri"/>
      <w:kern w:val="2"/>
      <w:sz w:val="18"/>
      <w:szCs w:val="18"/>
      <w:lang w:bidi="ar-SA"/>
    </w:rPr>
  </w:style>
  <w:style w:type="character" w:customStyle="1" w:styleId="78">
    <w:name w:val="页脚 Char"/>
    <w:link w:val="30"/>
    <w:qFormat/>
    <w:uiPriority w:val="0"/>
    <w:rPr>
      <w:rFonts w:eastAsia="宋体"/>
      <w:kern w:val="2"/>
      <w:sz w:val="18"/>
      <w:szCs w:val="18"/>
      <w:lang w:val="en-US" w:eastAsia="zh-CN" w:bidi="ar-SA"/>
    </w:rPr>
  </w:style>
  <w:style w:type="character" w:customStyle="1" w:styleId="79">
    <w:name w:val="页眉 Char1"/>
    <w:link w:val="31"/>
    <w:qFormat/>
    <w:uiPriority w:val="0"/>
    <w:rPr>
      <w:rFonts w:eastAsia="宋体"/>
      <w:kern w:val="2"/>
      <w:sz w:val="18"/>
      <w:szCs w:val="18"/>
      <w:lang w:val="en-US" w:eastAsia="zh-CN" w:bidi="ar-SA"/>
    </w:rPr>
  </w:style>
  <w:style w:type="character" w:customStyle="1" w:styleId="80">
    <w:name w:val="段 Char"/>
    <w:link w:val="36"/>
    <w:qFormat/>
    <w:uiPriority w:val="0"/>
    <w:rPr>
      <w:rFonts w:ascii="宋体"/>
      <w:sz w:val="21"/>
      <w:lang w:val="en-US" w:eastAsia="zh-CN" w:bidi="ar-SA"/>
    </w:rPr>
  </w:style>
  <w:style w:type="character" w:customStyle="1" w:styleId="81">
    <w:name w:val="副标题 Char"/>
    <w:link w:val="37"/>
    <w:qFormat/>
    <w:uiPriority w:val="0"/>
    <w:rPr>
      <w:rFonts w:ascii="Cambria" w:hAnsi="Cambria"/>
      <w:b/>
      <w:bCs/>
      <w:kern w:val="28"/>
      <w:sz w:val="32"/>
      <w:szCs w:val="32"/>
      <w:lang w:bidi="ar-SA"/>
    </w:rPr>
  </w:style>
  <w:style w:type="character" w:customStyle="1" w:styleId="82">
    <w:name w:val="脚注文本 Char"/>
    <w:link w:val="38"/>
    <w:qFormat/>
    <w:uiPriority w:val="0"/>
    <w:rPr>
      <w:rFonts w:ascii="宋体"/>
      <w:kern w:val="2"/>
      <w:sz w:val="18"/>
      <w:szCs w:val="18"/>
    </w:rPr>
  </w:style>
  <w:style w:type="character" w:customStyle="1" w:styleId="83">
    <w:name w:val="批注主题 Char"/>
    <w:link w:val="46"/>
    <w:qFormat/>
    <w:uiPriority w:val="0"/>
    <w:rPr>
      <w:b/>
      <w:bCs/>
      <w:kern w:val="2"/>
      <w:sz w:val="21"/>
      <w:szCs w:val="24"/>
      <w:lang w:bidi="ar-SA"/>
    </w:rPr>
  </w:style>
  <w:style w:type="character" w:customStyle="1" w:styleId="84">
    <w:name w:val="表格标题 + Century Schoolbook"/>
    <w:qFormat/>
    <w:uiPriority w:val="0"/>
    <w:rPr>
      <w:rFonts w:ascii="Century Schoolbook" w:hAnsi="Century Schoolbook" w:eastAsia="MingLiU" w:cs="Century Schoolbook"/>
      <w:spacing w:val="0"/>
      <w:sz w:val="16"/>
      <w:szCs w:val="16"/>
      <w:shd w:val="clear" w:color="auto" w:fill="FFFFFF"/>
      <w:lang w:val="en-US" w:eastAsia="en-US"/>
    </w:rPr>
  </w:style>
  <w:style w:type="character" w:customStyle="1" w:styleId="85">
    <w:name w:val="zhenwen141"/>
    <w:qFormat/>
    <w:uiPriority w:val="0"/>
    <w:rPr>
      <w:rFonts w:hint="default" w:ascii="ˎ̥" w:hAnsi="ˎ̥" w:eastAsia="宋体"/>
      <w:sz w:val="21"/>
      <w:szCs w:val="21"/>
    </w:rPr>
  </w:style>
  <w:style w:type="character" w:customStyle="1" w:styleId="86">
    <w:name w:val="首示例 Char Char"/>
    <w:qFormat/>
    <w:uiPriority w:val="0"/>
    <w:rPr>
      <w:rFonts w:ascii="宋体" w:hAnsi="宋体"/>
      <w:kern w:val="2"/>
      <w:sz w:val="18"/>
      <w:szCs w:val="18"/>
      <w:lang w:val="en-US" w:eastAsia="zh-CN" w:bidi="ar-SA"/>
    </w:rPr>
  </w:style>
  <w:style w:type="character" w:customStyle="1" w:styleId="87">
    <w:name w:val="页眉 Char"/>
    <w:qFormat/>
    <w:uiPriority w:val="0"/>
    <w:rPr>
      <w:kern w:val="2"/>
      <w:sz w:val="18"/>
      <w:szCs w:val="18"/>
    </w:rPr>
  </w:style>
  <w:style w:type="character" w:customStyle="1" w:styleId="88">
    <w:name w:val="表格标题_"/>
    <w:link w:val="89"/>
    <w:qFormat/>
    <w:uiPriority w:val="0"/>
    <w:rPr>
      <w:rFonts w:ascii="MingLiU" w:eastAsia="MingLiU"/>
      <w:spacing w:val="20"/>
      <w:sz w:val="16"/>
      <w:szCs w:val="16"/>
      <w:shd w:val="clear" w:color="auto" w:fill="FFFFFF"/>
      <w:lang w:bidi="ar-SA"/>
    </w:rPr>
  </w:style>
  <w:style w:type="paragraph" w:customStyle="1" w:styleId="89">
    <w:name w:val="表格标题"/>
    <w:basedOn w:val="1"/>
    <w:link w:val="88"/>
    <w:qFormat/>
    <w:uiPriority w:val="0"/>
    <w:pPr>
      <w:shd w:val="clear" w:color="auto" w:fill="FFFFFF"/>
      <w:spacing w:line="240" w:lineRule="atLeast"/>
      <w:jc w:val="left"/>
    </w:pPr>
    <w:rPr>
      <w:rFonts w:ascii="MingLiU" w:eastAsia="MingLiU"/>
      <w:spacing w:val="20"/>
      <w:kern w:val="0"/>
      <w:sz w:val="16"/>
      <w:szCs w:val="16"/>
      <w:shd w:val="clear" w:color="auto" w:fill="FFFFFF"/>
    </w:rPr>
  </w:style>
  <w:style w:type="character" w:customStyle="1" w:styleId="90">
    <w:name w:val="正文文本 (2) + 7 pt"/>
    <w:qFormat/>
    <w:uiPriority w:val="0"/>
    <w:rPr>
      <w:rFonts w:ascii="MingLiU" w:eastAsia="MingLiU" w:cs="MingLiU"/>
      <w:spacing w:val="10"/>
      <w:sz w:val="14"/>
      <w:szCs w:val="14"/>
      <w:shd w:val="clear" w:color="auto" w:fill="FFFFFF"/>
    </w:rPr>
  </w:style>
  <w:style w:type="character" w:customStyle="1" w:styleId="91">
    <w:name w:val="发布"/>
    <w:qFormat/>
    <w:uiPriority w:val="0"/>
    <w:rPr>
      <w:rFonts w:ascii="黑体" w:eastAsia="黑体"/>
      <w:spacing w:val="85"/>
      <w:w w:val="100"/>
      <w:position w:val="3"/>
      <w:sz w:val="28"/>
      <w:szCs w:val="28"/>
    </w:rPr>
  </w:style>
  <w:style w:type="character" w:customStyle="1" w:styleId="92">
    <w:name w:val="附录公式 Char"/>
    <w:basedOn w:val="80"/>
    <w:link w:val="93"/>
    <w:qFormat/>
    <w:uiPriority w:val="0"/>
  </w:style>
  <w:style w:type="paragraph" w:customStyle="1" w:styleId="93">
    <w:name w:val="附录公式"/>
    <w:basedOn w:val="36"/>
    <w:next w:val="36"/>
    <w:link w:val="92"/>
    <w:qFormat/>
    <w:uiPriority w:val="0"/>
  </w:style>
  <w:style w:type="character" w:customStyle="1" w:styleId="94">
    <w:name w:val="首示例 Char"/>
    <w:link w:val="95"/>
    <w:qFormat/>
    <w:uiPriority w:val="0"/>
    <w:rPr>
      <w:rFonts w:ascii="宋体" w:hAnsi="宋体"/>
      <w:kern w:val="2"/>
      <w:sz w:val="18"/>
      <w:szCs w:val="18"/>
      <w:lang w:val="en-US" w:eastAsia="zh-CN" w:bidi="ar-SA"/>
    </w:rPr>
  </w:style>
  <w:style w:type="paragraph" w:customStyle="1" w:styleId="95">
    <w:name w:val="首示例"/>
    <w:next w:val="36"/>
    <w:link w:val="94"/>
    <w:qFormat/>
    <w:uiPriority w:val="0"/>
    <w:pPr>
      <w:numPr>
        <w:ilvl w:val="0"/>
        <w:numId w:val="2"/>
      </w:numPr>
      <w:tabs>
        <w:tab w:val="left" w:pos="360"/>
      </w:tabs>
      <w:ind w:firstLine="0"/>
    </w:pPr>
    <w:rPr>
      <w:rFonts w:ascii="宋体" w:hAnsi="宋体" w:eastAsia="宋体" w:cs="Times New Roman"/>
      <w:kern w:val="2"/>
      <w:sz w:val="18"/>
      <w:szCs w:val="18"/>
      <w:lang w:val="en-US" w:eastAsia="zh-CN" w:bidi="ar-SA"/>
    </w:rPr>
  </w:style>
  <w:style w:type="character" w:customStyle="1" w:styleId="96">
    <w:name w:val="无间隔 Char"/>
    <w:link w:val="97"/>
    <w:qFormat/>
    <w:uiPriority w:val="0"/>
    <w:rPr>
      <w:rFonts w:ascii="Calibri" w:hAnsi="Calibri" w:eastAsia="Times New Roman"/>
      <w:sz w:val="22"/>
      <w:szCs w:val="22"/>
      <w:lang w:val="en-US" w:eastAsia="zh-CN" w:bidi="ar-SA"/>
    </w:rPr>
  </w:style>
  <w:style w:type="paragraph" w:styleId="97">
    <w:name w:val="No Spacing"/>
    <w:link w:val="96"/>
    <w:qFormat/>
    <w:uiPriority w:val="0"/>
    <w:rPr>
      <w:rFonts w:ascii="Calibri" w:hAnsi="Calibri" w:eastAsia="Times New Roman" w:cs="Times New Roman"/>
      <w:sz w:val="22"/>
      <w:szCs w:val="22"/>
      <w:lang w:val="en-US" w:eastAsia="zh-CN" w:bidi="ar-SA"/>
    </w:rPr>
  </w:style>
  <w:style w:type="character" w:customStyle="1" w:styleId="98">
    <w:name w:val="一级条标题 Char"/>
    <w:link w:val="99"/>
    <w:qFormat/>
    <w:uiPriority w:val="0"/>
    <w:rPr>
      <w:rFonts w:ascii="黑体" w:eastAsia="黑体"/>
      <w:sz w:val="21"/>
      <w:szCs w:val="21"/>
      <w:lang w:val="en-US" w:eastAsia="zh-CN" w:bidi="ar-SA"/>
    </w:rPr>
  </w:style>
  <w:style w:type="paragraph" w:customStyle="1" w:styleId="99">
    <w:name w:val="一级条标题"/>
    <w:next w:val="36"/>
    <w:link w:val="98"/>
    <w:qFormat/>
    <w:uiPriority w:val="0"/>
    <w:pPr>
      <w:numPr>
        <w:ilvl w:val="1"/>
        <w:numId w:val="3"/>
      </w:numPr>
      <w:spacing w:before="156" w:beforeLines="50" w:after="156" w:afterLines="50"/>
      <w:outlineLvl w:val="2"/>
    </w:pPr>
    <w:rPr>
      <w:rFonts w:ascii="黑体" w:hAnsi="Times New Roman" w:eastAsia="黑体" w:cs="Times New Roman"/>
      <w:sz w:val="21"/>
      <w:szCs w:val="21"/>
      <w:lang w:val="en-US" w:eastAsia="zh-CN" w:bidi="ar-SA"/>
    </w:rPr>
  </w:style>
  <w:style w:type="character" w:customStyle="1" w:styleId="100">
    <w:name w:val="apple-converted-space"/>
    <w:qFormat/>
    <w:uiPriority w:val="0"/>
  </w:style>
  <w:style w:type="character" w:customStyle="1" w:styleId="101">
    <w:name w:val="正文文本 (2) + Century Schoolbook12"/>
    <w:qFormat/>
    <w:uiPriority w:val="0"/>
    <w:rPr>
      <w:rFonts w:ascii="Century Schoolbook" w:hAnsi="Century Schoolbook" w:eastAsia="MingLiU" w:cs="Century Schoolbook"/>
      <w:b/>
      <w:bCs/>
      <w:sz w:val="14"/>
      <w:szCs w:val="14"/>
      <w:shd w:val="clear" w:color="auto" w:fill="FFFFFF"/>
      <w:lang w:val="en-US" w:eastAsia="en-US"/>
    </w:rPr>
  </w:style>
  <w:style w:type="character" w:customStyle="1" w:styleId="102">
    <w:name w:val="标题2 Char"/>
    <w:link w:val="103"/>
    <w:qFormat/>
    <w:uiPriority w:val="0"/>
    <w:rPr>
      <w:rFonts w:ascii="Cambria" w:hAnsi="Cambria" w:eastAsia="黑体"/>
      <w:bCs/>
      <w:color w:val="AF0F5A"/>
      <w:kern w:val="2"/>
      <w:sz w:val="21"/>
      <w:szCs w:val="21"/>
      <w:lang w:bidi="ar-SA"/>
    </w:rPr>
  </w:style>
  <w:style w:type="paragraph" w:customStyle="1" w:styleId="103">
    <w:name w:val="标题2"/>
    <w:basedOn w:val="3"/>
    <w:link w:val="102"/>
    <w:qFormat/>
    <w:uiPriority w:val="0"/>
    <w:pPr>
      <w:keepLines/>
      <w:spacing w:before="60" w:after="60"/>
      <w:ind w:firstLine="0" w:firstLineChars="0"/>
      <w:jc w:val="both"/>
    </w:pPr>
    <w:rPr>
      <w:rFonts w:ascii="Cambria" w:hAnsi="Cambria" w:eastAsia="黑体"/>
      <w:b w:val="0"/>
      <w:color w:val="AF0F5A"/>
      <w:sz w:val="21"/>
      <w:szCs w:val="21"/>
    </w:rPr>
  </w:style>
  <w:style w:type="character" w:customStyle="1" w:styleId="104">
    <w:name w:val="正文文本 (2)_"/>
    <w:link w:val="105"/>
    <w:qFormat/>
    <w:uiPriority w:val="0"/>
    <w:rPr>
      <w:rFonts w:ascii="MingLiU" w:eastAsia="MingLiU"/>
      <w:shd w:val="clear" w:color="auto" w:fill="FFFFFF"/>
      <w:lang w:bidi="ar-SA"/>
    </w:rPr>
  </w:style>
  <w:style w:type="paragraph" w:customStyle="1" w:styleId="105">
    <w:name w:val="正文文本 (2)1"/>
    <w:basedOn w:val="1"/>
    <w:link w:val="104"/>
    <w:qFormat/>
    <w:uiPriority w:val="0"/>
    <w:pPr>
      <w:shd w:val="clear" w:color="auto" w:fill="FFFFFF"/>
      <w:spacing w:after="3600" w:line="310" w:lineRule="exact"/>
      <w:ind w:hanging="400"/>
      <w:jc w:val="distribute"/>
    </w:pPr>
    <w:rPr>
      <w:rFonts w:ascii="MingLiU" w:eastAsia="MingLiU"/>
      <w:kern w:val="0"/>
      <w:sz w:val="20"/>
      <w:szCs w:val="20"/>
      <w:shd w:val="clear" w:color="auto" w:fill="FFFFFF"/>
    </w:rPr>
  </w:style>
  <w:style w:type="character" w:customStyle="1" w:styleId="106">
    <w:name w:val="段 Char Char"/>
    <w:qFormat/>
    <w:locked/>
    <w:uiPriority w:val="0"/>
    <w:rPr>
      <w:rFonts w:ascii="宋体"/>
      <w:sz w:val="21"/>
    </w:rPr>
  </w:style>
  <w:style w:type="paragraph" w:customStyle="1" w:styleId="107">
    <w:name w:val="封面标准英文名称"/>
    <w:basedOn w:val="108"/>
    <w:qFormat/>
    <w:uiPriority w:val="0"/>
    <w:pPr>
      <w:spacing w:before="370" w:line="400" w:lineRule="exact"/>
    </w:pPr>
    <w:rPr>
      <w:rFonts w:ascii="Times New Roman"/>
      <w:sz w:val="28"/>
      <w:szCs w:val="28"/>
    </w:rPr>
  </w:style>
  <w:style w:type="paragraph" w:customStyle="1" w:styleId="108">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9">
    <w:name w:val="章标题"/>
    <w:next w:val="36"/>
    <w:qFormat/>
    <w:uiPriority w:val="0"/>
    <w:pPr>
      <w:numPr>
        <w:ilvl w:val="0"/>
        <w:numId w:val="3"/>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10">
    <w:name w:val="二级条标题"/>
    <w:basedOn w:val="99"/>
    <w:next w:val="36"/>
    <w:qFormat/>
    <w:uiPriority w:val="0"/>
    <w:pPr>
      <w:numPr>
        <w:ilvl w:val="2"/>
        <w:numId w:val="3"/>
      </w:numPr>
      <w:spacing w:before="50" w:after="50"/>
      <w:outlineLvl w:val="3"/>
    </w:pPr>
  </w:style>
  <w:style w:type="paragraph" w:customStyle="1" w:styleId="11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12">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13">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114">
    <w:name w:val="列项——（一级）"/>
    <w:qFormat/>
    <w:uiPriority w:val="0"/>
    <w:pPr>
      <w:widowControl w:val="0"/>
      <w:numPr>
        <w:ilvl w:val="0"/>
        <w:numId w:val="4"/>
      </w:numPr>
      <w:jc w:val="both"/>
    </w:pPr>
    <w:rPr>
      <w:rFonts w:ascii="宋体" w:hAnsi="Times New Roman" w:eastAsia="宋体" w:cs="Times New Roman"/>
      <w:sz w:val="21"/>
      <w:lang w:val="en-US" w:eastAsia="zh-CN" w:bidi="ar-SA"/>
    </w:rPr>
  </w:style>
  <w:style w:type="paragraph" w:customStyle="1" w:styleId="115">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116">
    <w:name w:val="目次、标准名称标题"/>
    <w:basedOn w:val="1"/>
    <w:next w:val="3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17">
    <w:name w:val="三级条标题"/>
    <w:basedOn w:val="110"/>
    <w:next w:val="36"/>
    <w:qFormat/>
    <w:uiPriority w:val="0"/>
    <w:pPr>
      <w:numPr>
        <w:ilvl w:val="3"/>
        <w:numId w:val="3"/>
      </w:numPr>
      <w:outlineLvl w:val="4"/>
    </w:pPr>
  </w:style>
  <w:style w:type="paragraph" w:customStyle="1" w:styleId="118">
    <w:name w:val="示例"/>
    <w:next w:val="119"/>
    <w:qFormat/>
    <w:uiPriority w:val="0"/>
    <w:pPr>
      <w:widowControl w:val="0"/>
      <w:numPr>
        <w:ilvl w:val="0"/>
        <w:numId w:val="5"/>
      </w:numPr>
      <w:jc w:val="both"/>
    </w:pPr>
    <w:rPr>
      <w:rFonts w:ascii="宋体" w:hAnsi="Times New Roman" w:eastAsia="宋体" w:cs="Times New Roman"/>
      <w:sz w:val="18"/>
      <w:szCs w:val="18"/>
      <w:lang w:val="en-US" w:eastAsia="zh-CN" w:bidi="ar-SA"/>
    </w:rPr>
  </w:style>
  <w:style w:type="paragraph" w:customStyle="1" w:styleId="119">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20">
    <w:name w:val="封面标准文稿类别2"/>
    <w:basedOn w:val="121"/>
    <w:qFormat/>
    <w:uiPriority w:val="0"/>
    <w:pPr>
      <w:framePr w:y="4469"/>
    </w:pPr>
  </w:style>
  <w:style w:type="paragraph" w:customStyle="1" w:styleId="121">
    <w:name w:val="封面标准文稿类别"/>
    <w:basedOn w:val="122"/>
    <w:qFormat/>
    <w:uiPriority w:val="0"/>
    <w:pPr>
      <w:spacing w:after="160" w:line="240" w:lineRule="auto"/>
    </w:pPr>
    <w:rPr>
      <w:sz w:val="24"/>
    </w:rPr>
  </w:style>
  <w:style w:type="paragraph" w:customStyle="1" w:styleId="122">
    <w:name w:val="封面一致性程度标识"/>
    <w:basedOn w:val="107"/>
    <w:qFormat/>
    <w:uiPriority w:val="0"/>
    <w:pPr>
      <w:spacing w:before="440"/>
    </w:pPr>
    <w:rPr>
      <w:rFonts w:ascii="宋体" w:eastAsia="宋体"/>
    </w:rPr>
  </w:style>
  <w:style w:type="paragraph" w:customStyle="1" w:styleId="123">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124">
    <w:name w:val="数字编号列项（二级）"/>
    <w:qFormat/>
    <w:uiPriority w:val="0"/>
    <w:pPr>
      <w:numPr>
        <w:ilvl w:val="1"/>
        <w:numId w:val="6"/>
      </w:numPr>
      <w:tabs>
        <w:tab w:val="left" w:pos="1320"/>
      </w:tabs>
      <w:jc w:val="both"/>
    </w:pPr>
    <w:rPr>
      <w:rFonts w:ascii="宋体" w:hAnsi="Times New Roman" w:eastAsia="宋体" w:cs="Times New Roman"/>
      <w:sz w:val="21"/>
      <w:lang w:val="en-US" w:eastAsia="zh-CN" w:bidi="ar-SA"/>
    </w:rPr>
  </w:style>
  <w:style w:type="paragraph" w:customStyle="1" w:styleId="125">
    <w:name w:val="标准书眉_偶数页"/>
    <w:basedOn w:val="111"/>
    <w:next w:val="1"/>
    <w:qFormat/>
    <w:uiPriority w:val="0"/>
    <w:pPr>
      <w:jc w:val="left"/>
    </w:pPr>
    <w:rPr>
      <w:rFonts w:ascii="黑体" w:eastAsia="黑体"/>
    </w:rPr>
  </w:style>
  <w:style w:type="paragraph" w:customStyle="1" w:styleId="126">
    <w:name w:val="四级条标题"/>
    <w:basedOn w:val="117"/>
    <w:next w:val="36"/>
    <w:qFormat/>
    <w:uiPriority w:val="0"/>
    <w:pPr>
      <w:numPr>
        <w:ilvl w:val="4"/>
        <w:numId w:val="3"/>
      </w:numPr>
      <w:outlineLvl w:val="5"/>
    </w:pPr>
  </w:style>
  <w:style w:type="paragraph" w:customStyle="1" w:styleId="127">
    <w:name w:val="五级条标题"/>
    <w:basedOn w:val="126"/>
    <w:next w:val="36"/>
    <w:qFormat/>
    <w:uiPriority w:val="0"/>
    <w:pPr>
      <w:numPr>
        <w:ilvl w:val="5"/>
        <w:numId w:val="3"/>
      </w:numPr>
      <w:outlineLvl w:val="6"/>
    </w:pPr>
  </w:style>
  <w:style w:type="paragraph" w:customStyle="1" w:styleId="128">
    <w:name w:val="注："/>
    <w:next w:val="36"/>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129">
    <w:name w:val="注×："/>
    <w:qFormat/>
    <w:uiPriority w:val="0"/>
    <w:pPr>
      <w:widowControl w:val="0"/>
      <w:numPr>
        <w:ilvl w:val="0"/>
        <w:numId w:val="8"/>
      </w:numPr>
      <w:autoSpaceDE w:val="0"/>
      <w:autoSpaceDN w:val="0"/>
      <w:jc w:val="both"/>
    </w:pPr>
    <w:rPr>
      <w:rFonts w:ascii="宋体" w:hAnsi="Times New Roman" w:eastAsia="宋体" w:cs="Times New Roman"/>
      <w:sz w:val="18"/>
      <w:szCs w:val="18"/>
      <w:lang w:val="en-US" w:eastAsia="zh-CN" w:bidi="ar-SA"/>
    </w:rPr>
  </w:style>
  <w:style w:type="paragraph" w:customStyle="1" w:styleId="130">
    <w:name w:val="字母编号列项（一级）"/>
    <w:qFormat/>
    <w:uiPriority w:val="0"/>
    <w:pPr>
      <w:numPr>
        <w:ilvl w:val="0"/>
        <w:numId w:val="6"/>
      </w:numPr>
      <w:jc w:val="both"/>
    </w:pPr>
    <w:rPr>
      <w:rFonts w:ascii="宋体" w:hAnsi="Times New Roman" w:eastAsia="宋体" w:cs="Times New Roman"/>
      <w:sz w:val="21"/>
      <w:lang w:val="en-US" w:eastAsia="zh-CN" w:bidi="ar-SA"/>
    </w:rPr>
  </w:style>
  <w:style w:type="paragraph" w:customStyle="1" w:styleId="131">
    <w:name w:val="列项◆（三级）"/>
    <w:basedOn w:val="1"/>
    <w:qFormat/>
    <w:uiPriority w:val="0"/>
    <w:pPr>
      <w:numPr>
        <w:ilvl w:val="2"/>
        <w:numId w:val="4"/>
      </w:numPr>
    </w:pPr>
    <w:rPr>
      <w:rFonts w:ascii="宋体"/>
      <w:szCs w:val="21"/>
    </w:rPr>
  </w:style>
  <w:style w:type="paragraph" w:customStyle="1" w:styleId="132">
    <w:name w:val="编号列项（三级）"/>
    <w:qFormat/>
    <w:uiPriority w:val="0"/>
    <w:pPr>
      <w:numPr>
        <w:ilvl w:val="2"/>
        <w:numId w:val="6"/>
      </w:numPr>
      <w:tabs>
        <w:tab w:val="left" w:pos="1740"/>
      </w:tabs>
    </w:pPr>
    <w:rPr>
      <w:rFonts w:ascii="宋体" w:hAnsi="Times New Roman" w:eastAsia="宋体" w:cs="Times New Roman"/>
      <w:sz w:val="21"/>
      <w:lang w:val="en-US" w:eastAsia="zh-CN" w:bidi="ar-SA"/>
    </w:rPr>
  </w:style>
  <w:style w:type="paragraph" w:customStyle="1" w:styleId="133">
    <w:name w:val="示例×："/>
    <w:basedOn w:val="109"/>
    <w:qFormat/>
    <w:uiPriority w:val="0"/>
    <w:pPr>
      <w:numPr>
        <w:ilvl w:val="0"/>
        <w:numId w:val="9"/>
      </w:numPr>
      <w:spacing w:before="0" w:beforeLines="0" w:after="0" w:afterLines="0"/>
      <w:outlineLvl w:val="9"/>
    </w:pPr>
    <w:rPr>
      <w:rFonts w:ascii="宋体" w:eastAsia="宋体"/>
      <w:sz w:val="18"/>
      <w:szCs w:val="18"/>
    </w:rPr>
  </w:style>
  <w:style w:type="paragraph" w:customStyle="1" w:styleId="134">
    <w:name w:val="二级无"/>
    <w:basedOn w:val="110"/>
    <w:qFormat/>
    <w:uiPriority w:val="0"/>
    <w:pPr>
      <w:spacing w:before="0" w:beforeLines="0" w:after="0" w:afterLines="0"/>
    </w:pPr>
    <w:rPr>
      <w:rFonts w:ascii="宋体" w:eastAsia="宋体"/>
    </w:rPr>
  </w:style>
  <w:style w:type="paragraph" w:customStyle="1" w:styleId="135">
    <w:name w:val="注：（正文）"/>
    <w:basedOn w:val="128"/>
    <w:next w:val="36"/>
    <w:qFormat/>
    <w:uiPriority w:val="0"/>
  </w:style>
  <w:style w:type="paragraph" w:customStyle="1" w:styleId="136">
    <w:name w:val="注×：（正文）"/>
    <w:qFormat/>
    <w:uiPriority w:val="0"/>
    <w:pPr>
      <w:numPr>
        <w:ilvl w:val="0"/>
        <w:numId w:val="10"/>
      </w:numPr>
      <w:jc w:val="both"/>
    </w:pPr>
    <w:rPr>
      <w:rFonts w:ascii="宋体" w:hAnsi="Times New Roman" w:eastAsia="宋体" w:cs="Times New Roman"/>
      <w:sz w:val="18"/>
      <w:szCs w:val="18"/>
      <w:lang w:val="en-US" w:eastAsia="zh-CN" w:bidi="ar-SA"/>
    </w:rPr>
  </w:style>
  <w:style w:type="paragraph" w:customStyle="1" w:styleId="13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13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139">
    <w:name w:val="标准书眉一"/>
    <w:qFormat/>
    <w:uiPriority w:val="0"/>
    <w:pPr>
      <w:jc w:val="both"/>
    </w:pPr>
    <w:rPr>
      <w:rFonts w:ascii="Times New Roman" w:hAnsi="Times New Roman" w:eastAsia="宋体" w:cs="Times New Roman"/>
      <w:lang w:val="en-US" w:eastAsia="zh-CN" w:bidi="ar-SA"/>
    </w:rPr>
  </w:style>
  <w:style w:type="paragraph" w:customStyle="1" w:styleId="140">
    <w:name w:val="参考文献"/>
    <w:basedOn w:val="1"/>
    <w:next w:val="3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41">
    <w:name w:val="参考文献、索引标题"/>
    <w:basedOn w:val="1"/>
    <w:next w:val="3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142">
    <w:name w:val="发布部门"/>
    <w:next w:val="36"/>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4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44">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45">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46">
    <w:name w:val="样式1"/>
    <w:basedOn w:val="5"/>
    <w:qFormat/>
    <w:uiPriority w:val="0"/>
    <w:pPr>
      <w:widowControl w:val="0"/>
      <w:tabs>
        <w:tab w:val="left" w:pos="363"/>
      </w:tabs>
      <w:spacing w:line="240" w:lineRule="auto"/>
      <w:ind w:left="0" w:firstLine="200" w:firstLineChars="200"/>
      <w:jc w:val="both"/>
      <w:outlineLvl w:val="2"/>
    </w:pPr>
    <w:rPr>
      <w:rFonts w:ascii="Arial" w:hAnsi="Arial" w:eastAsia="宋体"/>
      <w:spacing w:val="0"/>
      <w:kern w:val="2"/>
      <w:sz w:val="21"/>
      <w:szCs w:val="28"/>
    </w:rPr>
  </w:style>
  <w:style w:type="paragraph" w:customStyle="1" w:styleId="147">
    <w:name w:val="Char Char Char Char Char Char Char Char Char Char Char Char Char Char Char Char Char Char Char Char Char Char Char Char Char Char Char Char Char Char 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
    <w:name w:val="条文脚注"/>
    <w:basedOn w:val="38"/>
    <w:qFormat/>
    <w:uiPriority w:val="0"/>
    <w:pPr>
      <w:numPr>
        <w:ilvl w:val="0"/>
        <w:numId w:val="0"/>
      </w:numPr>
      <w:jc w:val="both"/>
    </w:pPr>
    <w:rPr>
      <w:rFonts w:ascii="宋体"/>
    </w:rPr>
  </w:style>
  <w:style w:type="paragraph" w:customStyle="1" w:styleId="149">
    <w:name w:val="附录章标题"/>
    <w:next w:val="36"/>
    <w:qFormat/>
    <w:uiPriority w:val="0"/>
    <w:pPr>
      <w:numPr>
        <w:ilvl w:val="1"/>
        <w:numId w:val="11"/>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50">
    <w:name w:val="附录三级无"/>
    <w:basedOn w:val="151"/>
    <w:qFormat/>
    <w:uiPriority w:val="0"/>
    <w:pPr>
      <w:tabs>
        <w:tab w:val="left" w:pos="360"/>
      </w:tabs>
      <w:spacing w:before="0" w:beforeLines="0" w:after="0" w:afterLines="0"/>
    </w:pPr>
    <w:rPr>
      <w:rFonts w:ascii="宋体" w:eastAsia="宋体"/>
      <w:szCs w:val="21"/>
    </w:rPr>
  </w:style>
  <w:style w:type="paragraph" w:customStyle="1" w:styleId="151">
    <w:name w:val="附录三级条标题"/>
    <w:basedOn w:val="152"/>
    <w:next w:val="36"/>
    <w:qFormat/>
    <w:uiPriority w:val="0"/>
    <w:pPr>
      <w:numPr>
        <w:ilvl w:val="4"/>
        <w:numId w:val="11"/>
      </w:numPr>
      <w:tabs>
        <w:tab w:val="left" w:pos="360"/>
      </w:tabs>
      <w:outlineLvl w:val="4"/>
    </w:pPr>
  </w:style>
  <w:style w:type="paragraph" w:customStyle="1" w:styleId="152">
    <w:name w:val="附录二级条标题"/>
    <w:basedOn w:val="1"/>
    <w:next w:val="36"/>
    <w:qFormat/>
    <w:uiPriority w:val="0"/>
    <w:pPr>
      <w:widowControl/>
      <w:numPr>
        <w:ilvl w:val="3"/>
        <w:numId w:val="11"/>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153">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54">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55">
    <w:name w:val="图标脚注说明"/>
    <w:basedOn w:val="36"/>
    <w:qFormat/>
    <w:uiPriority w:val="0"/>
    <w:pPr>
      <w:ind w:left="840" w:hanging="420" w:firstLineChars="0"/>
    </w:pPr>
    <w:rPr>
      <w:sz w:val="18"/>
      <w:szCs w:val="18"/>
    </w:rPr>
  </w:style>
  <w:style w:type="paragraph" w:customStyle="1" w:styleId="156">
    <w:name w:val="附录一级条标题"/>
    <w:basedOn w:val="149"/>
    <w:next w:val="36"/>
    <w:qFormat/>
    <w:uiPriority w:val="0"/>
    <w:pPr>
      <w:numPr>
        <w:ilvl w:val="2"/>
        <w:numId w:val="11"/>
      </w:numPr>
      <w:autoSpaceDN w:val="0"/>
      <w:spacing w:before="50" w:beforeLines="50" w:after="50" w:afterLines="50"/>
      <w:outlineLvl w:val="2"/>
    </w:pPr>
  </w:style>
  <w:style w:type="paragraph" w:customStyle="1" w:styleId="157">
    <w:name w:val="封面标准文稿编辑信息"/>
    <w:basedOn w:val="121"/>
    <w:qFormat/>
    <w:uiPriority w:val="0"/>
    <w:pPr>
      <w:spacing w:before="180" w:line="180" w:lineRule="exact"/>
    </w:pPr>
    <w:rPr>
      <w:sz w:val="21"/>
    </w:rPr>
  </w:style>
  <w:style w:type="paragraph" w:customStyle="1" w:styleId="158">
    <w:name w:val="封面正文"/>
    <w:qFormat/>
    <w:uiPriority w:val="0"/>
    <w:pPr>
      <w:jc w:val="both"/>
    </w:pPr>
    <w:rPr>
      <w:rFonts w:ascii="Times New Roman" w:hAnsi="Times New Roman" w:eastAsia="宋体" w:cs="Times New Roman"/>
      <w:lang w:val="en-US" w:eastAsia="zh-CN" w:bidi="ar-SA"/>
    </w:rPr>
  </w:style>
  <w:style w:type="paragraph" w:customStyle="1" w:styleId="159">
    <w:name w:val="附录一级无"/>
    <w:basedOn w:val="156"/>
    <w:qFormat/>
    <w:uiPriority w:val="0"/>
    <w:pPr>
      <w:tabs>
        <w:tab w:val="clear" w:pos="360"/>
      </w:tabs>
      <w:spacing w:before="0" w:beforeLines="0" w:after="0" w:afterLines="0"/>
    </w:pPr>
    <w:rPr>
      <w:rFonts w:ascii="宋体" w:eastAsia="宋体"/>
      <w:szCs w:val="21"/>
    </w:rPr>
  </w:style>
  <w:style w:type="paragraph" w:customStyle="1" w:styleId="160">
    <w:name w:val="附录标识"/>
    <w:basedOn w:val="1"/>
    <w:next w:val="36"/>
    <w:qFormat/>
    <w:uiPriority w:val="0"/>
    <w:pPr>
      <w:keepNext/>
      <w:widowControl/>
      <w:numPr>
        <w:ilvl w:val="0"/>
        <w:numId w:val="11"/>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61">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62">
    <w:name w:val="附录图标题"/>
    <w:basedOn w:val="1"/>
    <w:next w:val="36"/>
    <w:qFormat/>
    <w:uiPriority w:val="0"/>
    <w:pPr>
      <w:numPr>
        <w:ilvl w:val="1"/>
        <w:numId w:val="13"/>
      </w:numPr>
      <w:tabs>
        <w:tab w:val="left" w:pos="363"/>
      </w:tabs>
      <w:spacing w:before="50" w:beforeLines="50" w:after="50" w:afterLines="50"/>
      <w:ind w:left="0" w:firstLine="0"/>
      <w:jc w:val="center"/>
    </w:pPr>
    <w:rPr>
      <w:rFonts w:ascii="黑体" w:eastAsia="黑体"/>
      <w:szCs w:val="21"/>
    </w:rPr>
  </w:style>
  <w:style w:type="paragraph" w:customStyle="1" w:styleId="163">
    <w:name w:val="附录标题"/>
    <w:basedOn w:val="36"/>
    <w:next w:val="36"/>
    <w:qFormat/>
    <w:uiPriority w:val="0"/>
    <w:pPr>
      <w:ind w:firstLine="0" w:firstLineChars="0"/>
      <w:jc w:val="center"/>
    </w:pPr>
    <w:rPr>
      <w:rFonts w:ascii="黑体" w:eastAsia="黑体"/>
    </w:rPr>
  </w:style>
  <w:style w:type="paragraph" w:customStyle="1" w:styleId="16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65">
    <w:name w:val="附录五级条标题"/>
    <w:basedOn w:val="166"/>
    <w:next w:val="36"/>
    <w:qFormat/>
    <w:uiPriority w:val="0"/>
    <w:pPr>
      <w:numPr>
        <w:ilvl w:val="6"/>
        <w:numId w:val="11"/>
      </w:numPr>
      <w:tabs>
        <w:tab w:val="left" w:pos="360"/>
      </w:tabs>
      <w:outlineLvl w:val="6"/>
    </w:pPr>
  </w:style>
  <w:style w:type="paragraph" w:customStyle="1" w:styleId="166">
    <w:name w:val="附录四级条标题"/>
    <w:basedOn w:val="151"/>
    <w:next w:val="36"/>
    <w:qFormat/>
    <w:uiPriority w:val="0"/>
    <w:pPr>
      <w:numPr>
        <w:ilvl w:val="5"/>
        <w:numId w:val="11"/>
      </w:numPr>
      <w:outlineLvl w:val="5"/>
    </w:pPr>
  </w:style>
  <w:style w:type="paragraph" w:customStyle="1" w:styleId="167">
    <w:name w:val="附录表标号"/>
    <w:basedOn w:val="1"/>
    <w:next w:val="36"/>
    <w:qFormat/>
    <w:uiPriority w:val="0"/>
    <w:pPr>
      <w:numPr>
        <w:ilvl w:val="0"/>
        <w:numId w:val="14"/>
      </w:numPr>
      <w:spacing w:line="14" w:lineRule="exact"/>
      <w:jc w:val="center"/>
      <w:outlineLvl w:val="0"/>
    </w:pPr>
    <w:rPr>
      <w:color w:val="FFFFFF"/>
    </w:rPr>
  </w:style>
  <w:style w:type="paragraph" w:customStyle="1" w:styleId="168">
    <w:name w:val="附录表标题"/>
    <w:basedOn w:val="1"/>
    <w:next w:val="36"/>
    <w:qFormat/>
    <w:uiPriority w:val="0"/>
    <w:pPr>
      <w:numPr>
        <w:ilvl w:val="1"/>
        <w:numId w:val="14"/>
      </w:numPr>
      <w:spacing w:before="50" w:beforeLines="50" w:after="50" w:afterLines="50"/>
      <w:jc w:val="center"/>
    </w:pPr>
    <w:rPr>
      <w:rFonts w:ascii="黑体" w:eastAsia="黑体"/>
      <w:szCs w:val="21"/>
    </w:rPr>
  </w:style>
  <w:style w:type="paragraph" w:customStyle="1" w:styleId="169">
    <w:name w:val="附录二级无"/>
    <w:basedOn w:val="152"/>
    <w:qFormat/>
    <w:uiPriority w:val="0"/>
    <w:pPr>
      <w:tabs>
        <w:tab w:val="clear" w:pos="360"/>
      </w:tabs>
      <w:spacing w:before="0" w:beforeLines="0" w:after="0" w:afterLines="0"/>
    </w:pPr>
    <w:rPr>
      <w:rFonts w:ascii="宋体" w:eastAsia="宋体"/>
      <w:szCs w:val="21"/>
    </w:rPr>
  </w:style>
  <w:style w:type="paragraph" w:customStyle="1" w:styleId="170">
    <w:name w:val="附录公式编号制表符"/>
    <w:basedOn w:val="1"/>
    <w:next w:val="36"/>
    <w:qFormat/>
    <w:uiPriority w:val="0"/>
    <w:pPr>
      <w:widowControl/>
      <w:tabs>
        <w:tab w:val="center" w:pos="4201"/>
        <w:tab w:val="right" w:leader="dot" w:pos="9298"/>
      </w:tabs>
      <w:autoSpaceDE w:val="0"/>
      <w:autoSpaceDN w:val="0"/>
    </w:pPr>
    <w:rPr>
      <w:rFonts w:ascii="宋体"/>
      <w:kern w:val="0"/>
      <w:szCs w:val="20"/>
    </w:rPr>
  </w:style>
  <w:style w:type="paragraph" w:customStyle="1" w:styleId="17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72">
    <w:name w:val="附录四级无"/>
    <w:basedOn w:val="166"/>
    <w:qFormat/>
    <w:uiPriority w:val="0"/>
    <w:pPr>
      <w:tabs>
        <w:tab w:val="clear" w:pos="360"/>
      </w:tabs>
      <w:spacing w:before="0" w:beforeLines="0" w:after="0" w:afterLines="0"/>
    </w:pPr>
    <w:rPr>
      <w:rFonts w:ascii="宋体" w:eastAsia="宋体"/>
      <w:szCs w:val="21"/>
    </w:rPr>
  </w:style>
  <w:style w:type="paragraph" w:customStyle="1" w:styleId="173">
    <w:name w:val=" Char1 Char Char Char"/>
    <w:basedOn w:val="1"/>
    <w:qFormat/>
    <w:uiPriority w:val="0"/>
    <w:rPr>
      <w:rFonts w:ascii="仿宋_GB2312" w:eastAsia="仿宋_GB2312"/>
      <w:b/>
      <w:sz w:val="32"/>
      <w:szCs w:val="32"/>
    </w:rPr>
  </w:style>
  <w:style w:type="paragraph" w:customStyle="1" w:styleId="174">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75">
    <w:name w:val="列项——"/>
    <w:qFormat/>
    <w:uiPriority w:val="0"/>
    <w:pPr>
      <w:widowControl w:val="0"/>
      <w:jc w:val="both"/>
    </w:pPr>
    <w:rPr>
      <w:rFonts w:ascii="宋体" w:hAnsi="Times New Roman" w:eastAsia="宋体" w:cs="Times New Roman"/>
      <w:sz w:val="21"/>
      <w:lang w:val="en-US" w:eastAsia="zh-CN" w:bidi="ar-SA"/>
    </w:rPr>
  </w:style>
  <w:style w:type="paragraph" w:customStyle="1" w:styleId="176">
    <w:name w:val="四级无"/>
    <w:basedOn w:val="126"/>
    <w:qFormat/>
    <w:uiPriority w:val="0"/>
    <w:pPr>
      <w:spacing w:before="0" w:beforeLines="0" w:after="0" w:afterLines="0"/>
    </w:pPr>
    <w:rPr>
      <w:rFonts w:ascii="宋体" w:eastAsia="宋体"/>
    </w:rPr>
  </w:style>
  <w:style w:type="paragraph" w:customStyle="1" w:styleId="177">
    <w:name w:val="附录五级无"/>
    <w:basedOn w:val="165"/>
    <w:qFormat/>
    <w:uiPriority w:val="0"/>
    <w:pPr>
      <w:tabs>
        <w:tab w:val="clear" w:pos="360"/>
      </w:tabs>
      <w:spacing w:before="0" w:beforeLines="0" w:after="0" w:afterLines="0"/>
    </w:pPr>
    <w:rPr>
      <w:rFonts w:ascii="宋体" w:eastAsia="宋体"/>
      <w:szCs w:val="21"/>
    </w:rPr>
  </w:style>
  <w:style w:type="paragraph" w:customStyle="1" w:styleId="178">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7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80">
    <w:name w:val="其他标准标志"/>
    <w:basedOn w:val="137"/>
    <w:qFormat/>
    <w:uiPriority w:val="0"/>
    <w:pPr>
      <w:framePr w:w="6101" w:vAnchor="page" w:hAnchor="page" w:x="4673" w:y="942"/>
    </w:pPr>
    <w:rPr>
      <w:w w:val="130"/>
    </w:rPr>
  </w:style>
  <w:style w:type="paragraph" w:customStyle="1" w:styleId="18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82">
    <w:name w:val="其他发布部门"/>
    <w:basedOn w:val="142"/>
    <w:qFormat/>
    <w:uiPriority w:val="0"/>
    <w:pPr>
      <w:framePr w:y="15310"/>
      <w:spacing w:line="0" w:lineRule="atLeast"/>
    </w:pPr>
    <w:rPr>
      <w:rFonts w:ascii="黑体" w:eastAsia="黑体"/>
      <w:b w:val="0"/>
    </w:rPr>
  </w:style>
  <w:style w:type="paragraph" w:customStyle="1" w:styleId="183">
    <w:name w:val="前言、引言标题"/>
    <w:next w:val="36"/>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84">
    <w:name w:val="封面标准英文名称2"/>
    <w:basedOn w:val="107"/>
    <w:qFormat/>
    <w:uiPriority w:val="0"/>
    <w:pPr>
      <w:framePr w:y="4469"/>
    </w:pPr>
  </w:style>
  <w:style w:type="paragraph" w:customStyle="1" w:styleId="185">
    <w:name w:val="正文公式编号制表符"/>
    <w:basedOn w:val="36"/>
    <w:next w:val="36"/>
    <w:qFormat/>
    <w:uiPriority w:val="0"/>
    <w:pPr>
      <w:ind w:firstLine="0" w:firstLineChars="0"/>
    </w:pPr>
  </w:style>
  <w:style w:type="paragraph" w:customStyle="1" w:styleId="186">
    <w:name w:val="三级无"/>
    <w:basedOn w:val="117"/>
    <w:qFormat/>
    <w:uiPriority w:val="0"/>
    <w:pPr>
      <w:spacing w:before="0" w:beforeLines="0" w:after="0" w:afterLines="0"/>
    </w:pPr>
    <w:rPr>
      <w:rFonts w:ascii="宋体" w:eastAsia="宋体"/>
    </w:rPr>
  </w:style>
  <w:style w:type="paragraph" w:customStyle="1" w:styleId="187">
    <w:name w:val="实施日期"/>
    <w:basedOn w:val="143"/>
    <w:qFormat/>
    <w:uiPriority w:val="0"/>
    <w:pPr>
      <w:framePr w:vAnchor="page" w:hAnchor="page"/>
      <w:jc w:val="right"/>
    </w:pPr>
  </w:style>
  <w:style w:type="paragraph" w:customStyle="1" w:styleId="188">
    <w:name w:val="示例后文字"/>
    <w:basedOn w:val="36"/>
    <w:next w:val="36"/>
    <w:qFormat/>
    <w:uiPriority w:val="0"/>
    <w:pPr>
      <w:ind w:firstLine="360"/>
    </w:pPr>
    <w:rPr>
      <w:sz w:val="18"/>
    </w:rPr>
  </w:style>
  <w:style w:type="paragraph" w:customStyle="1" w:styleId="189">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0">
    <w:name w:val="封面一致性程度标识2"/>
    <w:basedOn w:val="122"/>
    <w:qFormat/>
    <w:uiPriority w:val="0"/>
    <w:pPr>
      <w:framePr w:y="4469"/>
    </w:pPr>
  </w:style>
  <w:style w:type="paragraph" w:customStyle="1" w:styleId="191">
    <w:name w:val="正文图标题"/>
    <w:next w:val="36"/>
    <w:qFormat/>
    <w:uiPriority w:val="0"/>
    <w:pPr>
      <w:numPr>
        <w:ilvl w:val="0"/>
        <w:numId w:val="15"/>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92">
    <w:name w:val="图表脚注说明"/>
    <w:basedOn w:val="1"/>
    <w:qFormat/>
    <w:uiPriority w:val="0"/>
    <w:pPr>
      <w:numPr>
        <w:ilvl w:val="0"/>
        <w:numId w:val="16"/>
      </w:numPr>
    </w:pPr>
    <w:rPr>
      <w:rFonts w:ascii="宋体"/>
      <w:sz w:val="18"/>
      <w:szCs w:val="18"/>
    </w:rPr>
  </w:style>
  <w:style w:type="paragraph" w:customStyle="1" w:styleId="193">
    <w:name w:val="图的脚注"/>
    <w:next w:val="3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94">
    <w:name w:val="终结线"/>
    <w:basedOn w:val="1"/>
    <w:qFormat/>
    <w:uiPriority w:val="0"/>
    <w:pPr>
      <w:framePr w:hSpace="181" w:vSpace="181" w:wrap="around" w:vAnchor="text" w:hAnchor="margin" w:xAlign="center" w:y="285"/>
    </w:pPr>
  </w:style>
  <w:style w:type="paragraph" w:customStyle="1" w:styleId="195">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96">
    <w:name w:val="五级无"/>
    <w:basedOn w:val="127"/>
    <w:qFormat/>
    <w:uiPriority w:val="0"/>
    <w:pPr>
      <w:spacing w:before="0" w:beforeLines="0" w:after="0" w:afterLines="0"/>
    </w:pPr>
    <w:rPr>
      <w:rFonts w:ascii="宋体" w:eastAsia="宋体"/>
    </w:rPr>
  </w:style>
  <w:style w:type="paragraph" w:customStyle="1" w:styleId="197">
    <w:name w:val="一级无"/>
    <w:basedOn w:val="99"/>
    <w:qFormat/>
    <w:uiPriority w:val="0"/>
    <w:pPr>
      <w:spacing w:before="0" w:beforeLines="0" w:after="0" w:afterLines="0"/>
    </w:pPr>
    <w:rPr>
      <w:rFonts w:ascii="宋体" w:eastAsia="宋体"/>
    </w:rPr>
  </w:style>
  <w:style w:type="paragraph" w:customStyle="1" w:styleId="198">
    <w:name w:val="其他发布日期"/>
    <w:basedOn w:val="143"/>
    <w:qFormat/>
    <w:uiPriority w:val="0"/>
    <w:pPr>
      <w:framePr w:vAnchor="page" w:hAnchor="page" w:x="1419"/>
    </w:pPr>
  </w:style>
  <w:style w:type="paragraph" w:customStyle="1" w:styleId="199">
    <w:name w:val="正文表标题"/>
    <w:next w:val="36"/>
    <w:qFormat/>
    <w:uiPriority w:val="0"/>
    <w:pPr>
      <w:numPr>
        <w:ilvl w:val="0"/>
        <w:numId w:val="1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200">
    <w:name w:val="其他实施日期"/>
    <w:basedOn w:val="187"/>
    <w:qFormat/>
    <w:uiPriority w:val="0"/>
  </w:style>
  <w:style w:type="paragraph" w:customStyle="1" w:styleId="201">
    <w:name w:val="_Style 200"/>
    <w:semiHidden/>
    <w:qFormat/>
    <w:uiPriority w:val="0"/>
    <w:rPr>
      <w:rFonts w:ascii="Times New Roman" w:hAnsi="Times New Roman" w:eastAsia="宋体" w:cs="Times New Roman"/>
      <w:kern w:val="2"/>
      <w:sz w:val="21"/>
      <w:szCs w:val="24"/>
      <w:lang w:val="en-US" w:eastAsia="zh-CN" w:bidi="ar-SA"/>
    </w:rPr>
  </w:style>
  <w:style w:type="paragraph" w:customStyle="1" w:styleId="202">
    <w:name w:val="封面标准名称2"/>
    <w:basedOn w:val="108"/>
    <w:qFormat/>
    <w:uiPriority w:val="0"/>
    <w:pPr>
      <w:framePr w:y="4469"/>
      <w:spacing w:before="630" w:beforeLines="630"/>
    </w:pPr>
  </w:style>
  <w:style w:type="paragraph" w:customStyle="1" w:styleId="203">
    <w:name w:val="封面标准文稿编辑信息2"/>
    <w:basedOn w:val="157"/>
    <w:qFormat/>
    <w:uiPriority w:val="0"/>
    <w:pPr>
      <w:framePr w:y="4469"/>
    </w:pPr>
  </w:style>
  <w:style w:type="paragraph" w:customStyle="1" w:styleId="204">
    <w:name w:val="样式 二级条标题 + 段前: 0.5 行 段后: 0.5 行 行距: 多倍行距 1.08 字行"/>
    <w:basedOn w:val="110"/>
    <w:qFormat/>
    <w:uiPriority w:val="0"/>
    <w:pPr>
      <w:numPr>
        <w:ilvl w:val="0"/>
        <w:numId w:val="0"/>
      </w:numPr>
      <w:spacing w:line="259" w:lineRule="auto"/>
    </w:pPr>
    <w:rPr>
      <w:rFonts w:cs="宋体"/>
      <w:szCs w:val="20"/>
    </w:rPr>
  </w:style>
  <w:style w:type="paragraph" w:customStyle="1" w:styleId="205">
    <w:name w:val="Char1 Char Char Char"/>
    <w:basedOn w:val="1"/>
    <w:qFormat/>
    <w:uiPriority w:val="0"/>
    <w:rPr>
      <w:rFonts w:ascii="仿宋_GB2312" w:eastAsia="仿宋_GB2312"/>
      <w:b/>
      <w:sz w:val="32"/>
      <w:szCs w:val="32"/>
    </w:rPr>
  </w:style>
  <w:style w:type="paragraph" w:customStyle="1" w:styleId="206">
    <w:name w:val="Char"/>
    <w:basedOn w:val="1"/>
    <w:qFormat/>
    <w:uiPriority w:val="0"/>
  </w:style>
  <w:style w:type="paragraph" w:customStyle="1" w:styleId="207">
    <w:name w:val="标准文件_二级条标题"/>
    <w:basedOn w:val="1"/>
    <w:next w:val="1"/>
    <w:qFormat/>
    <w:uiPriority w:val="0"/>
    <w:pPr>
      <w:widowControl/>
      <w:ind w:right="-50" w:rightChars="-50"/>
      <w:outlineLvl w:val="3"/>
    </w:pPr>
    <w:rPr>
      <w:rFonts w:ascii="黑体" w:eastAsia="黑体"/>
      <w:spacing w:val="2"/>
      <w:kern w:val="0"/>
      <w:szCs w:val="20"/>
    </w:rPr>
  </w:style>
  <w:style w:type="paragraph" w:styleId="208">
    <w:name w:val="List Paragraph"/>
    <w:basedOn w:val="1"/>
    <w:qFormat/>
    <w:uiPriority w:val="0"/>
    <w:pPr>
      <w:ind w:firstLine="420" w:firstLineChars="200"/>
    </w:pPr>
    <w:rPr>
      <w:szCs w:val="21"/>
    </w:rPr>
  </w:style>
  <w:style w:type="paragraph" w:customStyle="1" w:styleId="209">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0">
    <w:name w:val="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1">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2">
    <w:name w:val="节标题"/>
    <w:basedOn w:val="1"/>
    <w:next w:val="1"/>
    <w:qFormat/>
    <w:uiPriority w:val="0"/>
    <w:pPr>
      <w:autoSpaceDE w:val="0"/>
      <w:autoSpaceDN w:val="0"/>
      <w:adjustRightInd w:val="0"/>
      <w:spacing w:line="289" w:lineRule="atLeast"/>
      <w:jc w:val="center"/>
    </w:pPr>
    <w:rPr>
      <w:color w:val="000000"/>
      <w:kern w:val="0"/>
      <w:sz w:val="28"/>
      <w:szCs w:val="28"/>
      <w:lang w:val="zh-CN"/>
    </w:rPr>
  </w:style>
  <w:style w:type="paragraph" w:customStyle="1" w:styleId="213">
    <w:name w:val="图表脚注"/>
    <w:next w:val="1"/>
    <w:qFormat/>
    <w:uiPriority w:val="0"/>
    <w:pPr>
      <w:jc w:val="both"/>
    </w:pPr>
    <w:rPr>
      <w:rFonts w:ascii="宋体" w:hAnsi="Times New Roman" w:eastAsia="宋体" w:cs="Times New Roman"/>
      <w:sz w:val="18"/>
      <w:lang w:val="en-US" w:eastAsia="zh-CN" w:bidi="ar-SA"/>
    </w:rPr>
  </w:style>
  <w:style w:type="paragraph" w:customStyle="1" w:styleId="214">
    <w:name w:val=" 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 Char"/>
    <w:basedOn w:val="1"/>
    <w:qFormat/>
    <w:uiPriority w:val="0"/>
    <w:rPr>
      <w:rFonts w:ascii="Tahoma" w:hAnsi="Tahoma"/>
      <w:sz w:val="24"/>
      <w:szCs w:val="20"/>
    </w:rPr>
  </w:style>
  <w:style w:type="paragraph" w:customStyle="1" w:styleId="216">
    <w:name w:val="样式 二级条标题 + 段前: 0.5 行 段后: 0.5 行"/>
    <w:basedOn w:val="110"/>
    <w:qFormat/>
    <w:uiPriority w:val="0"/>
    <w:pPr>
      <w:numPr>
        <w:ilvl w:val="0"/>
        <w:numId w:val="0"/>
      </w:numPr>
    </w:pPr>
    <w:rPr>
      <w:rFonts w:cs="宋体"/>
      <w:szCs w:val="20"/>
    </w:rPr>
  </w:style>
  <w:style w:type="paragraph" w:customStyle="1" w:styleId="21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Char Char Char Char Char Char Char Char Char Char Char Char Char Char Char Char Char Char Char Char Char Char Char Char Char Char Char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List Paragraph1"/>
    <w:basedOn w:val="1"/>
    <w:qFormat/>
    <w:uiPriority w:val="0"/>
    <w:pPr>
      <w:ind w:firstLine="420" w:firstLineChars="200"/>
    </w:pPr>
    <w:rPr>
      <w:rFonts w:ascii="Calibri" w:hAnsi="Calibri"/>
      <w:szCs w:val="22"/>
    </w:rPr>
  </w:style>
  <w:style w:type="table" w:customStyle="1" w:styleId="220">
    <w:name w:val="网格型1"/>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网格型2"/>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2">
    <w:name w:val="网格型3"/>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3">
    <w:name w:val="font31"/>
    <w:basedOn w:val="51"/>
    <w:qFormat/>
    <w:uiPriority w:val="0"/>
    <w:rPr>
      <w:rFonts w:hint="eastAsia" w:ascii="宋体" w:hAnsi="宋体" w:eastAsia="宋体" w:cs="宋体"/>
      <w:color w:val="000000"/>
      <w:sz w:val="21"/>
      <w:szCs w:val="21"/>
      <w:u w:val="none"/>
    </w:rPr>
  </w:style>
  <w:style w:type="character" w:customStyle="1" w:styleId="224">
    <w:name w:val="font11"/>
    <w:basedOn w:val="51"/>
    <w:qFormat/>
    <w:uiPriority w:val="0"/>
    <w:rPr>
      <w:rFonts w:hint="default" w:ascii="Times New Roman" w:hAnsi="Times New Roman" w:cs="Times New Roman"/>
      <w:color w:val="000000"/>
      <w:sz w:val="21"/>
      <w:szCs w:val="21"/>
      <w:u w:val="none"/>
    </w:rPr>
  </w:style>
  <w:style w:type="paragraph" w:customStyle="1" w:styleId="225">
    <w:name w:val="WPSOffice手动目录 1"/>
    <w:uiPriority w:val="0"/>
    <w:pPr>
      <w:ind w:leftChars="0"/>
    </w:pPr>
    <w:rPr>
      <w:sz w:val="20"/>
      <w:szCs w:val="20"/>
    </w:rPr>
  </w:style>
  <w:style w:type="paragraph" w:customStyle="1" w:styleId="226">
    <w:name w:val="WPSOffice手动目录 2"/>
    <w:uiPriority w:val="0"/>
    <w:pPr>
      <w:ind w:leftChars="200"/>
    </w:pPr>
    <w:rPr>
      <w:sz w:val="20"/>
      <w:szCs w:val="20"/>
    </w:rPr>
  </w:style>
  <w:style w:type="paragraph" w:customStyle="1" w:styleId="227">
    <w:name w:val="WPSOffice手动目录 3"/>
    <w:uiPriority w:val="0"/>
    <w:pPr>
      <w:ind w:leftChars="400"/>
    </w:pPr>
    <w:rPr>
      <w:sz w:val="20"/>
      <w:szCs w:val="20"/>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microsoft.com/office/2006/relationships/keyMapCustomizations" Target="customization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99</Pages>
  <Words>80030</Words>
  <Characters>86267</Characters>
  <Lines>731</Lines>
  <Paragraphs>205</Paragraphs>
  <TotalTime>0</TotalTime>
  <ScaleCrop>false</ScaleCrop>
  <LinksUpToDate>false</LinksUpToDate>
  <CharactersWithSpaces>87519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2018-01-25T08:14:00Z</dcterms:created>
  <dc:creator>CNIS</dc:creator>
  <cp:lastModifiedBy>米粒*儿</cp:lastModifiedBy>
  <dcterms:modified xsi:type="dcterms:W3CDTF">2024-09-23T04:04:13Z</dcterms:modified>
  <dc:title>标准名称</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BD7F49ABABFD458295E380C1689EF18A_13</vt:lpwstr>
  </property>
</Properties>
</file>