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39138" w14:textId="77777777" w:rsidR="007C3D28" w:rsidRDefault="007C3D28">
      <w:pPr>
        <w:spacing w:line="560" w:lineRule="exact"/>
        <w:jc w:val="center"/>
        <w:rPr>
          <w:rFonts w:ascii="Times New Roman" w:eastAsia="方正小标宋简体" w:hAnsi="Times New Roman" w:cs="Times New Roman"/>
          <w:sz w:val="44"/>
          <w:szCs w:val="44"/>
        </w:rPr>
      </w:pPr>
    </w:p>
    <w:p w14:paraId="1F470EED" w14:textId="77777777" w:rsidR="007C3D28" w:rsidRDefault="00092F5E">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关于</w:t>
      </w:r>
      <w:r>
        <w:rPr>
          <w:rFonts w:ascii="Times New Roman" w:eastAsia="方正小标宋简体" w:hAnsi="Times New Roman" w:cs="Times New Roman"/>
          <w:sz w:val="44"/>
          <w:szCs w:val="44"/>
        </w:rPr>
        <w:t>《</w:t>
      </w:r>
      <w:r>
        <w:rPr>
          <w:rFonts w:ascii="Times New Roman" w:eastAsia="方正小标宋简体" w:hAnsi="Times New Roman" w:cs="Times New Roman" w:hint="eastAsia"/>
          <w:sz w:val="44"/>
          <w:szCs w:val="44"/>
        </w:rPr>
        <w:t>北京市</w:t>
      </w:r>
      <w:r>
        <w:rPr>
          <w:rFonts w:ascii="Times New Roman" w:eastAsia="方正小标宋简体" w:hAnsi="Times New Roman" w:cs="Times New Roman"/>
          <w:sz w:val="44"/>
          <w:szCs w:val="44"/>
        </w:rPr>
        <w:t>营利性文化艺术类校外培训机构培训课程预付费管理办法（试行）》</w:t>
      </w:r>
    </w:p>
    <w:p w14:paraId="04145E10" w14:textId="77777777" w:rsidR="007C3D28" w:rsidRDefault="00092F5E">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征求意见稿的起草说明</w:t>
      </w:r>
    </w:p>
    <w:p w14:paraId="1C6935A0" w14:textId="77777777" w:rsidR="007C3D28" w:rsidRDefault="007C3D28">
      <w:pPr>
        <w:pStyle w:val="PlainText"/>
        <w:spacing w:line="560" w:lineRule="exact"/>
        <w:rPr>
          <w:rFonts w:ascii="Times New Roman" w:hAnsi="Times New Roman" w:cs="Times New Roman"/>
        </w:rPr>
      </w:pPr>
    </w:p>
    <w:p w14:paraId="0B3AFC3E" w14:textId="77777777" w:rsidR="007C3D28" w:rsidRDefault="00092F5E">
      <w:pPr>
        <w:numPr>
          <w:ilvl w:val="0"/>
          <w:numId w:val="1"/>
        </w:num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背景和依据</w:t>
      </w:r>
    </w:p>
    <w:p w14:paraId="70EB8414" w14:textId="77777777" w:rsidR="007C3D28" w:rsidRDefault="00092F5E">
      <w:pPr>
        <w:widowControl/>
        <w:spacing w:line="560" w:lineRule="exact"/>
        <w:ind w:firstLineChars="200" w:firstLine="640"/>
        <w:jc w:val="left"/>
        <w:rPr>
          <w:rFonts w:ascii="仿宋_GB2312" w:eastAsia="仿宋_GB2312" w:hAnsi="方正小标宋简体" w:cs="方正小标宋简体"/>
          <w:sz w:val="32"/>
          <w:szCs w:val="32"/>
        </w:rPr>
      </w:pPr>
      <w:r>
        <w:rPr>
          <w:rFonts w:ascii="仿宋_GB2312" w:eastAsia="仿宋_GB2312" w:hAnsi="方正小标宋简体" w:cs="方正小标宋简体" w:hint="eastAsia"/>
          <w:sz w:val="32"/>
          <w:szCs w:val="32"/>
        </w:rPr>
        <w:t>为维护本市文化艺术类校外培训市场秩序，促进公平竞争，</w:t>
      </w:r>
      <w:r>
        <w:rPr>
          <w:rFonts w:ascii="仿宋_GB2312" w:eastAsia="仿宋_GB2312" w:hAnsi="方正小标宋简体" w:cs="方正小标宋简体" w:hint="eastAsia"/>
          <w:color w:val="000000" w:themeColor="text1"/>
          <w:sz w:val="32"/>
          <w:szCs w:val="32"/>
        </w:rPr>
        <w:t>保护营</w:t>
      </w:r>
      <w:r>
        <w:rPr>
          <w:rFonts w:ascii="仿宋_GB2312" w:eastAsia="仿宋_GB2312" w:hAnsi="方正小标宋简体" w:cs="方正小标宋简体" w:hint="eastAsia"/>
          <w:sz w:val="32"/>
          <w:szCs w:val="32"/>
        </w:rPr>
        <w:t>利性文化艺术类校外培训机构</w:t>
      </w:r>
      <w:r>
        <w:rPr>
          <w:rFonts w:ascii="仿宋" w:eastAsia="仿宋" w:hAnsi="仿宋" w:cs="仿宋" w:hint="eastAsia"/>
          <w:sz w:val="32"/>
          <w:szCs w:val="32"/>
        </w:rPr>
        <w:t>（含社会艺术水平考级培训机构，以下简称文化艺术类培训机构）和学员的合法权益，依据《中华人民共和国民办教育促进法》《中华人民共和国消费者权益保护法》《中华人民共和国未成年人保护法》</w:t>
      </w:r>
      <w:r>
        <w:rPr>
          <w:rFonts w:ascii="仿宋" w:eastAsia="仿宋" w:hAnsi="仿宋" w:cs="仿宋"/>
          <w:sz w:val="32"/>
          <w:szCs w:val="32"/>
        </w:rPr>
        <w:t>《北京市单用途预付卡管理条例》</w:t>
      </w:r>
      <w:r>
        <w:rPr>
          <w:rFonts w:ascii="仿宋" w:eastAsia="仿宋" w:hAnsi="仿宋" w:cs="仿宋" w:hint="eastAsia"/>
          <w:sz w:val="32"/>
          <w:szCs w:val="32"/>
        </w:rPr>
        <w:t>等法律法规和《北京市关于进一步减轻义务教育阶段学生作业负担和校外培训负担的措施》等规范校外培训机构管理文件的有关规定</w:t>
      </w:r>
      <w:r>
        <w:rPr>
          <w:rFonts w:ascii="仿宋_GB2312" w:eastAsia="仿宋_GB2312" w:hAnsi="方正小标宋简体" w:cs="方正小标宋简体" w:hint="eastAsia"/>
          <w:sz w:val="32"/>
          <w:szCs w:val="32"/>
        </w:rPr>
        <w:t>，参考</w:t>
      </w:r>
      <w:r>
        <w:rPr>
          <w:rFonts w:ascii="仿宋" w:eastAsia="仿宋" w:hAnsi="仿宋" w:cs="仿宋" w:hint="eastAsia"/>
          <w:sz w:val="32"/>
          <w:szCs w:val="32"/>
        </w:rPr>
        <w:t>《北京市学科类校外培训机构预收费管理办法（试行）》，</w:t>
      </w:r>
      <w:r>
        <w:rPr>
          <w:rFonts w:ascii="Times New Roman" w:eastAsia="仿宋_GB2312" w:hAnsi="Times New Roman" w:cs="Times New Roman"/>
          <w:sz w:val="32"/>
          <w:szCs w:val="32"/>
        </w:rPr>
        <w:t>起草了《</w:t>
      </w:r>
      <w:r>
        <w:rPr>
          <w:rFonts w:ascii="Times New Roman" w:eastAsia="仿宋_GB2312" w:hAnsi="Times New Roman" w:cs="Times New Roman" w:hint="eastAsia"/>
          <w:sz w:val="32"/>
          <w:szCs w:val="32"/>
        </w:rPr>
        <w:t>北京市</w:t>
      </w:r>
      <w:r>
        <w:rPr>
          <w:rFonts w:ascii="Times New Roman" w:eastAsia="仿宋_GB2312" w:hAnsi="Times New Roman" w:cs="Times New Roman"/>
          <w:sz w:val="32"/>
          <w:szCs w:val="32"/>
        </w:rPr>
        <w:t>营利性文化艺术类校外培训机构培训课程预付费管理办法（试行）》（以下简称《办法》）</w:t>
      </w:r>
      <w:r>
        <w:rPr>
          <w:rFonts w:ascii="Times New Roman" w:eastAsia="仿宋_GB2312" w:hAnsi="Times New Roman" w:cs="Times New Roman" w:hint="eastAsia"/>
          <w:sz w:val="32"/>
          <w:szCs w:val="32"/>
        </w:rPr>
        <w:t>征求意见稿</w:t>
      </w:r>
      <w:r>
        <w:rPr>
          <w:rFonts w:ascii="仿宋_GB2312" w:eastAsia="仿宋_GB2312" w:hAnsi="方正小标宋简体" w:cs="方正小标宋简体" w:hint="eastAsia"/>
          <w:sz w:val="32"/>
          <w:szCs w:val="32"/>
        </w:rPr>
        <w:t>。</w:t>
      </w:r>
    </w:p>
    <w:p w14:paraId="1636DDE4" w14:textId="77777777" w:rsidR="007C3D28" w:rsidRDefault="00092F5E">
      <w:pPr>
        <w:spacing w:line="560" w:lineRule="exact"/>
        <w:ind w:firstLineChars="200" w:firstLine="640"/>
        <w:jc w:val="left"/>
        <w:rPr>
          <w:rFonts w:ascii="仿宋_GB2312" w:eastAsia="仿宋_GB2312" w:hAnsi="方正小标宋简体" w:cs="方正小标宋简体"/>
          <w:sz w:val="32"/>
          <w:szCs w:val="32"/>
        </w:rPr>
      </w:pPr>
      <w:r>
        <w:rPr>
          <w:rFonts w:ascii="仿宋_GB2312" w:eastAsia="仿宋_GB2312" w:hAnsi="方正小标宋简体" w:cs="方正小标宋简体" w:hint="eastAsia"/>
          <w:sz w:val="32"/>
          <w:szCs w:val="32"/>
        </w:rPr>
        <w:t>按照“加强规范、保障发展、行业引导、分类监管”以</w:t>
      </w:r>
      <w:r>
        <w:rPr>
          <w:rFonts w:ascii="仿宋_GB2312" w:eastAsia="仿宋_GB2312" w:hAnsi="方正小标宋简体" w:cs="方正小标宋简体" w:hint="eastAsia"/>
          <w:color w:val="000000" w:themeColor="text1"/>
          <w:sz w:val="32"/>
          <w:szCs w:val="32"/>
        </w:rPr>
        <w:t>及“谁审批、谁监管，谁主管，谁监管”</w:t>
      </w:r>
      <w:r>
        <w:rPr>
          <w:rFonts w:ascii="仿宋_GB2312" w:eastAsia="仿宋_GB2312" w:hAnsi="方正小标宋简体" w:cs="方正小标宋简体" w:hint="eastAsia"/>
          <w:sz w:val="32"/>
          <w:szCs w:val="32"/>
        </w:rPr>
        <w:t>的工作原则，建立健全文化艺术类培训机构预付费监管责任体系和工作机制，坚持规范和发展并重，落实政府部门监管责任，夯实企业主体责任，促进公平竞争，维护消费者的合法权益。</w:t>
      </w:r>
    </w:p>
    <w:p w14:paraId="51EB3996" w14:textId="77777777" w:rsidR="007C3D28" w:rsidRDefault="00092F5E">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lastRenderedPageBreak/>
        <w:t>二、起草过程</w:t>
      </w:r>
    </w:p>
    <w:p w14:paraId="480D0D74" w14:textId="77777777" w:rsidR="007C3D28" w:rsidRDefault="00092F5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自</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以来，通过实地调研和召开座谈会等多种形式，起草了《办法》征求意见初稿。自</w:t>
      </w: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月以来，经书面、调研、座谈等多种形式向相关委办局和各区文旅局以及部分文化艺术类培训机构相关企业、利害关系人进行了多轮征求意见，不断进行修改和完善。</w:t>
      </w:r>
    </w:p>
    <w:p w14:paraId="37C9EC70" w14:textId="77777777" w:rsidR="007C3D28" w:rsidRDefault="00092F5E">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三、《办法》主要内容</w:t>
      </w:r>
    </w:p>
    <w:p w14:paraId="58806199" w14:textId="770001AA" w:rsidR="007C3D28" w:rsidRDefault="00092F5E">
      <w:pPr>
        <w:spacing w:line="560" w:lineRule="exact"/>
        <w:ind w:firstLineChars="200" w:firstLine="640"/>
        <w:rPr>
          <w:rFonts w:ascii="Times New Roman" w:eastAsia="黑体" w:hAnsi="Times New Roman" w:cs="Times New Roman"/>
          <w:sz w:val="32"/>
          <w:szCs w:val="32"/>
        </w:rPr>
      </w:pPr>
      <w:r>
        <w:rPr>
          <w:rFonts w:ascii="Times New Roman" w:eastAsia="仿宋_GB2312" w:hAnsi="Times New Roman" w:cs="Times New Roman"/>
          <w:sz w:val="32"/>
          <w:szCs w:val="32"/>
        </w:rPr>
        <w:t>《办法》共</w:t>
      </w:r>
      <w:r>
        <w:rPr>
          <w:rFonts w:ascii="Times New Roman" w:eastAsia="仿宋_GB2312" w:hAnsi="Times New Roman" w:cs="Times New Roman" w:hint="eastAsia"/>
          <w:sz w:val="32"/>
          <w:szCs w:val="32"/>
        </w:rPr>
        <w:t>十六</w:t>
      </w:r>
      <w:r>
        <w:rPr>
          <w:rFonts w:ascii="Times New Roman" w:eastAsia="仿宋_GB2312" w:hAnsi="Times New Roman" w:cs="Times New Roman"/>
          <w:sz w:val="32"/>
          <w:szCs w:val="32"/>
        </w:rPr>
        <w:t>条</w:t>
      </w:r>
      <w:r>
        <w:rPr>
          <w:rFonts w:ascii="Times New Roman" w:eastAsia="仿宋_GB2312" w:hAnsi="Times New Roman" w:cs="Times New Roman" w:hint="eastAsia"/>
          <w:sz w:val="32"/>
          <w:szCs w:val="32"/>
        </w:rPr>
        <w:t>：</w:t>
      </w:r>
      <w:r>
        <w:rPr>
          <w:rFonts w:ascii="仿宋_GB2312" w:eastAsia="仿宋_GB2312" w:hint="eastAsia"/>
          <w:sz w:val="32"/>
          <w:szCs w:val="32"/>
        </w:rPr>
        <w:t>以加强</w:t>
      </w:r>
      <w:r>
        <w:rPr>
          <w:rFonts w:ascii="Times New Roman" w:eastAsia="仿宋_GB2312" w:hAnsi="Times New Roman" w:cs="Times New Roman"/>
          <w:sz w:val="32"/>
          <w:szCs w:val="32"/>
        </w:rPr>
        <w:t>文化艺术类培训机构</w:t>
      </w:r>
      <w:r>
        <w:rPr>
          <w:rFonts w:ascii="仿宋_GB2312" w:eastAsia="仿宋_GB2312" w:hint="eastAsia"/>
          <w:sz w:val="32"/>
          <w:szCs w:val="32"/>
        </w:rPr>
        <w:t>认定与管理为重点，以提高培训机构管理水平和服务质量、维护消费者合法权益、加强预付式管理为目标，强化市级统筹，落实属地责任。首先，阐述了《办法》的法律依据、</w:t>
      </w:r>
      <w:r>
        <w:rPr>
          <w:rFonts w:ascii="仿宋_GB2312" w:eastAsia="仿宋_GB2312" w:cs="仿宋_GB2312" w:hint="eastAsia"/>
          <w:sz w:val="32"/>
          <w:szCs w:val="32"/>
        </w:rPr>
        <w:t>工作原则、使用范围和管理实施主体。其次，明确了文化艺术类培训机构和消费者各自的权利与义务，明确要求文化艺术类培训机构开展相关业务时应使用《</w:t>
      </w:r>
      <w:bookmarkStart w:id="0" w:name="bookmark0"/>
      <w:r>
        <w:rPr>
          <w:rFonts w:ascii="仿宋_GB2312" w:eastAsia="仿宋_GB2312" w:cs="仿宋_GB2312"/>
          <w:sz w:val="32"/>
          <w:szCs w:val="32"/>
        </w:rPr>
        <w:t>北</w:t>
      </w:r>
      <w:bookmarkStart w:id="1" w:name="bookmark1"/>
      <w:bookmarkEnd w:id="0"/>
      <w:r>
        <w:rPr>
          <w:rFonts w:ascii="仿宋_GB2312" w:eastAsia="仿宋_GB2312" w:cs="仿宋_GB2312"/>
          <w:sz w:val="32"/>
          <w:szCs w:val="32"/>
        </w:rPr>
        <w:t>京</w:t>
      </w:r>
      <w:bookmarkStart w:id="2" w:name="bookmark2"/>
      <w:bookmarkEnd w:id="1"/>
      <w:r>
        <w:rPr>
          <w:rFonts w:ascii="仿宋_GB2312" w:eastAsia="仿宋_GB2312" w:cs="仿宋_GB2312"/>
          <w:sz w:val="32"/>
          <w:szCs w:val="32"/>
        </w:rPr>
        <w:t>市营利性文化艺术类校外培训服务</w:t>
      </w:r>
      <w:bookmarkEnd w:id="2"/>
      <w:r>
        <w:rPr>
          <w:rFonts w:ascii="仿宋_GB2312" w:eastAsia="仿宋_GB2312" w:cs="仿宋_GB2312"/>
          <w:sz w:val="32"/>
          <w:szCs w:val="32"/>
        </w:rPr>
        <w:t>合同（示范文本）</w:t>
      </w:r>
      <w:r>
        <w:rPr>
          <w:rFonts w:ascii="仿宋_GB2312" w:eastAsia="仿宋_GB2312" w:cs="仿宋_GB2312" w:hint="eastAsia"/>
          <w:sz w:val="32"/>
          <w:szCs w:val="32"/>
        </w:rPr>
        <w:t>（试行）</w:t>
      </w:r>
      <w:r>
        <w:rPr>
          <w:rFonts w:ascii="仿宋_GB2312" w:eastAsia="仿宋_GB2312" w:cs="仿宋_GB2312" w:hint="eastAsia"/>
          <w:sz w:val="32"/>
          <w:szCs w:val="32"/>
        </w:rPr>
        <w:t>（征求意见稿）</w:t>
      </w:r>
      <w:r w:rsidR="00556135">
        <w:rPr>
          <w:rFonts w:ascii="仿宋_GB2312" w:eastAsia="仿宋_GB2312" w:cs="仿宋_GB2312" w:hint="eastAsia"/>
          <w:sz w:val="32"/>
          <w:szCs w:val="32"/>
        </w:rPr>
        <w:t>》</w:t>
      </w:r>
      <w:r>
        <w:rPr>
          <w:rFonts w:ascii="仿宋_GB2312" w:eastAsia="仿宋_GB2312" w:cs="仿宋_GB2312" w:hint="eastAsia"/>
          <w:sz w:val="32"/>
          <w:szCs w:val="32"/>
        </w:rPr>
        <w:t>。三是细化收费方式。《办法》中规定</w:t>
      </w:r>
      <w:r>
        <w:rPr>
          <w:rFonts w:ascii="Times New Roman" w:eastAsia="仿宋_GB2312" w:hAnsi="Times New Roman" w:cs="Times New Roman"/>
          <w:sz w:val="32"/>
          <w:szCs w:val="32"/>
        </w:rPr>
        <w:t>文化艺术类培训机构不得早于新课开始前</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日收取培</w:t>
      </w:r>
      <w:r>
        <w:rPr>
          <w:rFonts w:ascii="Times New Roman" w:eastAsia="仿宋_GB2312" w:hAnsi="Times New Roman" w:cs="Times New Roman"/>
          <w:sz w:val="32"/>
          <w:szCs w:val="32"/>
        </w:rPr>
        <w:t>训费用，</w:t>
      </w:r>
      <w:r>
        <w:rPr>
          <w:rFonts w:ascii="Times New Roman" w:eastAsia="仿宋_GB2312" w:hAnsi="Times New Roman" w:cs="Times New Roman" w:hint="eastAsia"/>
          <w:sz w:val="32"/>
          <w:szCs w:val="32"/>
        </w:rPr>
        <w:t>不得一次性收取或变相收取超过</w:t>
      </w:r>
      <w:r>
        <w:rPr>
          <w:rFonts w:ascii="Times New Roman" w:eastAsia="仿宋_GB2312" w:hAnsi="Times New Roman" w:cs="Times New Roman" w:hint="eastAsia"/>
          <w:sz w:val="32"/>
          <w:szCs w:val="32"/>
        </w:rPr>
        <w:t>60</w:t>
      </w:r>
      <w:r>
        <w:rPr>
          <w:rFonts w:ascii="Times New Roman" w:eastAsia="仿宋_GB2312" w:hAnsi="Times New Roman" w:cs="Times New Roman" w:hint="eastAsia"/>
          <w:sz w:val="32"/>
          <w:szCs w:val="32"/>
        </w:rPr>
        <w:t>课时或时间跨度超过</w:t>
      </w:r>
      <w:r>
        <w:rPr>
          <w:rFonts w:ascii="Times New Roman" w:eastAsia="仿宋_GB2312" w:hAnsi="Times New Roman" w:cs="Times New Roman" w:hint="eastAsia"/>
          <w:sz w:val="32"/>
          <w:szCs w:val="32"/>
        </w:rPr>
        <w:t>90</w:t>
      </w:r>
      <w:r>
        <w:rPr>
          <w:rFonts w:ascii="Times New Roman" w:eastAsia="仿宋_GB2312" w:hAnsi="Times New Roman" w:cs="Times New Roman" w:hint="eastAsia"/>
          <w:sz w:val="32"/>
          <w:szCs w:val="32"/>
        </w:rPr>
        <w:t>日的费用。</w:t>
      </w:r>
      <w:r>
        <w:rPr>
          <w:rFonts w:ascii="仿宋" w:eastAsia="仿宋" w:hAnsi="仿宋" w:cs="仿宋" w:hint="eastAsia"/>
          <w:sz w:val="32"/>
          <w:szCs w:val="32"/>
        </w:rPr>
        <w:t>文化艺术类培训机构采取两种收费方式：一是“一次一结、一课一结”的即期交易收费方式。鼓励文化艺术类培训机构采用即期交易收费方式。二是通过存管银行预先存入培训费用的预付式收费方式，分别按“一周一结”、“课程进度完成</w:t>
      </w:r>
      <w:r>
        <w:rPr>
          <w:rFonts w:ascii="仿宋" w:eastAsia="仿宋" w:hAnsi="仿宋" w:cs="仿宋" w:hint="eastAsia"/>
          <w:sz w:val="32"/>
          <w:szCs w:val="32"/>
        </w:rPr>
        <w:t>40%</w:t>
      </w:r>
      <w:r>
        <w:rPr>
          <w:rFonts w:ascii="仿宋" w:eastAsia="仿宋" w:hAnsi="仿宋" w:cs="仿宋" w:hint="eastAsia"/>
          <w:sz w:val="32"/>
          <w:szCs w:val="32"/>
        </w:rPr>
        <w:t>首结”、“课程进度完成</w:t>
      </w:r>
      <w:r>
        <w:rPr>
          <w:rFonts w:ascii="仿宋" w:eastAsia="仿宋" w:hAnsi="仿宋" w:cs="仿宋" w:hint="eastAsia"/>
          <w:sz w:val="32"/>
          <w:szCs w:val="32"/>
        </w:rPr>
        <w:t>60%</w:t>
      </w:r>
      <w:r>
        <w:rPr>
          <w:rFonts w:ascii="仿宋" w:eastAsia="仿宋" w:hAnsi="仿宋" w:cs="仿宋" w:hint="eastAsia"/>
          <w:sz w:val="32"/>
          <w:szCs w:val="32"/>
        </w:rPr>
        <w:t>首结”三种拨付规则。</w:t>
      </w:r>
      <w:r>
        <w:rPr>
          <w:rFonts w:ascii="Times New Roman" w:eastAsia="仿宋_GB2312" w:hAnsi="Times New Roman" w:cs="Times New Roman" w:hint="eastAsia"/>
          <w:sz w:val="32"/>
          <w:szCs w:val="32"/>
        </w:rPr>
        <w:t>存管银行按培训机构</w:t>
      </w:r>
      <w:r>
        <w:rPr>
          <w:rFonts w:ascii="Times New Roman" w:eastAsia="仿宋_GB2312" w:hAnsi="Times New Roman" w:cs="Times New Roman" w:hint="eastAsia"/>
          <w:sz w:val="32"/>
          <w:szCs w:val="32"/>
        </w:rPr>
        <w:lastRenderedPageBreak/>
        <w:t>的资质、合规经营等情况以及相应的培训进度分期划转预付资金给培训机构，力争对预付费资金支出进行有效保障。</w:t>
      </w:r>
      <w:r>
        <w:rPr>
          <w:rFonts w:ascii="仿宋_GB2312" w:eastAsia="仿宋_GB2312" w:cs="仿宋_GB2312" w:hint="eastAsia"/>
          <w:sz w:val="32"/>
          <w:szCs w:val="32"/>
        </w:rPr>
        <w:t>最后，对数据安全、台账管理、投诉处理方式等内容进行规范。</w:t>
      </w:r>
    </w:p>
    <w:p w14:paraId="502D0D69" w14:textId="77777777" w:rsidR="007C3D28" w:rsidRDefault="00092F5E">
      <w:pPr>
        <w:pStyle w:val="a7"/>
        <w:shd w:val="clear" w:color="auto" w:fill="FFFFFF"/>
        <w:spacing w:line="560" w:lineRule="exact"/>
        <w:rPr>
          <w:rFonts w:ascii="Times New Roman" w:eastAsia="仿宋_GB2312" w:hAnsi="Times New Roman" w:cs="Times New Roman"/>
          <w:sz w:val="32"/>
          <w:szCs w:val="32"/>
        </w:rPr>
      </w:pPr>
      <w:r>
        <w:rPr>
          <w:rFonts w:ascii="Times New Roman" w:eastAsia="黑体" w:hAnsi="Times New Roman" w:cs="Times New Roman" w:hint="eastAsia"/>
          <w:sz w:val="32"/>
          <w:szCs w:val="32"/>
        </w:rPr>
        <w:t xml:space="preserve">    </w:t>
      </w:r>
      <w:r>
        <w:rPr>
          <w:rFonts w:ascii="Times New Roman" w:eastAsia="仿宋_GB2312" w:hAnsi="Times New Roman" w:cs="Times New Roman"/>
          <w:sz w:val="32"/>
          <w:szCs w:val="32"/>
        </w:rPr>
        <w:t>通过《办法》的出台，进一步规范文化艺术类培训机构收费方式，加强预付费资金监管。</w:t>
      </w:r>
    </w:p>
    <w:p w14:paraId="6B686563" w14:textId="77777777" w:rsidR="007C3D28" w:rsidRDefault="00092F5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p>
    <w:sectPr w:rsidR="007C3D28">
      <w:footerReference w:type="even" r:id="rId8"/>
      <w:footerReference w:type="default" r:id="rId9"/>
      <w:pgSz w:w="11906" w:h="16838"/>
      <w:pgMar w:top="2098" w:right="1474" w:bottom="1984" w:left="1587"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FA8DD" w14:textId="77777777" w:rsidR="00092F5E" w:rsidRDefault="00092F5E">
      <w:r>
        <w:separator/>
      </w:r>
    </w:p>
  </w:endnote>
  <w:endnote w:type="continuationSeparator" w:id="0">
    <w:p w14:paraId="1EEBDBAD" w14:textId="77777777" w:rsidR="00092F5E" w:rsidRDefault="00092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6A534" w14:textId="77777777" w:rsidR="007C3D28" w:rsidRDefault="00092F5E">
    <w:pPr>
      <w:pStyle w:val="a5"/>
      <w:rPr>
        <w:rFonts w:ascii="宋体" w:hAnsi="宋体"/>
        <w:sz w:val="24"/>
      </w:rPr>
    </w:pPr>
    <w:r>
      <w:rPr>
        <w:rFonts w:ascii="宋体" w:hAnsi="宋体"/>
        <w:sz w:val="24"/>
      </w:rPr>
      <w:fldChar w:fldCharType="begin"/>
    </w:r>
    <w:r>
      <w:rPr>
        <w:rFonts w:ascii="宋体" w:hAnsi="宋体"/>
        <w:sz w:val="24"/>
      </w:rPr>
      <w:instrText>PAGE   \* MERGEFORMAT</w:instrText>
    </w:r>
    <w:r>
      <w:rPr>
        <w:rFonts w:ascii="宋体" w:hAnsi="宋体"/>
        <w:sz w:val="24"/>
      </w:rPr>
      <w:fldChar w:fldCharType="separate"/>
    </w:r>
    <w:r>
      <w:t>- 2 -</w:t>
    </w:r>
    <w:r>
      <w:rPr>
        <w:rFonts w:ascii="宋体" w:hAnsi="宋体"/>
        <w:sz w:val="24"/>
      </w:rPr>
      <w:fldChar w:fldCharType="end"/>
    </w:r>
  </w:p>
  <w:p w14:paraId="659C6D91" w14:textId="77777777" w:rsidR="007C3D28" w:rsidRDefault="007C3D2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884B1" w14:textId="77777777" w:rsidR="007C3D28" w:rsidRDefault="00092F5E">
    <w:r>
      <w:rPr>
        <w:noProof/>
      </w:rPr>
      <mc:AlternateContent>
        <mc:Choice Requires="wps">
          <w:drawing>
            <wp:anchor distT="0" distB="0" distL="114300" distR="114300" simplePos="0" relativeHeight="251659264" behindDoc="0" locked="0" layoutInCell="1" allowOverlap="1" wp14:anchorId="1081F848" wp14:editId="651EAB6F">
              <wp:simplePos x="0" y="0"/>
              <wp:positionH relativeFrom="margin">
                <wp:align>center</wp:align>
              </wp:positionH>
              <wp:positionV relativeFrom="paragraph">
                <wp:posOffset>0</wp:posOffset>
              </wp:positionV>
              <wp:extent cx="1828800" cy="1828800"/>
              <wp:effectExtent l="0" t="0" r="0" b="0"/>
              <wp:wrapNone/>
              <wp:docPr id="1" name="Quad Arrow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64A3B3E3" w14:textId="77777777" w:rsidR="007C3D28" w:rsidRDefault="00092F5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- 1 -</w:t>
                          </w:r>
                          <w:r>
                            <w:rPr>
                              <w:rFonts w:hint="eastAsia"/>
                              <w:sz w:val="18"/>
                            </w:rPr>
                            <w:fldChar w:fldCharType="end"/>
                          </w:r>
                        </w:p>
                      </w:txbxContent>
                    </wps:txbx>
                    <wps:bodyPr wrap="none" lIns="0" tIns="0" rIns="0" bIns="0" upright="1">
                      <a:spAutoFit/>
                    </wps:bodyPr>
                  </wps:wsp>
                </a:graphicData>
              </a:graphic>
            </wp:anchor>
          </w:drawing>
        </mc:Choice>
        <mc:Fallback>
          <w:pict>
            <v:shapetype w14:anchorId="1081F848" id="_x0000_t202" coordsize="21600,21600" o:spt="202" path="m,l,21600r21600,l21600,xe">
              <v:stroke joinstyle="miter"/>
              <v:path gradientshapeok="t" o:connecttype="rect"/>
            </v:shapetype>
            <v:shape id="Quad Arrow 1025"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" filled="f" stroked="f">
              <v:textbox style="mso-fit-shape-to-text:t" inset="0,0,0,0">
                <w:txbxContent>
                  <w:p w14:paraId="64A3B3E3" w14:textId="77777777" w:rsidR="007C3D28" w:rsidRDefault="00092F5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- 1 -</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CFBF8" w14:textId="77777777" w:rsidR="00092F5E" w:rsidRDefault="00092F5E">
      <w:r>
        <w:separator/>
      </w:r>
    </w:p>
  </w:footnote>
  <w:footnote w:type="continuationSeparator" w:id="0">
    <w:p w14:paraId="5792D3CB" w14:textId="77777777" w:rsidR="00092F5E" w:rsidRDefault="00092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6F552E"/>
    <w:multiLevelType w:val="singleLevel"/>
    <w:tmpl w:val="AF6F552E"/>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EFFBD904"/>
    <w:rsid w:val="CF2B2D0D"/>
    <w:rsid w:val="D7A713D2"/>
    <w:rsid w:val="DBBBAEE2"/>
    <w:rsid w:val="DE3782EC"/>
    <w:rsid w:val="DED763D4"/>
    <w:rsid w:val="DF57FDAB"/>
    <w:rsid w:val="DFF6C4DC"/>
    <w:rsid w:val="E3E873C0"/>
    <w:rsid w:val="E7775FA8"/>
    <w:rsid w:val="E7F95FFD"/>
    <w:rsid w:val="ED15673C"/>
    <w:rsid w:val="EEF94502"/>
    <w:rsid w:val="EFFBD904"/>
    <w:rsid w:val="F09BEDED"/>
    <w:rsid w:val="F1FFC4B4"/>
    <w:rsid w:val="F6EF6DBC"/>
    <w:rsid w:val="F775A764"/>
    <w:rsid w:val="F7AFFD06"/>
    <w:rsid w:val="F7B87B28"/>
    <w:rsid w:val="F7B8CAF4"/>
    <w:rsid w:val="F7EBA665"/>
    <w:rsid w:val="F7F6C8C4"/>
    <w:rsid w:val="F7FCF3FC"/>
    <w:rsid w:val="F8B7EABA"/>
    <w:rsid w:val="F9BEAF14"/>
    <w:rsid w:val="FB8BB3EB"/>
    <w:rsid w:val="FCF3679C"/>
    <w:rsid w:val="FCFF123D"/>
    <w:rsid w:val="FDEF66E3"/>
    <w:rsid w:val="FDEFAC8A"/>
    <w:rsid w:val="FDFA3A9E"/>
    <w:rsid w:val="FEB97643"/>
    <w:rsid w:val="FEDBD3A8"/>
    <w:rsid w:val="FEEF6A73"/>
    <w:rsid w:val="FF553D47"/>
    <w:rsid w:val="FF7F1646"/>
    <w:rsid w:val="FFB656B3"/>
    <w:rsid w:val="FFDF986B"/>
    <w:rsid w:val="FFEECFF9"/>
    <w:rsid w:val="FFF420F6"/>
    <w:rsid w:val="FFFAD9F7"/>
    <w:rsid w:val="FFFB5649"/>
    <w:rsid w:val="FFFF9971"/>
    <w:rsid w:val="0001492C"/>
    <w:rsid w:val="0003559A"/>
    <w:rsid w:val="00084C77"/>
    <w:rsid w:val="00092F5E"/>
    <w:rsid w:val="000A3EFA"/>
    <w:rsid w:val="000B21CE"/>
    <w:rsid w:val="00156BC1"/>
    <w:rsid w:val="00167C05"/>
    <w:rsid w:val="001764E4"/>
    <w:rsid w:val="00204D4F"/>
    <w:rsid w:val="0024770E"/>
    <w:rsid w:val="0027662D"/>
    <w:rsid w:val="003166D6"/>
    <w:rsid w:val="003270A2"/>
    <w:rsid w:val="00393873"/>
    <w:rsid w:val="003C09FC"/>
    <w:rsid w:val="003E0789"/>
    <w:rsid w:val="00437352"/>
    <w:rsid w:val="00474EC6"/>
    <w:rsid w:val="004E4033"/>
    <w:rsid w:val="004E63D7"/>
    <w:rsid w:val="00556135"/>
    <w:rsid w:val="00560509"/>
    <w:rsid w:val="005761C3"/>
    <w:rsid w:val="00583693"/>
    <w:rsid w:val="005A46D8"/>
    <w:rsid w:val="005C35B8"/>
    <w:rsid w:val="00787631"/>
    <w:rsid w:val="007C3D28"/>
    <w:rsid w:val="00A43A99"/>
    <w:rsid w:val="00A62470"/>
    <w:rsid w:val="00B35A3B"/>
    <w:rsid w:val="00B3660B"/>
    <w:rsid w:val="00B63CAE"/>
    <w:rsid w:val="00B83401"/>
    <w:rsid w:val="00C974B6"/>
    <w:rsid w:val="00CC555D"/>
    <w:rsid w:val="00CD439B"/>
    <w:rsid w:val="00CF03DC"/>
    <w:rsid w:val="00D6131B"/>
    <w:rsid w:val="00D715A4"/>
    <w:rsid w:val="00EA40CC"/>
    <w:rsid w:val="00F340A8"/>
    <w:rsid w:val="00FB462E"/>
    <w:rsid w:val="06832BC0"/>
    <w:rsid w:val="0A3357A0"/>
    <w:rsid w:val="0A971D70"/>
    <w:rsid w:val="0B526C20"/>
    <w:rsid w:val="0BA431A7"/>
    <w:rsid w:val="0C5F5CE6"/>
    <w:rsid w:val="0C9626E1"/>
    <w:rsid w:val="0CE73182"/>
    <w:rsid w:val="0D956B1C"/>
    <w:rsid w:val="0D9F0675"/>
    <w:rsid w:val="0E575C13"/>
    <w:rsid w:val="13366C88"/>
    <w:rsid w:val="13655ADE"/>
    <w:rsid w:val="136A4CE7"/>
    <w:rsid w:val="13EB3A14"/>
    <w:rsid w:val="13F371C9"/>
    <w:rsid w:val="1439793E"/>
    <w:rsid w:val="15512989"/>
    <w:rsid w:val="15D05455"/>
    <w:rsid w:val="17DFBE58"/>
    <w:rsid w:val="18006EE4"/>
    <w:rsid w:val="195EC3EF"/>
    <w:rsid w:val="198F17CC"/>
    <w:rsid w:val="1B1E3089"/>
    <w:rsid w:val="1B5622E9"/>
    <w:rsid w:val="1D500088"/>
    <w:rsid w:val="1D7E554C"/>
    <w:rsid w:val="1DB37BCA"/>
    <w:rsid w:val="1DF53FD0"/>
    <w:rsid w:val="1F7B3D3E"/>
    <w:rsid w:val="1FFF25FF"/>
    <w:rsid w:val="25525FC7"/>
    <w:rsid w:val="27976201"/>
    <w:rsid w:val="2B48662A"/>
    <w:rsid w:val="2D3042B4"/>
    <w:rsid w:val="2D450D76"/>
    <w:rsid w:val="3092226F"/>
    <w:rsid w:val="32265804"/>
    <w:rsid w:val="322814D9"/>
    <w:rsid w:val="334409AC"/>
    <w:rsid w:val="353F45F5"/>
    <w:rsid w:val="35453974"/>
    <w:rsid w:val="35FFDA4F"/>
    <w:rsid w:val="36ED399D"/>
    <w:rsid w:val="376B32F9"/>
    <w:rsid w:val="37EF4288"/>
    <w:rsid w:val="381D531B"/>
    <w:rsid w:val="39EA50E1"/>
    <w:rsid w:val="3DBA7B0D"/>
    <w:rsid w:val="3DBF29D9"/>
    <w:rsid w:val="3F2B368E"/>
    <w:rsid w:val="3F76DBB0"/>
    <w:rsid w:val="3FF90105"/>
    <w:rsid w:val="3FF9DEF0"/>
    <w:rsid w:val="3FFFB534"/>
    <w:rsid w:val="3FFFB89D"/>
    <w:rsid w:val="41F629EB"/>
    <w:rsid w:val="42F75FBB"/>
    <w:rsid w:val="435A3F8F"/>
    <w:rsid w:val="465429F3"/>
    <w:rsid w:val="476E2A08"/>
    <w:rsid w:val="47E51E85"/>
    <w:rsid w:val="48E155A0"/>
    <w:rsid w:val="49ED225A"/>
    <w:rsid w:val="4B5E372E"/>
    <w:rsid w:val="4CA1135F"/>
    <w:rsid w:val="4FDFD32F"/>
    <w:rsid w:val="501320EF"/>
    <w:rsid w:val="50BB5D80"/>
    <w:rsid w:val="51C21029"/>
    <w:rsid w:val="52643DB4"/>
    <w:rsid w:val="532D2E31"/>
    <w:rsid w:val="53EB7771"/>
    <w:rsid w:val="54021060"/>
    <w:rsid w:val="54BD5016"/>
    <w:rsid w:val="552374A8"/>
    <w:rsid w:val="553A7E63"/>
    <w:rsid w:val="557FD508"/>
    <w:rsid w:val="557FE525"/>
    <w:rsid w:val="55F11B90"/>
    <w:rsid w:val="55FEF3BE"/>
    <w:rsid w:val="572A5477"/>
    <w:rsid w:val="57B024C0"/>
    <w:rsid w:val="59540F1D"/>
    <w:rsid w:val="5A2665A9"/>
    <w:rsid w:val="5A47502D"/>
    <w:rsid w:val="5BB2427F"/>
    <w:rsid w:val="5BDC39B8"/>
    <w:rsid w:val="5BFB20F5"/>
    <w:rsid w:val="5CE91D7D"/>
    <w:rsid w:val="5DAA43BA"/>
    <w:rsid w:val="5DF631B4"/>
    <w:rsid w:val="5EDC5A30"/>
    <w:rsid w:val="5EEF5FF6"/>
    <w:rsid w:val="5EF828AE"/>
    <w:rsid w:val="5F041EB7"/>
    <w:rsid w:val="5F3F4450"/>
    <w:rsid w:val="5F778152"/>
    <w:rsid w:val="612E16FD"/>
    <w:rsid w:val="623D1F72"/>
    <w:rsid w:val="651435E1"/>
    <w:rsid w:val="65330C1E"/>
    <w:rsid w:val="65DE37BC"/>
    <w:rsid w:val="6675FBB1"/>
    <w:rsid w:val="66C6252B"/>
    <w:rsid w:val="686C45DD"/>
    <w:rsid w:val="68866E71"/>
    <w:rsid w:val="69D50EED"/>
    <w:rsid w:val="6ABD6302"/>
    <w:rsid w:val="6BF33F2A"/>
    <w:rsid w:val="6C7531FE"/>
    <w:rsid w:val="6D44488F"/>
    <w:rsid w:val="6E2C4ACE"/>
    <w:rsid w:val="6E3B0E7C"/>
    <w:rsid w:val="6F5F0440"/>
    <w:rsid w:val="6F7F9840"/>
    <w:rsid w:val="6FF6AFED"/>
    <w:rsid w:val="6FFD95C5"/>
    <w:rsid w:val="71321543"/>
    <w:rsid w:val="71AC43AA"/>
    <w:rsid w:val="723A1D75"/>
    <w:rsid w:val="729A7075"/>
    <w:rsid w:val="72DC3AFD"/>
    <w:rsid w:val="73ED4CB2"/>
    <w:rsid w:val="73F9C524"/>
    <w:rsid w:val="7583B98E"/>
    <w:rsid w:val="75BFD923"/>
    <w:rsid w:val="76FF8827"/>
    <w:rsid w:val="773F2266"/>
    <w:rsid w:val="77AC6C64"/>
    <w:rsid w:val="77AF3595"/>
    <w:rsid w:val="77DF59FE"/>
    <w:rsid w:val="77ECFD4F"/>
    <w:rsid w:val="78A44C7D"/>
    <w:rsid w:val="7923774A"/>
    <w:rsid w:val="793778AF"/>
    <w:rsid w:val="79B24ED7"/>
    <w:rsid w:val="7B0B2E6E"/>
    <w:rsid w:val="7B7705F1"/>
    <w:rsid w:val="7B9FEB95"/>
    <w:rsid w:val="7D291B63"/>
    <w:rsid w:val="7DB55F2C"/>
    <w:rsid w:val="7DB95FE9"/>
    <w:rsid w:val="7DDBC012"/>
    <w:rsid w:val="7DFF4103"/>
    <w:rsid w:val="7E316D6F"/>
    <w:rsid w:val="7E35F6B0"/>
    <w:rsid w:val="7EFA432C"/>
    <w:rsid w:val="7EFDCDF5"/>
    <w:rsid w:val="7F5E93BD"/>
    <w:rsid w:val="7FD7ECEB"/>
    <w:rsid w:val="7FEB05C1"/>
    <w:rsid w:val="7FF744EF"/>
    <w:rsid w:val="7FFCFF47"/>
    <w:rsid w:val="7FFEEE1F"/>
    <w:rsid w:val="7FFF2B2D"/>
    <w:rsid w:val="837A8FE8"/>
    <w:rsid w:val="996DCDC2"/>
    <w:rsid w:val="9BDE27E9"/>
    <w:rsid w:val="9EF5B43C"/>
    <w:rsid w:val="9FF36EFB"/>
    <w:rsid w:val="9FF6D0CA"/>
    <w:rsid w:val="ADF71DD9"/>
    <w:rsid w:val="B4FCEC87"/>
    <w:rsid w:val="B9FB8887"/>
    <w:rsid w:val="BA7B23C6"/>
    <w:rsid w:val="BADDEAFE"/>
    <w:rsid w:val="BB37896C"/>
    <w:rsid w:val="BEF7DD85"/>
    <w:rsid w:val="BFEF5E5C"/>
    <w:rsid w:val="BFFA4778"/>
    <w:rsid w:val="C7E64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C61A1"/>
  <w15:docId w15:val="{EB3B9030-D9E5-4ED8-A0A1-78A7E9A9E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PlainText"/>
    <w:qFormat/>
    <w:pPr>
      <w:widowControl w:val="0"/>
      <w:jc w:val="both"/>
    </w:pPr>
    <w:rPr>
      <w:rFonts w:ascii="Calibri" w:hAnsi="Calibri" w:cs="黑体"/>
      <w:kern w:val="2"/>
      <w:sz w:val="21"/>
      <w:szCs w:val="22"/>
    </w:rPr>
  </w:style>
  <w:style w:type="paragraph" w:styleId="3">
    <w:name w:val="heading 3"/>
    <w:basedOn w:val="a"/>
    <w:next w:val="a"/>
    <w:unhideWhenUsed/>
    <w:qFormat/>
    <w:pPr>
      <w:spacing w:beforeAutospacing="1" w:afterAutospacing="1"/>
      <w:jc w:val="left"/>
      <w:outlineLvl w:val="2"/>
    </w:pPr>
    <w:rPr>
      <w:rFonts w:ascii="宋体" w:hAnsi="宋体" w:cs="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lainText">
    <w:name w:val="PlainText"/>
    <w:basedOn w:val="a"/>
    <w:next w:val="a"/>
    <w:qFormat/>
    <w:rPr>
      <w:rFonts w:ascii="宋体" w:hAnsi="宋体"/>
      <w:color w:val="000000"/>
      <w:szCs w:val="21"/>
    </w:rPr>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jc w:val="left"/>
    </w:pPr>
    <w:rPr>
      <w:kern w:val="0"/>
      <w:sz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Pr>
      <w:b/>
    </w:rPr>
  </w:style>
  <w:style w:type="paragraph" w:customStyle="1" w:styleId="Heading31">
    <w:name w:val="Heading #3|1"/>
    <w:basedOn w:val="a"/>
    <w:qFormat/>
    <w:pPr>
      <w:spacing w:after="860"/>
      <w:jc w:val="center"/>
      <w:outlineLvl w:val="2"/>
    </w:pPr>
    <w:rPr>
      <w:rFonts w:ascii="宋体" w:hAnsi="宋体" w:cs="宋体"/>
      <w:sz w:val="34"/>
      <w:szCs w:val="34"/>
      <w:lang w:val="zh-TW" w:eastAsia="zh-TW" w:bidi="zh-TW"/>
    </w:rPr>
  </w:style>
  <w:style w:type="paragraph" w:customStyle="1" w:styleId="1">
    <w:name w:val="列表段落1"/>
    <w:basedOn w:val="a"/>
    <w:uiPriority w:val="34"/>
    <w:qFormat/>
    <w:pPr>
      <w:ind w:firstLineChars="200" w:firstLine="420"/>
    </w:pPr>
  </w:style>
  <w:style w:type="paragraph" w:customStyle="1" w:styleId="Heading11">
    <w:name w:val="Heading #1|1"/>
    <w:basedOn w:val="a"/>
    <w:qFormat/>
    <w:pPr>
      <w:spacing w:after="260"/>
      <w:ind w:firstLine="660"/>
      <w:outlineLvl w:val="0"/>
    </w:pPr>
    <w:rPr>
      <w:rFonts w:ascii="宋体" w:hAnsi="宋体" w:cs="宋体"/>
      <w:sz w:val="46"/>
      <w:szCs w:val="46"/>
      <w:lang w:val="zh-TW" w:eastAsia="zh-TW" w:bidi="zh-TW"/>
    </w:rPr>
  </w:style>
  <w:style w:type="paragraph" w:customStyle="1" w:styleId="10">
    <w:name w:val="无间隔1"/>
    <w:uiPriority w:val="99"/>
    <w:qFormat/>
    <w:pPr>
      <w:widowControl w:val="0"/>
      <w:jc w:val="both"/>
    </w:pPr>
    <w:rPr>
      <w:rFonts w:ascii="等线" w:eastAsia="等线" w:hAnsi="等线" w:cs="等线"/>
      <w:kern w:val="2"/>
      <w:sz w:val="21"/>
      <w:szCs w:val="21"/>
    </w:rPr>
  </w:style>
  <w:style w:type="character" w:customStyle="1" w:styleId="a4">
    <w:name w:val="批注框文本 字符"/>
    <w:basedOn w:val="a0"/>
    <w:link w:val="a3"/>
    <w:qFormat/>
    <w:rPr>
      <w:rFonts w:ascii="Calibri"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关于《北京市旅游市场黑名单管理办法（试行）》</dc:title>
  <dc:creator>liaoweiyong</dc:creator>
  <cp:lastModifiedBy>张 强</cp:lastModifiedBy>
  <cp:revision>6</cp:revision>
  <cp:lastPrinted>2021-12-08T13:00:00Z</cp:lastPrinted>
  <dcterms:created xsi:type="dcterms:W3CDTF">2022-05-11T16:21:00Z</dcterms:created>
  <dcterms:modified xsi:type="dcterms:W3CDTF">2025-06-09T12:48:00Z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9B6189AECF15405ABD1326B837264E9D</vt:lpwstr>
  </property>
</Properties>
</file>