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06" w:rsidRPr="00721251" w:rsidRDefault="00ED7506" w:rsidP="00FA518F">
      <w:pPr>
        <w:pStyle w:val="1"/>
        <w:spacing w:before="156" w:after="156"/>
      </w:pPr>
      <w:bookmarkStart w:id="0" w:name="_Toc88944519"/>
      <w:r w:rsidRPr="00721251">
        <w:rPr>
          <w:rFonts w:hint="eastAsia"/>
        </w:rPr>
        <w:t>《文化场馆能源消耗限额》标准修订情况</w:t>
      </w:r>
      <w:r w:rsidR="00FA518F">
        <w:rPr>
          <w:rFonts w:hint="eastAsia"/>
        </w:rPr>
        <w:t xml:space="preserve"> </w:t>
      </w:r>
      <w:r w:rsidRPr="00721251">
        <w:rPr>
          <w:rFonts w:hint="eastAsia"/>
        </w:rPr>
        <w:t>说明</w:t>
      </w:r>
    </w:p>
    <w:p w:rsidR="00672B45" w:rsidRPr="007575A3" w:rsidRDefault="00ED7506" w:rsidP="00ED7506">
      <w:pPr>
        <w:pStyle w:val="3"/>
        <w:ind w:firstLine="643"/>
      </w:pPr>
      <w:r>
        <w:rPr>
          <w:rFonts w:hint="eastAsia"/>
        </w:rPr>
        <w:t>一</w:t>
      </w:r>
      <w:r w:rsidR="00672B45" w:rsidRPr="007575A3">
        <w:t>、修订</w:t>
      </w:r>
      <w:bookmarkEnd w:id="0"/>
      <w:r w:rsidR="00242B0B">
        <w:rPr>
          <w:rFonts w:hint="eastAsia"/>
        </w:rPr>
        <w:t>背景</w:t>
      </w:r>
    </w:p>
    <w:p w:rsidR="00672B45" w:rsidRPr="007575A3" w:rsidRDefault="00672B45" w:rsidP="003F6409">
      <w:pPr>
        <w:ind w:firstLine="560"/>
        <w:rPr>
          <w:lang w:val="en-GB"/>
        </w:rPr>
      </w:pPr>
      <w:r w:rsidRPr="007575A3">
        <w:rPr>
          <w:rFonts w:hint="eastAsia"/>
          <w:lang w:val="en-GB"/>
        </w:rPr>
        <w:t>目前，北京市文化场馆建设保持着快速发展的态势，文化场馆的建设在丰富人</w:t>
      </w:r>
      <w:r w:rsidR="0048590A">
        <w:rPr>
          <w:rFonts w:hint="eastAsia"/>
          <w:lang w:val="en-GB"/>
        </w:rPr>
        <w:t>民精神文化生活、普及全民科学文化知识、促进社会全面发展的进程中</w:t>
      </w:r>
      <w:r w:rsidRPr="007575A3">
        <w:rPr>
          <w:rFonts w:hint="eastAsia"/>
          <w:lang w:val="en-GB"/>
        </w:rPr>
        <w:t>发挥着日益重要的作用。随着各项政策的出台，文化场馆能耗管理面临更多的新要求。国管局制定印发了《公共机构能耗定额标准编制和应用指南（试行）》（国管办发</w:t>
      </w:r>
      <w:r w:rsidRPr="007575A3">
        <w:rPr>
          <w:rFonts w:hint="eastAsia"/>
          <w:lang w:val="en-GB"/>
        </w:rPr>
        <w:t>[2019]5</w:t>
      </w:r>
      <w:r w:rsidRPr="007575A3">
        <w:rPr>
          <w:rFonts w:hint="eastAsia"/>
          <w:lang w:val="en-GB"/>
        </w:rPr>
        <w:t>号）</w:t>
      </w:r>
      <w:r w:rsidR="007B20DC">
        <w:rPr>
          <w:rFonts w:hint="eastAsia"/>
          <w:lang w:val="en-GB"/>
        </w:rPr>
        <w:t>，</w:t>
      </w:r>
      <w:r w:rsidRPr="007575A3">
        <w:rPr>
          <w:rFonts w:hint="eastAsia"/>
          <w:lang w:val="en-GB"/>
        </w:rPr>
        <w:t>要求各地区要高度重视公共机构能耗定额标准编制工作，深入调查分析本地区</w:t>
      </w:r>
      <w:r w:rsidR="00242B0B">
        <w:rPr>
          <w:rFonts w:hint="eastAsia"/>
          <w:lang w:val="en-GB"/>
        </w:rPr>
        <w:t>场馆机构</w:t>
      </w:r>
      <w:r w:rsidRPr="007575A3">
        <w:rPr>
          <w:rFonts w:hint="eastAsia"/>
          <w:lang w:val="en-GB"/>
        </w:rPr>
        <w:t>能源资源消费特点。北京市地方标准《文化场馆能源消耗限额》（</w:t>
      </w:r>
      <w:r w:rsidRPr="007575A3">
        <w:rPr>
          <w:rFonts w:hint="eastAsia"/>
          <w:lang w:val="en-GB"/>
        </w:rPr>
        <w:t>DB11/T 1268-2015</w:t>
      </w:r>
      <w:r w:rsidRPr="007575A3">
        <w:rPr>
          <w:rFonts w:hint="eastAsia"/>
          <w:lang w:val="en-GB"/>
        </w:rPr>
        <w:t>）</w:t>
      </w:r>
      <w:r w:rsidR="003F6409" w:rsidRPr="003F6409">
        <w:rPr>
          <w:rFonts w:hint="eastAsia"/>
          <w:lang w:val="en-GB"/>
        </w:rPr>
        <w:t>对于文化场馆合理使用能源、控制能源消耗起到</w:t>
      </w:r>
      <w:r w:rsidR="003F6409">
        <w:rPr>
          <w:rFonts w:hint="eastAsia"/>
          <w:lang w:val="en-GB"/>
        </w:rPr>
        <w:t>了</w:t>
      </w:r>
      <w:r w:rsidR="003F6409" w:rsidRPr="003F6409">
        <w:rPr>
          <w:rFonts w:hint="eastAsia"/>
          <w:lang w:val="en-GB"/>
        </w:rPr>
        <w:t>积极作用</w:t>
      </w:r>
      <w:r w:rsidR="003F6409">
        <w:rPr>
          <w:rFonts w:hint="eastAsia"/>
          <w:lang w:val="en-GB"/>
        </w:rPr>
        <w:t>。鉴于原标准</w:t>
      </w:r>
      <w:r w:rsidRPr="007575A3">
        <w:rPr>
          <w:rFonts w:hint="eastAsia"/>
          <w:lang w:val="en-GB"/>
        </w:rPr>
        <w:t>已</w:t>
      </w:r>
      <w:r w:rsidR="003F6409">
        <w:rPr>
          <w:rFonts w:hint="eastAsia"/>
          <w:lang w:val="en-GB"/>
        </w:rPr>
        <w:t>执行多年</w:t>
      </w:r>
      <w:r w:rsidRPr="007575A3">
        <w:rPr>
          <w:rFonts w:hint="eastAsia"/>
          <w:lang w:val="en-GB"/>
        </w:rPr>
        <w:t>，不能适应“十四五”节能减碳工作的新形势、新要求，强化标准引领作用，因此，</w:t>
      </w:r>
      <w:r w:rsidR="003F6409" w:rsidRPr="003F6409">
        <w:rPr>
          <w:rFonts w:hint="eastAsia"/>
          <w:lang w:val="en-GB"/>
        </w:rPr>
        <w:t>按照市市场监管局标准化修订的工作要求，对该标准进行修订</w:t>
      </w:r>
      <w:r w:rsidRPr="007575A3">
        <w:rPr>
          <w:rFonts w:hint="eastAsia"/>
          <w:lang w:val="en-GB"/>
        </w:rPr>
        <w:t>。</w:t>
      </w:r>
      <w:bookmarkStart w:id="1" w:name="_GoBack"/>
      <w:bookmarkEnd w:id="1"/>
    </w:p>
    <w:p w:rsidR="00672B45" w:rsidRPr="007575A3" w:rsidRDefault="00ED7506" w:rsidP="00ED7506">
      <w:pPr>
        <w:pStyle w:val="3"/>
        <w:ind w:firstLine="643"/>
      </w:pPr>
      <w:bookmarkStart w:id="2" w:name="_Toc88944520"/>
      <w:r>
        <w:rPr>
          <w:rFonts w:hint="eastAsia"/>
        </w:rPr>
        <w:t>二</w:t>
      </w:r>
      <w:r w:rsidR="00672B45" w:rsidRPr="007575A3">
        <w:t>、</w:t>
      </w:r>
      <w:bookmarkEnd w:id="2"/>
      <w:r w:rsidR="00FC4944">
        <w:rPr>
          <w:rFonts w:hint="eastAsia"/>
        </w:rPr>
        <w:t>修订内容</w:t>
      </w:r>
    </w:p>
    <w:p w:rsidR="00672B45" w:rsidRPr="00D8591D" w:rsidRDefault="00672B45" w:rsidP="00672B45">
      <w:pPr>
        <w:ind w:firstLine="560"/>
      </w:pPr>
      <w:r w:rsidRPr="007575A3">
        <w:rPr>
          <w:rFonts w:hint="eastAsia"/>
        </w:rPr>
        <w:t>相比于</w:t>
      </w:r>
      <w:r w:rsidR="00FC4944">
        <w:rPr>
          <w:rFonts w:hint="eastAsia"/>
        </w:rPr>
        <w:t>原</w:t>
      </w:r>
      <w:r>
        <w:rPr>
          <w:rFonts w:hint="eastAsia"/>
        </w:rPr>
        <w:t>标准</w:t>
      </w:r>
      <w:r w:rsidRPr="007575A3">
        <w:t>，</w:t>
      </w:r>
      <w:r>
        <w:t>修订</w:t>
      </w:r>
      <w:r w:rsidRPr="007575A3">
        <w:rPr>
          <w:rFonts w:hint="eastAsia"/>
        </w:rPr>
        <w:t>标准</w:t>
      </w:r>
      <w:r>
        <w:rPr>
          <w:rFonts w:hint="eastAsia"/>
        </w:rPr>
        <w:t>的</w:t>
      </w:r>
      <w:r w:rsidRPr="007575A3">
        <w:rPr>
          <w:rFonts w:hint="eastAsia"/>
        </w:rPr>
        <w:t>征求意见稿变化汇总</w:t>
      </w:r>
      <w:r w:rsidRPr="007575A3">
        <w:t>如下：</w:t>
      </w:r>
    </w:p>
    <w:p w:rsidR="00672B45" w:rsidRPr="007575A3" w:rsidRDefault="00672B45" w:rsidP="00672B45">
      <w:pPr>
        <w:pStyle w:val="a7"/>
        <w:ind w:firstLine="482"/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7575A3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表</w:t>
      </w:r>
      <w:r w:rsidR="00283F3C" w:rsidRPr="007575A3">
        <w:rPr>
          <w:rFonts w:ascii="Times New Roman" w:eastAsia="仿宋_GB2312" w:hAnsi="Times New Roman" w:cs="Times New Roman"/>
          <w:b/>
          <w:bCs/>
          <w:sz w:val="24"/>
          <w:szCs w:val="24"/>
        </w:rPr>
        <w:fldChar w:fldCharType="begin"/>
      </w:r>
      <w:r w:rsidRPr="007575A3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instrText xml:space="preserve">SEQ </w:instrText>
      </w:r>
      <w:r w:rsidRPr="007575A3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instrText>表</w:instrText>
      </w:r>
      <w:r w:rsidRPr="007575A3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instrText xml:space="preserve"> \* ARABIC</w:instrText>
      </w:r>
      <w:r w:rsidR="00283F3C" w:rsidRPr="007575A3">
        <w:rPr>
          <w:rFonts w:ascii="Times New Roman" w:eastAsia="仿宋_GB2312" w:hAnsi="Times New Roman" w:cs="Times New Roman"/>
          <w:b/>
          <w:bCs/>
          <w:sz w:val="24"/>
          <w:szCs w:val="24"/>
        </w:rPr>
        <w:fldChar w:fldCharType="separate"/>
      </w:r>
      <w:r w:rsidRPr="007575A3">
        <w:rPr>
          <w:rFonts w:ascii="Times New Roman" w:eastAsia="仿宋_GB2312" w:hAnsi="Times New Roman" w:cs="Times New Roman"/>
          <w:b/>
          <w:bCs/>
          <w:sz w:val="24"/>
          <w:szCs w:val="24"/>
        </w:rPr>
        <w:t>1</w:t>
      </w:r>
      <w:r w:rsidR="00283F3C" w:rsidRPr="007575A3">
        <w:rPr>
          <w:rFonts w:ascii="Times New Roman" w:eastAsia="仿宋_GB2312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修订标准</w:t>
      </w:r>
      <w:r w:rsidRPr="007575A3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相比</w:t>
      </w:r>
      <w:r w:rsidR="00FC4944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原标准</w:t>
      </w:r>
      <w:r w:rsidRPr="007575A3">
        <w:rPr>
          <w:rFonts w:ascii="Times New Roman" w:eastAsia="仿宋_GB2312" w:hAnsi="Times New Roman" w:cs="Times New Roman"/>
          <w:b/>
          <w:bCs/>
          <w:sz w:val="24"/>
          <w:szCs w:val="24"/>
        </w:rPr>
        <w:t>变化汇总</w:t>
      </w:r>
      <w:r w:rsidR="00FC4944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862"/>
      </w:tblGrid>
      <w:tr w:rsidR="00672B45" w:rsidRPr="007575A3" w:rsidTr="00C377F3">
        <w:trPr>
          <w:tblHeader/>
          <w:jc w:val="center"/>
        </w:trPr>
        <w:tc>
          <w:tcPr>
            <w:tcW w:w="2660" w:type="dxa"/>
            <w:shd w:val="clear" w:color="auto" w:fill="auto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jc w:val="center"/>
              <w:rPr>
                <w:rFonts w:ascii="Times New Roman" w:eastAsia="仿宋_GB2312"/>
                <w:b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b/>
                <w:sz w:val="24"/>
                <w:szCs w:val="24"/>
                <w:lang w:val="en-GB"/>
              </w:rPr>
              <w:t>章</w:t>
            </w:r>
          </w:p>
        </w:tc>
        <w:tc>
          <w:tcPr>
            <w:tcW w:w="5862" w:type="dxa"/>
            <w:shd w:val="clear" w:color="auto" w:fill="auto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jc w:val="center"/>
              <w:rPr>
                <w:rFonts w:ascii="Times New Roman" w:eastAsia="仿宋_GB2312"/>
                <w:b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b/>
                <w:sz w:val="24"/>
                <w:szCs w:val="24"/>
                <w:lang w:val="en-GB"/>
              </w:rPr>
              <w:t>相比</w:t>
            </w:r>
            <w:r w:rsidR="00FC4944">
              <w:rPr>
                <w:rFonts w:ascii="Times New Roman" w:eastAsia="仿宋_GB2312" w:hint="eastAsia"/>
                <w:b/>
                <w:sz w:val="24"/>
                <w:szCs w:val="24"/>
                <w:lang w:val="en-GB"/>
              </w:rPr>
              <w:t>原标准</w:t>
            </w:r>
            <w:r w:rsidRPr="007575A3">
              <w:rPr>
                <w:rFonts w:ascii="Times New Roman" w:eastAsia="仿宋_GB2312"/>
                <w:b/>
                <w:sz w:val="24"/>
                <w:szCs w:val="24"/>
                <w:lang w:val="en-GB"/>
              </w:rPr>
              <w:t>变化</w:t>
            </w:r>
          </w:p>
        </w:tc>
      </w:tr>
      <w:tr w:rsidR="00672B45" w:rsidRPr="007575A3" w:rsidTr="00C377F3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 xml:space="preserve">1 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范围</w:t>
            </w:r>
          </w:p>
        </w:tc>
        <w:tc>
          <w:tcPr>
            <w:tcW w:w="5862" w:type="dxa"/>
            <w:shd w:val="clear" w:color="auto" w:fill="auto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jc w:val="center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编辑性修改</w:t>
            </w:r>
          </w:p>
        </w:tc>
      </w:tr>
      <w:tr w:rsidR="00672B45" w:rsidRPr="007575A3" w:rsidTr="00C377F3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 xml:space="preserve">2 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规范性引用文件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1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）删除了《严寒和寒冷地区居住建筑节能设计标准》（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JGJ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26-2010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）</w:t>
            </w:r>
          </w:p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lastRenderedPageBreak/>
              <w:t>2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）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增加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了《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 xml:space="preserve">GB/T 50353 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建筑工程建筑面积计算规范》和《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 xml:space="preserve">DB11/T 1336 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文化场馆合理用能指南》。</w:t>
            </w:r>
          </w:p>
        </w:tc>
      </w:tr>
      <w:tr w:rsidR="00672B45" w:rsidRPr="007575A3" w:rsidTr="00C377F3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lastRenderedPageBreak/>
              <w:t xml:space="preserve">3 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术语和定义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</w:rPr>
            </w:pPr>
            <w:r w:rsidRPr="00002163">
              <w:rPr>
                <w:rFonts w:ascii="Times New Roman" w:eastAsia="仿宋_GB2312" w:hint="eastAsia"/>
                <w:sz w:val="24"/>
                <w:szCs w:val="24"/>
                <w:lang w:val="en-GB"/>
              </w:rPr>
              <w:t>删除了“电力能耗限额”、“供暖用天然气能耗限额”、“供暖用市政热力能耗限额”，增加了“约束值”、“基准值”、“引导值”</w:t>
            </w:r>
            <w:r>
              <w:rPr>
                <w:rFonts w:ascii="Times New Roman" w:eastAsia="仿宋_GB2312" w:hint="eastAsia"/>
                <w:sz w:val="24"/>
                <w:szCs w:val="24"/>
                <w:lang w:val="en-GB"/>
              </w:rPr>
              <w:t>。</w:t>
            </w:r>
          </w:p>
        </w:tc>
      </w:tr>
      <w:tr w:rsidR="00672B45" w:rsidRPr="007575A3" w:rsidTr="00C377F3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 xml:space="preserve">4 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技术要求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1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）对总体要求进行编辑性修改；</w:t>
            </w:r>
          </w:p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2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）</w:t>
            </w:r>
            <w:bookmarkStart w:id="3" w:name="_Hlk83221849"/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对演出类场馆（剧场、音乐厅）单位建筑面积电耗限额指标优化调整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；</w:t>
            </w:r>
          </w:p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3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）对非演出类场馆的单位建筑面积电耗限额按照图书馆、文化馆和美术馆进行细分；</w:t>
            </w:r>
          </w:p>
          <w:bookmarkEnd w:id="3"/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4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）供暖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用天然气限额、供暖用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市政热力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限额指标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优化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调整；</w:t>
            </w:r>
          </w:p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5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）增加单位建筑面积非供暖能耗和人均综合能耗指标，指标按照场馆类型分类给出；</w:t>
            </w:r>
          </w:p>
        </w:tc>
      </w:tr>
      <w:tr w:rsidR="00672B45" w:rsidRPr="007575A3" w:rsidTr="00C377F3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 xml:space="preserve">5 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统计范围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1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）</w:t>
            </w:r>
            <w:bookmarkStart w:id="4" w:name="_Hlk83221999"/>
            <w:r>
              <w:rPr>
                <w:rFonts w:ascii="Times New Roman" w:eastAsia="仿宋_GB2312" w:hint="eastAsia"/>
                <w:sz w:val="24"/>
                <w:szCs w:val="24"/>
                <w:lang w:val="en-GB"/>
              </w:rPr>
              <w:t>补充统计周期、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建筑面积和用能人数</w:t>
            </w:r>
            <w:r>
              <w:rPr>
                <w:rFonts w:ascii="Times New Roman" w:eastAsia="仿宋_GB2312" w:hint="eastAsia"/>
                <w:sz w:val="24"/>
                <w:szCs w:val="24"/>
                <w:lang w:val="en-GB"/>
              </w:rPr>
              <w:t>统计范围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规定；</w:t>
            </w:r>
            <w:bookmarkEnd w:id="4"/>
          </w:p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2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）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能耗统计范围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规定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编辑性修改。</w:t>
            </w:r>
          </w:p>
        </w:tc>
      </w:tr>
      <w:tr w:rsidR="00672B45" w:rsidRPr="007575A3" w:rsidTr="00C377F3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 xml:space="preserve">6 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计算方法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72B45" w:rsidRPr="007575A3" w:rsidRDefault="00672B45" w:rsidP="00672B45">
            <w:pPr>
              <w:pStyle w:val="a5"/>
              <w:numPr>
                <w:ilvl w:val="0"/>
                <w:numId w:val="3"/>
              </w:numPr>
              <w:adjustRightInd w:val="0"/>
              <w:spacing w:line="360" w:lineRule="auto"/>
              <w:ind w:firstLineChars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采暖度日数修正系数中基准值由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2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450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改为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2262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.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7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；</w:t>
            </w:r>
          </w:p>
          <w:p w:rsidR="00672B45" w:rsidRPr="007575A3" w:rsidRDefault="00672B45" w:rsidP="00672B45">
            <w:pPr>
              <w:pStyle w:val="a5"/>
              <w:numPr>
                <w:ilvl w:val="0"/>
                <w:numId w:val="3"/>
              </w:numPr>
              <w:adjustRightInd w:val="0"/>
              <w:spacing w:line="360" w:lineRule="auto"/>
              <w:ind w:firstLineChars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增加单位建筑面积非供暖能耗和人均综合能耗指标计算方法；</w:t>
            </w:r>
          </w:p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3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）计算方法其余内容进行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编辑性修改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。</w:t>
            </w:r>
          </w:p>
        </w:tc>
      </w:tr>
      <w:tr w:rsidR="00672B45" w:rsidRPr="007575A3" w:rsidTr="00C377F3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 xml:space="preserve">7 </w:t>
            </w:r>
            <w:r w:rsidRPr="007575A3">
              <w:rPr>
                <w:rFonts w:ascii="Times New Roman" w:eastAsia="仿宋_GB2312"/>
                <w:sz w:val="24"/>
                <w:szCs w:val="24"/>
                <w:lang w:val="en-GB"/>
              </w:rPr>
              <w:t>节能管理与技术措施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编辑性修改</w:t>
            </w:r>
            <w:r>
              <w:rPr>
                <w:rFonts w:ascii="Times New Roman" w:eastAsia="仿宋_GB2312" w:hint="eastAsia"/>
                <w:sz w:val="24"/>
                <w:szCs w:val="24"/>
                <w:lang w:val="en-GB"/>
              </w:rPr>
              <w:t>，增加条款规定</w:t>
            </w: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。</w:t>
            </w:r>
          </w:p>
        </w:tc>
      </w:tr>
      <w:tr w:rsidR="00672B45" w:rsidRPr="007575A3" w:rsidTr="00C377F3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72B45" w:rsidRPr="007575A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7575A3">
              <w:rPr>
                <w:rFonts w:ascii="Times New Roman" w:eastAsia="仿宋_GB2312" w:hint="eastAsia"/>
                <w:sz w:val="24"/>
                <w:szCs w:val="24"/>
                <w:lang w:val="en-GB"/>
              </w:rPr>
              <w:t>附录</w:t>
            </w:r>
            <w:r>
              <w:rPr>
                <w:rFonts w:ascii="Times New Roman" w:eastAsia="仿宋_GB2312" w:hint="eastAsia"/>
                <w:sz w:val="24"/>
                <w:szCs w:val="24"/>
                <w:lang w:val="en-GB"/>
              </w:rPr>
              <w:t>A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672B45" w:rsidRPr="00002163" w:rsidRDefault="00672B45" w:rsidP="00C377F3">
            <w:pPr>
              <w:pStyle w:val="a5"/>
              <w:adjustRightInd w:val="0"/>
              <w:spacing w:line="360" w:lineRule="auto"/>
              <w:ind w:firstLineChars="0" w:firstLine="0"/>
              <w:rPr>
                <w:rFonts w:ascii="Times New Roman" w:eastAsia="仿宋_GB2312"/>
                <w:sz w:val="24"/>
                <w:szCs w:val="24"/>
                <w:lang w:val="en-GB"/>
              </w:rPr>
            </w:pPr>
            <w:r w:rsidRPr="00002163">
              <w:rPr>
                <w:rFonts w:ascii="Times New Roman" w:eastAsia="仿宋_GB2312"/>
                <w:sz w:val="24"/>
                <w:szCs w:val="24"/>
                <w:lang w:val="en-GB"/>
              </w:rPr>
              <w:t>修改附录</w:t>
            </w:r>
            <w:r w:rsidRPr="00002163">
              <w:rPr>
                <w:rFonts w:ascii="Times New Roman" w:eastAsia="仿宋_GB2312"/>
                <w:sz w:val="24"/>
                <w:szCs w:val="24"/>
                <w:lang w:val="en-GB"/>
              </w:rPr>
              <w:t>A“</w:t>
            </w:r>
            <w:r w:rsidRPr="00002163">
              <w:rPr>
                <w:rFonts w:ascii="Times New Roman" w:eastAsia="仿宋_GB2312"/>
                <w:sz w:val="24"/>
                <w:szCs w:val="24"/>
                <w:lang w:val="en-GB"/>
              </w:rPr>
              <w:t>日均演出场次修正系数</w:t>
            </w:r>
            <w:r w:rsidRPr="00002163">
              <w:rPr>
                <w:rFonts w:ascii="Times New Roman" w:eastAsia="仿宋_GB2312"/>
                <w:sz w:val="24"/>
                <w:szCs w:val="24"/>
                <w:lang w:val="en-GB"/>
              </w:rPr>
              <w:t>λ</w:t>
            </w:r>
            <w:r w:rsidRPr="00002163">
              <w:rPr>
                <w:rFonts w:ascii="Times New Roman" w:eastAsia="仿宋_GB2312"/>
                <w:sz w:val="24"/>
                <w:szCs w:val="24"/>
                <w:lang w:val="en-GB"/>
              </w:rPr>
              <w:t>计算方法</w:t>
            </w:r>
            <w:r w:rsidRPr="00002163">
              <w:rPr>
                <w:rFonts w:ascii="Times New Roman" w:eastAsia="仿宋_GB2312"/>
                <w:sz w:val="24"/>
                <w:szCs w:val="24"/>
                <w:lang w:val="en-GB"/>
              </w:rPr>
              <w:t>”</w:t>
            </w:r>
            <w:r w:rsidRPr="00002163">
              <w:rPr>
                <w:rFonts w:ascii="Times New Roman" w:eastAsia="仿宋_GB2312"/>
                <w:sz w:val="24"/>
                <w:szCs w:val="24"/>
                <w:lang w:val="en-GB"/>
              </w:rPr>
              <w:t>为</w:t>
            </w:r>
            <w:r w:rsidRPr="00002163">
              <w:rPr>
                <w:rFonts w:ascii="Times New Roman" w:eastAsia="仿宋_GB2312"/>
                <w:sz w:val="24"/>
                <w:szCs w:val="24"/>
                <w:lang w:val="en-GB"/>
              </w:rPr>
              <w:t>“</w:t>
            </w:r>
            <w:r w:rsidRPr="00002163">
              <w:rPr>
                <w:rFonts w:ascii="Times New Roman" w:eastAsia="仿宋_GB2312"/>
                <w:sz w:val="24"/>
                <w:szCs w:val="24"/>
                <w:lang w:val="en-GB"/>
              </w:rPr>
              <w:t>常用能源折标准煤参考系数</w:t>
            </w:r>
            <w:r w:rsidRPr="00002163">
              <w:rPr>
                <w:rFonts w:ascii="Times New Roman" w:eastAsia="仿宋_GB2312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eastAsia="仿宋_GB2312"/>
                <w:sz w:val="24"/>
                <w:szCs w:val="24"/>
                <w:lang w:val="en-GB"/>
              </w:rPr>
              <w:t>。</w:t>
            </w:r>
          </w:p>
        </w:tc>
      </w:tr>
    </w:tbl>
    <w:p w:rsidR="00C05F5C" w:rsidRPr="00672B45" w:rsidRDefault="00C05F5C">
      <w:pPr>
        <w:ind w:firstLine="560"/>
      </w:pPr>
    </w:p>
    <w:sectPr w:rsidR="00C05F5C" w:rsidRPr="00672B45" w:rsidSect="00CF3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2F3" w:rsidRDefault="00EF22F3" w:rsidP="00672B45">
      <w:pPr>
        <w:spacing w:line="240" w:lineRule="auto"/>
        <w:ind w:firstLine="560"/>
      </w:pPr>
      <w:r>
        <w:separator/>
      </w:r>
    </w:p>
  </w:endnote>
  <w:endnote w:type="continuationSeparator" w:id="1">
    <w:p w:rsidR="00EF22F3" w:rsidRDefault="00EF22F3" w:rsidP="00672B4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0A" w:rsidRDefault="0048590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45" w:rsidRDefault="00283F3C" w:rsidP="00E44478">
    <w:pPr>
      <w:pStyle w:val="a4"/>
      <w:ind w:firstLineChars="0" w:firstLine="0"/>
      <w:jc w:val="center"/>
    </w:pPr>
    <w:r w:rsidRPr="00283F3C">
      <w:fldChar w:fldCharType="begin"/>
    </w:r>
    <w:r w:rsidR="00672B45">
      <w:instrText>PAGE   \* MERGEFORMAT</w:instrText>
    </w:r>
    <w:r w:rsidRPr="00283F3C">
      <w:fldChar w:fldCharType="separate"/>
    </w:r>
    <w:r w:rsidR="00600BE1" w:rsidRPr="00600BE1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0A" w:rsidRDefault="0048590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2F3" w:rsidRDefault="00EF22F3" w:rsidP="00672B45">
      <w:pPr>
        <w:spacing w:line="240" w:lineRule="auto"/>
        <w:ind w:firstLine="560"/>
      </w:pPr>
      <w:r>
        <w:separator/>
      </w:r>
    </w:p>
  </w:footnote>
  <w:footnote w:type="continuationSeparator" w:id="1">
    <w:p w:rsidR="00EF22F3" w:rsidRDefault="00EF22F3" w:rsidP="00672B4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0A" w:rsidRDefault="0048590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0A" w:rsidRDefault="0048590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0A" w:rsidRDefault="0048590A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33088"/>
    <w:multiLevelType w:val="hybridMultilevel"/>
    <w:tmpl w:val="07E8AABA"/>
    <w:lvl w:ilvl="0" w:tplc="F5FAFB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0353CD"/>
    <w:multiLevelType w:val="hybridMultilevel"/>
    <w:tmpl w:val="69C6564C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7049675A"/>
    <w:multiLevelType w:val="hybridMultilevel"/>
    <w:tmpl w:val="A73C13EA"/>
    <w:lvl w:ilvl="0" w:tplc="B9D4775C">
      <w:start w:val="1"/>
      <w:numFmt w:val="decimal"/>
      <w:lvlText w:val="%1）"/>
      <w:lvlJc w:val="left"/>
      <w:pPr>
        <w:ind w:left="970" w:hanging="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6EF"/>
    <w:rsid w:val="0001061C"/>
    <w:rsid w:val="0005309F"/>
    <w:rsid w:val="001C19D1"/>
    <w:rsid w:val="00242B0B"/>
    <w:rsid w:val="00283F3C"/>
    <w:rsid w:val="002A2645"/>
    <w:rsid w:val="00342C7E"/>
    <w:rsid w:val="003F6409"/>
    <w:rsid w:val="0048590A"/>
    <w:rsid w:val="004A573F"/>
    <w:rsid w:val="00551006"/>
    <w:rsid w:val="005566A2"/>
    <w:rsid w:val="005B1FE7"/>
    <w:rsid w:val="00600BE1"/>
    <w:rsid w:val="00672B45"/>
    <w:rsid w:val="00721251"/>
    <w:rsid w:val="007B20DC"/>
    <w:rsid w:val="007F2291"/>
    <w:rsid w:val="0093090B"/>
    <w:rsid w:val="00A65D5C"/>
    <w:rsid w:val="00B71363"/>
    <w:rsid w:val="00C05F5C"/>
    <w:rsid w:val="00CD1C91"/>
    <w:rsid w:val="00CF3837"/>
    <w:rsid w:val="00D22F71"/>
    <w:rsid w:val="00DF5188"/>
    <w:rsid w:val="00E566EF"/>
    <w:rsid w:val="00ED7506"/>
    <w:rsid w:val="00EF22F3"/>
    <w:rsid w:val="00FA518F"/>
    <w:rsid w:val="00FC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45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28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721251"/>
    <w:pPr>
      <w:keepNext/>
      <w:keepLines/>
      <w:spacing w:beforeLines="50" w:afterLines="50"/>
      <w:ind w:firstLineChars="0" w:firstLine="0"/>
      <w:jc w:val="center"/>
      <w:outlineLvl w:val="0"/>
    </w:pPr>
    <w:rPr>
      <w:rFonts w:ascii="黑体" w:eastAsia="黑体" w:hAnsi="黑体"/>
      <w:b/>
      <w:kern w:val="28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72B45"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D75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B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21251"/>
    <w:rPr>
      <w:rFonts w:ascii="黑体" w:eastAsia="黑体" w:hAnsi="黑体" w:cs="Times New Roman"/>
      <w:b/>
      <w:kern w:val="28"/>
      <w:sz w:val="44"/>
      <w:szCs w:val="44"/>
    </w:rPr>
  </w:style>
  <w:style w:type="character" w:customStyle="1" w:styleId="2Char">
    <w:name w:val="标题 2 Char"/>
    <w:basedOn w:val="a0"/>
    <w:link w:val="2"/>
    <w:rsid w:val="00672B45"/>
    <w:rPr>
      <w:rFonts w:asciiTheme="majorHAnsi" w:eastAsia="仿宋_GB2312" w:hAnsiTheme="majorHAnsi" w:cstheme="majorBidi"/>
      <w:b/>
      <w:bCs/>
      <w:sz w:val="28"/>
      <w:szCs w:val="32"/>
    </w:rPr>
  </w:style>
  <w:style w:type="paragraph" w:customStyle="1" w:styleId="a5">
    <w:name w:val="段"/>
    <w:link w:val="Char1"/>
    <w:qFormat/>
    <w:rsid w:val="00672B4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</w:rPr>
  </w:style>
  <w:style w:type="character" w:customStyle="1" w:styleId="Char1">
    <w:name w:val="段 Char"/>
    <w:link w:val="a5"/>
    <w:qFormat/>
    <w:locked/>
    <w:rsid w:val="00672B45"/>
    <w:rPr>
      <w:rFonts w:ascii="宋体" w:eastAsia="宋体" w:hAnsi="Times New Roman" w:cs="Times New Roman"/>
      <w:noProof/>
    </w:rPr>
  </w:style>
  <w:style w:type="paragraph" w:styleId="a6">
    <w:name w:val="List Paragraph"/>
    <w:basedOn w:val="a"/>
    <w:uiPriority w:val="34"/>
    <w:qFormat/>
    <w:rsid w:val="00672B45"/>
    <w:pPr>
      <w:ind w:firstLine="420"/>
    </w:pPr>
  </w:style>
  <w:style w:type="paragraph" w:styleId="a7">
    <w:name w:val="caption"/>
    <w:basedOn w:val="a"/>
    <w:next w:val="a"/>
    <w:uiPriority w:val="35"/>
    <w:unhideWhenUsed/>
    <w:qFormat/>
    <w:rsid w:val="00672B45"/>
    <w:rPr>
      <w:rFonts w:asciiTheme="majorHAnsi" w:eastAsia="黑体" w:hAnsiTheme="majorHAnsi" w:cstheme="majorBidi"/>
      <w:sz w:val="20"/>
      <w:szCs w:val="20"/>
    </w:rPr>
  </w:style>
  <w:style w:type="character" w:customStyle="1" w:styleId="4Char">
    <w:name w:val="标题4 Char"/>
    <w:link w:val="4"/>
    <w:locked/>
    <w:rsid w:val="00672B45"/>
    <w:rPr>
      <w:rFonts w:ascii="仿宋_GB2312" w:eastAsia="仿宋_GB2312"/>
      <w:b/>
      <w:bCs/>
      <w:sz w:val="28"/>
      <w:szCs w:val="32"/>
    </w:rPr>
  </w:style>
  <w:style w:type="paragraph" w:customStyle="1" w:styleId="4">
    <w:name w:val="标题4"/>
    <w:basedOn w:val="a"/>
    <w:link w:val="4Char"/>
    <w:qFormat/>
    <w:rsid w:val="00672B45"/>
    <w:pPr>
      <w:keepNext/>
      <w:keepLines/>
      <w:snapToGrid w:val="0"/>
      <w:outlineLvl w:val="3"/>
    </w:pPr>
    <w:rPr>
      <w:rFonts w:ascii="仿宋_GB2312" w:hAnsiTheme="minorHAnsi" w:cstheme="min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ED7506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lijing</dc:creator>
  <cp:lastModifiedBy>王国平</cp:lastModifiedBy>
  <cp:revision>2</cp:revision>
  <dcterms:created xsi:type="dcterms:W3CDTF">2022-03-01T01:10:00Z</dcterms:created>
  <dcterms:modified xsi:type="dcterms:W3CDTF">2022-03-01T01:10:00Z</dcterms:modified>
</cp:coreProperties>
</file>