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66" w:rsidRDefault="00DA2966" w:rsidP="00DA2966">
      <w:pPr>
        <w:widowControl/>
        <w:jc w:val="left"/>
        <w:rPr>
          <w:rFonts w:ascii="仿宋_GB2312" w:eastAsia="仿宋_GB2312" w:hAnsi="Arial" w:cs="Arial" w:hint="eastAsia"/>
          <w:color w:val="333333"/>
          <w:kern w:val="0"/>
          <w:sz w:val="32"/>
          <w:szCs w:val="32"/>
        </w:rPr>
      </w:pPr>
    </w:p>
    <w:p w:rsidR="004D65A4" w:rsidRDefault="004D65A4" w:rsidP="00DA2966">
      <w:pPr>
        <w:widowControl/>
        <w:jc w:val="left"/>
        <w:rPr>
          <w:rFonts w:ascii="仿宋_GB2312" w:eastAsia="仿宋_GB2312" w:hAnsi="Arial" w:cs="Arial" w:hint="eastAsia"/>
          <w:color w:val="333333"/>
          <w:kern w:val="0"/>
          <w:sz w:val="32"/>
          <w:szCs w:val="32"/>
        </w:rPr>
      </w:pPr>
    </w:p>
    <w:p w:rsidR="004D65A4" w:rsidRPr="004D65A4" w:rsidRDefault="004D65A4" w:rsidP="004D65A4">
      <w:pPr>
        <w:jc w:val="center"/>
        <w:rPr>
          <w:rFonts w:eastAsiaTheme="majorEastAsia" w:hint="eastAsia"/>
          <w:sz w:val="44"/>
          <w:szCs w:val="44"/>
        </w:rPr>
      </w:pPr>
      <w:r w:rsidRPr="004D65A4">
        <w:rPr>
          <w:rFonts w:eastAsiaTheme="majorEastAsia" w:hint="eastAsia"/>
          <w:sz w:val="44"/>
          <w:szCs w:val="44"/>
        </w:rPr>
        <w:t>北京市旅游发展委员会北京市打击非法集资和非法证券经营活动工作协调小组办公室关于进一步加强旅游市场监管的通知</w:t>
      </w:r>
    </w:p>
    <w:p w:rsidR="004D65A4" w:rsidRPr="004D65A4" w:rsidRDefault="004D65A4" w:rsidP="004D65A4">
      <w:pPr>
        <w:jc w:val="center"/>
        <w:rPr>
          <w:rFonts w:eastAsia="楷体_GB2312" w:hint="eastAsia"/>
          <w:sz w:val="32"/>
          <w:szCs w:val="32"/>
        </w:rPr>
      </w:pPr>
      <w:r w:rsidRPr="004D65A4">
        <w:rPr>
          <w:rFonts w:eastAsia="楷体_GB2312" w:hint="eastAsia"/>
          <w:sz w:val="32"/>
          <w:szCs w:val="32"/>
        </w:rPr>
        <w:t>（</w:t>
      </w:r>
      <w:r w:rsidRPr="004D65A4">
        <w:rPr>
          <w:rFonts w:eastAsia="楷体_GB2312" w:hint="eastAsia"/>
          <w:sz w:val="32"/>
          <w:szCs w:val="32"/>
        </w:rPr>
        <w:t>2017</w:t>
      </w:r>
      <w:r w:rsidRPr="004D65A4">
        <w:rPr>
          <w:rFonts w:eastAsia="楷体_GB2312" w:hint="eastAsia"/>
          <w:sz w:val="32"/>
          <w:szCs w:val="32"/>
        </w:rPr>
        <w:t>年</w:t>
      </w:r>
      <w:r w:rsidRPr="004D65A4">
        <w:rPr>
          <w:rFonts w:eastAsia="楷体_GB2312" w:hint="eastAsia"/>
          <w:sz w:val="32"/>
          <w:szCs w:val="32"/>
        </w:rPr>
        <w:t>7</w:t>
      </w:r>
      <w:r w:rsidRPr="004D65A4">
        <w:rPr>
          <w:rFonts w:eastAsia="楷体_GB2312" w:hint="eastAsia"/>
          <w:sz w:val="32"/>
          <w:szCs w:val="32"/>
        </w:rPr>
        <w:t>月</w:t>
      </w:r>
      <w:r w:rsidRPr="004D65A4">
        <w:rPr>
          <w:rFonts w:eastAsia="楷体_GB2312" w:hint="eastAsia"/>
          <w:sz w:val="32"/>
          <w:szCs w:val="32"/>
        </w:rPr>
        <w:t>5</w:t>
      </w:r>
      <w:r w:rsidRPr="004D65A4">
        <w:rPr>
          <w:rFonts w:eastAsia="楷体_GB2312" w:hint="eastAsia"/>
          <w:sz w:val="32"/>
          <w:szCs w:val="32"/>
        </w:rPr>
        <w:t>日京旅发</w:t>
      </w:r>
      <w:r w:rsidRPr="004D65A4">
        <w:rPr>
          <w:rFonts w:eastAsia="楷体_GB2312" w:hint="eastAsia"/>
          <w:sz w:val="32"/>
          <w:szCs w:val="32"/>
        </w:rPr>
        <w:t>347</w:t>
      </w:r>
      <w:r w:rsidRPr="004D65A4">
        <w:rPr>
          <w:rFonts w:eastAsia="楷体_GB2312" w:hint="eastAsia"/>
          <w:sz w:val="32"/>
          <w:szCs w:val="32"/>
        </w:rPr>
        <w:t>号发布，</w:t>
      </w:r>
      <w:r w:rsidRPr="004D65A4">
        <w:rPr>
          <w:rFonts w:eastAsia="楷体_GB2312" w:hint="eastAsia"/>
          <w:sz w:val="32"/>
          <w:szCs w:val="32"/>
        </w:rPr>
        <w:t>2017</w:t>
      </w:r>
      <w:r w:rsidRPr="004D65A4">
        <w:rPr>
          <w:rFonts w:eastAsia="楷体_GB2312" w:hint="eastAsia"/>
          <w:sz w:val="32"/>
          <w:szCs w:val="32"/>
        </w:rPr>
        <w:t>年</w:t>
      </w:r>
      <w:r w:rsidRPr="004D65A4">
        <w:rPr>
          <w:rFonts w:eastAsia="楷体_GB2312" w:hint="eastAsia"/>
          <w:sz w:val="32"/>
          <w:szCs w:val="32"/>
        </w:rPr>
        <w:t>7</w:t>
      </w:r>
      <w:r w:rsidRPr="004D65A4">
        <w:rPr>
          <w:rFonts w:eastAsia="楷体_GB2312" w:hint="eastAsia"/>
          <w:sz w:val="32"/>
          <w:szCs w:val="32"/>
        </w:rPr>
        <w:t>月</w:t>
      </w:r>
      <w:r w:rsidRPr="004D65A4">
        <w:rPr>
          <w:rFonts w:eastAsia="楷体_GB2312" w:hint="eastAsia"/>
          <w:sz w:val="32"/>
          <w:szCs w:val="32"/>
        </w:rPr>
        <w:t>5</w:t>
      </w:r>
      <w:r w:rsidRPr="004D65A4">
        <w:rPr>
          <w:rFonts w:eastAsia="楷体_GB2312" w:hint="eastAsia"/>
          <w:sz w:val="32"/>
          <w:szCs w:val="32"/>
        </w:rPr>
        <w:t>日起实施）</w:t>
      </w:r>
    </w:p>
    <w:p w:rsidR="004D65A4" w:rsidRDefault="004D65A4" w:rsidP="00DA2966">
      <w:pPr>
        <w:widowControl/>
        <w:jc w:val="left"/>
        <w:rPr>
          <w:rFonts w:ascii="仿宋_GB2312" w:eastAsia="仿宋_GB2312" w:hAnsi="Arial" w:cs="Arial"/>
          <w:color w:val="333333"/>
          <w:kern w:val="0"/>
          <w:sz w:val="32"/>
          <w:szCs w:val="32"/>
        </w:rPr>
      </w:pPr>
    </w:p>
    <w:p w:rsidR="00DA2966" w:rsidRPr="00DA2966" w:rsidRDefault="00DA2966" w:rsidP="00DA2966">
      <w:pPr>
        <w:widowControl/>
        <w:jc w:val="left"/>
        <w:rPr>
          <w:rFonts w:ascii="仿宋_GB2312" w:eastAsia="仿宋_GB2312" w:hAnsi="宋体" w:cs="宋体"/>
          <w:kern w:val="0"/>
          <w:sz w:val="32"/>
          <w:szCs w:val="32"/>
        </w:rPr>
      </w:pPr>
      <w:r w:rsidRPr="00DA2966">
        <w:rPr>
          <w:rFonts w:ascii="仿宋_GB2312" w:eastAsia="仿宋_GB2312" w:hAnsi="Arial" w:cs="Arial" w:hint="eastAsia"/>
          <w:color w:val="333333"/>
          <w:kern w:val="0"/>
          <w:sz w:val="32"/>
          <w:szCs w:val="32"/>
        </w:rPr>
        <w:t>各区旅游委，各旅行社：</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近期接连发生因旅行社收取旅游者出境游保证金不能按约退还、违规收取导游（领队）高额管理费、售卖出境游套餐不能履约所引发的群体性事件，严重侵害了消费者权益，造成比较恶劣的社会影响。为贯彻落实北京市金融服务工作领导小组会议精神和国家旅游局相关工作要求，精准把握旅游市场风险点，有效化解市场风险，严厉打击非法集资，加强旅游市场监管，规范旅行社经营行为，现通知如下：</w:t>
      </w:r>
    </w:p>
    <w:p w:rsidR="00DA2966" w:rsidRPr="00DA2966" w:rsidRDefault="00DA2966" w:rsidP="00DA2966">
      <w:pPr>
        <w:widowControl/>
        <w:spacing w:before="75" w:after="75" w:line="450" w:lineRule="atLeast"/>
        <w:ind w:firstLine="480"/>
        <w:jc w:val="left"/>
        <w:rPr>
          <w:rFonts w:ascii="黑体" w:eastAsia="黑体" w:hAnsi="黑体" w:cs="Arial"/>
          <w:color w:val="333333"/>
          <w:kern w:val="0"/>
          <w:sz w:val="32"/>
          <w:szCs w:val="32"/>
        </w:rPr>
      </w:pPr>
      <w:r w:rsidRPr="00DA2966">
        <w:rPr>
          <w:rFonts w:ascii="仿宋_GB2312" w:eastAsia="仿宋_GB2312" w:hAnsi="Arial" w:cs="Arial" w:hint="eastAsia"/>
          <w:color w:val="333333"/>
          <w:kern w:val="0"/>
          <w:sz w:val="32"/>
          <w:szCs w:val="32"/>
        </w:rPr>
        <w:t> </w:t>
      </w:r>
      <w:r w:rsidRPr="00DA2966">
        <w:rPr>
          <w:rFonts w:ascii="仿宋_GB2312" w:eastAsia="仿宋_GB2312" w:hAnsi="Arial" w:cs="Arial" w:hint="eastAsia"/>
          <w:color w:val="333333"/>
          <w:kern w:val="0"/>
          <w:sz w:val="32"/>
          <w:szCs w:val="32"/>
        </w:rPr>
        <w:t xml:space="preserve">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一、加强</w:t>
      </w:r>
      <w:bookmarkStart w:id="0" w:name="_GoBack"/>
      <w:bookmarkEnd w:id="0"/>
      <w:r w:rsidRPr="00DA2966">
        <w:rPr>
          <w:rFonts w:ascii="黑体" w:eastAsia="黑体" w:hAnsi="黑体" w:cs="Arial" w:hint="eastAsia"/>
          <w:color w:val="333333"/>
          <w:kern w:val="0"/>
          <w:sz w:val="32"/>
          <w:szCs w:val="32"/>
        </w:rPr>
        <w:t>保证金监管，规范出境游保证金管理</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根据国家旅游局《关于规范出境游保证金有关事宜的通知》（旅发〔2015〕281号）要求，各组团社收取出境游保证金，均应采取银行参与的资金托管方式，不得以现金或现金转账方式直接收取，不得要求旅游者将出境游保证金直接存入旅行社工作人员提供的个人账号。各组团社要积极与北</w:t>
      </w:r>
      <w:r w:rsidRPr="00DA2966">
        <w:rPr>
          <w:rFonts w:ascii="仿宋_GB2312" w:eastAsia="仿宋_GB2312" w:hAnsi="Arial" w:cs="Arial" w:hint="eastAsia"/>
          <w:color w:val="333333"/>
          <w:kern w:val="0"/>
          <w:sz w:val="32"/>
          <w:szCs w:val="32"/>
        </w:rPr>
        <w:lastRenderedPageBreak/>
        <w:t>京市的商业银行合作，建立长期、稳定的出境</w:t>
      </w:r>
      <w:proofErr w:type="gramStart"/>
      <w:r w:rsidRPr="00DA2966">
        <w:rPr>
          <w:rFonts w:ascii="仿宋_GB2312" w:eastAsia="仿宋_GB2312" w:hAnsi="Arial" w:cs="Arial" w:hint="eastAsia"/>
          <w:color w:val="333333"/>
          <w:kern w:val="0"/>
          <w:sz w:val="32"/>
          <w:szCs w:val="32"/>
        </w:rPr>
        <w:t>游保证</w:t>
      </w:r>
      <w:proofErr w:type="gramEnd"/>
      <w:r w:rsidRPr="00DA2966">
        <w:rPr>
          <w:rFonts w:ascii="仿宋_GB2312" w:eastAsia="仿宋_GB2312" w:hAnsi="Arial" w:cs="Arial" w:hint="eastAsia"/>
          <w:color w:val="333333"/>
          <w:kern w:val="0"/>
          <w:sz w:val="32"/>
          <w:szCs w:val="32"/>
        </w:rPr>
        <w:t>金银行托管工作机制，向游客充分告知相关信息，并签订由组团社、旅游者、银行参与的出境游保证金三方托管协议，明确各方权利义务，明确资金冻结的期限，资金解冻的条件、流程，以及划扣保证金的条件、期限、文本格式、账户信息等主要事项。</w:t>
      </w:r>
    </w:p>
    <w:p w:rsidR="00DA2966" w:rsidRPr="00DA2966" w:rsidRDefault="00DA2966" w:rsidP="00DA2966">
      <w:pPr>
        <w:widowControl/>
        <w:spacing w:before="75" w:after="75" w:line="450" w:lineRule="atLeast"/>
        <w:ind w:firstLine="480"/>
        <w:jc w:val="left"/>
        <w:rPr>
          <w:rFonts w:ascii="黑体" w:eastAsia="黑体" w:hAnsi="黑体" w:cs="Arial"/>
          <w:color w:val="333333"/>
          <w:kern w:val="0"/>
          <w:sz w:val="32"/>
          <w:szCs w:val="32"/>
        </w:rPr>
      </w:pPr>
      <w:r w:rsidRPr="00DA2966">
        <w:rPr>
          <w:rFonts w:ascii="仿宋_GB2312" w:eastAsia="仿宋_GB2312" w:hAnsi="Arial" w:cs="Arial" w:hint="eastAsia"/>
          <w:color w:val="333333"/>
          <w:kern w:val="0"/>
          <w:sz w:val="32"/>
          <w:szCs w:val="32"/>
        </w:rPr>
        <w:t> </w:t>
      </w:r>
      <w:r w:rsidRPr="00DA2966">
        <w:rPr>
          <w:rFonts w:ascii="仿宋_GB2312" w:eastAsia="仿宋_GB2312" w:hAnsi="Arial" w:cs="Arial" w:hint="eastAsia"/>
          <w:color w:val="333333"/>
          <w:kern w:val="0"/>
          <w:sz w:val="32"/>
          <w:szCs w:val="32"/>
        </w:rPr>
        <w:t xml:space="preserve"> </w:t>
      </w:r>
      <w:r w:rsidRPr="00DA2966">
        <w:rPr>
          <w:rFonts w:ascii="仿宋_GB2312" w:eastAsia="仿宋_GB2312" w:hAnsi="Arial" w:cs="Arial" w:hint="eastAsia"/>
          <w:color w:val="333333"/>
          <w:kern w:val="0"/>
          <w:sz w:val="32"/>
          <w:szCs w:val="32"/>
        </w:rPr>
        <w:t> </w:t>
      </w:r>
      <w:r w:rsidRPr="00DA2966">
        <w:rPr>
          <w:rFonts w:ascii="黑体" w:eastAsia="黑体" w:hAnsi="黑体" w:cs="Arial" w:hint="eastAsia"/>
          <w:color w:val="333333"/>
          <w:kern w:val="0"/>
          <w:sz w:val="32"/>
          <w:szCs w:val="32"/>
        </w:rPr>
        <w:t xml:space="preserve">二、防范资金链断裂风险，规范旅游套餐经营行为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 xml:space="preserve"> </w:t>
      </w:r>
      <w:r w:rsidRPr="00DA2966">
        <w:rPr>
          <w:rFonts w:ascii="宋体" w:eastAsia="宋体" w:hAnsi="宋体" w:cs="宋体" w:hint="eastAsia"/>
          <w:color w:val="333333"/>
          <w:kern w:val="0"/>
          <w:sz w:val="32"/>
          <w:szCs w:val="32"/>
        </w:rPr>
        <w:t> </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旅游套餐是近年来出现的旅游创新产品，满足了部分旅游者的出行需求，但也存在资金链断裂的风险，成为群体性事件的高发领域。各旅行社及服务网点、经营出境旅游业务的组团社分社要对企业资金风险情况进行自查清理，防止出现“买一赠多”“交押金送旅游”“存款送旅游”等预付套餐产品类型。市旅游委即日起将对全市旅行社进行集中检查，尤其是对全市792家取得出境旅游业务经营许可的旅行社总社和经营出境游的在线旅行社企业、136家出境旅行社分社进行全面检查，摸清底数，对违法违规行为进行查处和公示。</w:t>
      </w:r>
    </w:p>
    <w:p w:rsidR="00DA2966" w:rsidRPr="00DA2966" w:rsidRDefault="00DA2966" w:rsidP="00DA2966">
      <w:pPr>
        <w:widowControl/>
        <w:spacing w:before="75" w:after="75" w:line="450" w:lineRule="atLeast"/>
        <w:ind w:firstLine="480"/>
        <w:jc w:val="left"/>
        <w:rPr>
          <w:rFonts w:ascii="黑体" w:eastAsia="黑体" w:hAnsi="黑体" w:cs="Arial"/>
          <w:color w:val="333333"/>
          <w:kern w:val="0"/>
          <w:sz w:val="32"/>
          <w:szCs w:val="32"/>
        </w:rPr>
      </w:pPr>
      <w:r w:rsidRPr="00DA2966">
        <w:rPr>
          <w:rFonts w:ascii="仿宋_GB2312" w:eastAsia="仿宋_GB2312" w:hAnsi="Arial" w:cs="Arial" w:hint="eastAsia"/>
          <w:color w:val="333333"/>
          <w:kern w:val="0"/>
          <w:sz w:val="32"/>
          <w:szCs w:val="32"/>
        </w:rPr>
        <w:t> </w:t>
      </w:r>
      <w:r w:rsidRPr="00DA2966">
        <w:rPr>
          <w:rFonts w:ascii="黑体" w:eastAsia="黑体" w:hAnsi="黑体" w:cs="Arial" w:hint="eastAsia"/>
          <w:color w:val="333333"/>
          <w:kern w:val="0"/>
          <w:sz w:val="32"/>
          <w:szCs w:val="32"/>
        </w:rPr>
        <w:t xml:space="preserve">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 xml:space="preserve">三、维护导游权利，杜绝违规收取导游管理费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 xml:space="preserve"> </w:t>
      </w:r>
      <w:r w:rsidRPr="00DA2966">
        <w:rPr>
          <w:rFonts w:ascii="宋体" w:eastAsia="宋体" w:hAnsi="宋体" w:cs="宋体" w:hint="eastAsia"/>
          <w:color w:val="333333"/>
          <w:kern w:val="0"/>
          <w:sz w:val="32"/>
          <w:szCs w:val="32"/>
        </w:rPr>
        <w:t> </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旅游法》第三十八条规定“旅行社安排导游为团队提供服务的，不得要求导游垫付或者向导游收取任何费用”，各旅行社不得以“押金、培训费、保障金”等名义违规向导游收取管理费用，存在上述行为的旅行社要立即进行自查和</w:t>
      </w:r>
      <w:r w:rsidRPr="00DA2966">
        <w:rPr>
          <w:rFonts w:ascii="仿宋_GB2312" w:eastAsia="仿宋_GB2312" w:hAnsi="Arial" w:cs="Arial" w:hint="eastAsia"/>
          <w:color w:val="333333"/>
          <w:kern w:val="0"/>
          <w:sz w:val="32"/>
          <w:szCs w:val="32"/>
        </w:rPr>
        <w:lastRenderedPageBreak/>
        <w:t>整改。市旅游委自今年8月1日起将集中开展清理整顿工作。凡是违反上述规定的旅行社，根据《旅游法》第九十六条规定，将责令旅行社整改，没收违法所得，并处五千元以上五万元以下罚款；情节严重的，责令停业整顿或者吊销旅行社业务经营许可证；对直接负责的主管人员和其他责任人员，处二千元以上二万元以下罚款。</w:t>
      </w:r>
    </w:p>
    <w:p w:rsidR="00DA2966" w:rsidRPr="00DA2966" w:rsidRDefault="00DA2966" w:rsidP="00DA2966">
      <w:pPr>
        <w:widowControl/>
        <w:spacing w:before="75" w:after="75" w:line="450" w:lineRule="atLeast"/>
        <w:ind w:firstLine="480"/>
        <w:jc w:val="left"/>
        <w:rPr>
          <w:rFonts w:ascii="黑体" w:eastAsia="黑体" w:hAnsi="黑体" w:cs="Arial"/>
          <w:color w:val="333333"/>
          <w:kern w:val="0"/>
          <w:sz w:val="32"/>
          <w:szCs w:val="32"/>
        </w:rPr>
      </w:pPr>
      <w:r w:rsidRPr="00DA2966">
        <w:rPr>
          <w:rFonts w:ascii="仿宋_GB2312" w:eastAsia="仿宋_GB2312" w:hAnsi="Arial" w:cs="Arial" w:hint="eastAsia"/>
          <w:color w:val="333333"/>
          <w:kern w:val="0"/>
          <w:sz w:val="32"/>
          <w:szCs w:val="32"/>
        </w:rPr>
        <w:t> </w:t>
      </w:r>
      <w:r w:rsidRPr="00DA2966">
        <w:rPr>
          <w:rFonts w:ascii="黑体" w:eastAsia="黑体" w:hAnsi="黑体" w:cs="Arial" w:hint="eastAsia"/>
          <w:color w:val="333333"/>
          <w:kern w:val="0"/>
          <w:sz w:val="32"/>
          <w:szCs w:val="32"/>
        </w:rPr>
        <w:t xml:space="preserve">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 xml:space="preserve">四、加大宣传力度，妥善处置群体性事件 </w:t>
      </w:r>
      <w:r w:rsidRPr="00DA2966">
        <w:rPr>
          <w:rFonts w:ascii="宋体" w:eastAsia="宋体" w:hAnsi="宋体" w:cs="宋体" w:hint="eastAsia"/>
          <w:color w:val="333333"/>
          <w:kern w:val="0"/>
          <w:sz w:val="32"/>
          <w:szCs w:val="32"/>
        </w:rPr>
        <w:t> </w:t>
      </w:r>
      <w:r w:rsidRPr="00DA2966">
        <w:rPr>
          <w:rFonts w:ascii="黑体" w:eastAsia="黑体" w:hAnsi="黑体" w:cs="Arial" w:hint="eastAsia"/>
          <w:color w:val="333333"/>
          <w:kern w:val="0"/>
          <w:sz w:val="32"/>
          <w:szCs w:val="32"/>
        </w:rPr>
        <w:t xml:space="preserve"> </w:t>
      </w:r>
      <w:r w:rsidRPr="00DA2966">
        <w:rPr>
          <w:rFonts w:ascii="宋体" w:eastAsia="宋体" w:hAnsi="宋体" w:cs="宋体" w:hint="eastAsia"/>
          <w:color w:val="333333"/>
          <w:kern w:val="0"/>
          <w:sz w:val="32"/>
          <w:szCs w:val="32"/>
        </w:rPr>
        <w:t> </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各区要加强宣传，提高出境</w:t>
      </w:r>
      <w:proofErr w:type="gramStart"/>
      <w:r w:rsidRPr="00DA2966">
        <w:rPr>
          <w:rFonts w:ascii="仿宋_GB2312" w:eastAsia="仿宋_GB2312" w:hAnsi="Arial" w:cs="Arial" w:hint="eastAsia"/>
          <w:color w:val="333333"/>
          <w:kern w:val="0"/>
          <w:sz w:val="32"/>
          <w:szCs w:val="32"/>
        </w:rPr>
        <w:t>游保证</w:t>
      </w:r>
      <w:proofErr w:type="gramEnd"/>
      <w:r w:rsidRPr="00DA2966">
        <w:rPr>
          <w:rFonts w:ascii="仿宋_GB2312" w:eastAsia="仿宋_GB2312" w:hAnsi="Arial" w:cs="Arial" w:hint="eastAsia"/>
          <w:color w:val="333333"/>
          <w:kern w:val="0"/>
          <w:sz w:val="32"/>
          <w:szCs w:val="32"/>
        </w:rPr>
        <w:t>金银行托管机制和旅游套餐风险的社会知晓率和影响力，引导旅游者主动选择银行托管方式缴纳出境游保证金，保障资金安全。不提倡旅游者选择旅游套餐产品。遇到组团社要求以现金或现金转账、向旅行社员工个人账户转账等方式收取出境游保证金的情况，应及时向当地旅游部门反映；遇到出境游保证金不能按约退还的情况，应及时向公安部门报案，或向当地法院提起诉讼，依法、理性维护自身合法权益。各区要加强对旅行社收取出境游保证金和旅游套餐风险情况的检查力度，及时排查问题隐患。一旦发生问题，要依靠所在区党委、政府，配合公安部门予以妥善处理，避免引发群体性事件。各组团社要强化风险防范意识，加强内部管理，杜绝财务安全隐患。</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为配合北京市2017年防范和处置非法集资专项整治行动工作方案，进一步加强旅游市场监管，做好自查清理工作，请各出境旅行社于7月30日前将2017年1-6月份的《出境</w:t>
      </w:r>
      <w:r w:rsidRPr="00DA2966">
        <w:rPr>
          <w:rFonts w:ascii="仿宋_GB2312" w:eastAsia="仿宋_GB2312" w:hAnsi="Arial" w:cs="Arial" w:hint="eastAsia"/>
          <w:color w:val="333333"/>
          <w:kern w:val="0"/>
          <w:sz w:val="32"/>
          <w:szCs w:val="32"/>
        </w:rPr>
        <w:lastRenderedPageBreak/>
        <w:t>游保证金收取自查清理情况登记表》《出境游旅游套餐自查情况登记表》报市旅游</w:t>
      </w:r>
      <w:proofErr w:type="gramStart"/>
      <w:r w:rsidRPr="00DA2966">
        <w:rPr>
          <w:rFonts w:ascii="仿宋_GB2312" w:eastAsia="仿宋_GB2312" w:hAnsi="Arial" w:cs="Arial" w:hint="eastAsia"/>
          <w:color w:val="333333"/>
          <w:kern w:val="0"/>
          <w:sz w:val="32"/>
          <w:szCs w:val="32"/>
        </w:rPr>
        <w:t>委行业</w:t>
      </w:r>
      <w:proofErr w:type="gramEnd"/>
      <w:r w:rsidRPr="00DA2966">
        <w:rPr>
          <w:rFonts w:ascii="仿宋_GB2312" w:eastAsia="仿宋_GB2312" w:hAnsi="Arial" w:cs="Arial" w:hint="eastAsia"/>
          <w:color w:val="333333"/>
          <w:kern w:val="0"/>
          <w:sz w:val="32"/>
          <w:szCs w:val="32"/>
        </w:rPr>
        <w:t>管理处（邮箱：hangyeguanlichu@163.com；传真：65674140）。</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联系人及电话：市旅游委彭丽丽 85157158</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市</w:t>
      </w:r>
      <w:proofErr w:type="gramStart"/>
      <w:r w:rsidRPr="00DA2966">
        <w:rPr>
          <w:rFonts w:ascii="仿宋_GB2312" w:eastAsia="仿宋_GB2312" w:hAnsi="Arial" w:cs="Arial" w:hint="eastAsia"/>
          <w:color w:val="333333"/>
          <w:kern w:val="0"/>
          <w:sz w:val="32"/>
          <w:szCs w:val="32"/>
        </w:rPr>
        <w:t>打非办孙喜东</w:t>
      </w:r>
      <w:proofErr w:type="gramEnd"/>
      <w:r w:rsidRPr="00DA2966">
        <w:rPr>
          <w:rFonts w:ascii="仿宋_GB2312" w:eastAsia="仿宋_GB2312" w:hAnsi="Arial" w:cs="Arial" w:hint="eastAsia"/>
          <w:color w:val="333333"/>
          <w:kern w:val="0"/>
          <w:sz w:val="32"/>
          <w:szCs w:val="32"/>
        </w:rPr>
        <w:t xml:space="preserve"> 88011788</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附件：1.出境游保证金收取自查清理情况登记表</w:t>
      </w:r>
    </w:p>
    <w:p w:rsidR="00DA2966" w:rsidRPr="00DA2966" w:rsidRDefault="00DA2966" w:rsidP="00DA2966">
      <w:pPr>
        <w:widowControl/>
        <w:spacing w:before="75" w:after="75" w:line="450" w:lineRule="atLeast"/>
        <w:ind w:firstLine="480"/>
        <w:jc w:val="lef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2.出境</w:t>
      </w:r>
      <w:proofErr w:type="gramStart"/>
      <w:r w:rsidRPr="00DA2966">
        <w:rPr>
          <w:rFonts w:ascii="仿宋_GB2312" w:eastAsia="仿宋_GB2312" w:hAnsi="Arial" w:cs="Arial" w:hint="eastAsia"/>
          <w:color w:val="333333"/>
          <w:kern w:val="0"/>
          <w:sz w:val="32"/>
          <w:szCs w:val="32"/>
        </w:rPr>
        <w:t>游旅游</w:t>
      </w:r>
      <w:proofErr w:type="gramEnd"/>
      <w:r w:rsidRPr="00DA2966">
        <w:rPr>
          <w:rFonts w:ascii="仿宋_GB2312" w:eastAsia="仿宋_GB2312" w:hAnsi="Arial" w:cs="Arial" w:hint="eastAsia"/>
          <w:color w:val="333333"/>
          <w:kern w:val="0"/>
          <w:sz w:val="32"/>
          <w:szCs w:val="32"/>
        </w:rPr>
        <w:t xml:space="preserve">套餐自查清理情况登记表 </w:t>
      </w:r>
      <w:r w:rsidRPr="00DA2966">
        <w:rPr>
          <w:rFonts w:ascii="仿宋_GB2312" w:eastAsia="仿宋_GB2312" w:hAnsi="Arial" w:cs="Arial" w:hint="eastAsia"/>
          <w:color w:val="333333"/>
          <w:kern w:val="0"/>
          <w:sz w:val="32"/>
          <w:szCs w:val="32"/>
        </w:rPr>
        <w:t>  </w:t>
      </w:r>
      <w:r w:rsidRPr="00DA2966">
        <w:rPr>
          <w:rFonts w:ascii="仿宋_GB2312" w:eastAsia="仿宋_GB2312" w:hAnsi="Arial" w:cs="Arial" w:hint="eastAsia"/>
          <w:color w:val="333333"/>
          <w:kern w:val="0"/>
          <w:sz w:val="32"/>
          <w:szCs w:val="32"/>
        </w:rPr>
        <w:br/>
      </w:r>
      <w:r w:rsidRPr="00DA2966">
        <w:rPr>
          <w:rFonts w:ascii="仿宋_GB2312" w:eastAsia="仿宋_GB2312" w:hAnsi="Arial" w:cs="Arial" w:hint="eastAsia"/>
          <w:color w:val="333333"/>
          <w:kern w:val="0"/>
          <w:sz w:val="32"/>
          <w:szCs w:val="32"/>
        </w:rPr>
        <w:t> </w:t>
      </w:r>
    </w:p>
    <w:p w:rsidR="00DA2966" w:rsidRDefault="00DA2966" w:rsidP="00DA2966">
      <w:pPr>
        <w:widowControl/>
        <w:spacing w:before="75" w:after="75" w:line="450" w:lineRule="atLeast"/>
        <w:ind w:firstLine="480"/>
        <w:jc w:val="righ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北京市旅游发展委员会 北京市打击非法集资和非法证券经营活动工作协调小组办公室</w:t>
      </w:r>
    </w:p>
    <w:p w:rsidR="007C6AA8" w:rsidRPr="00DA2966" w:rsidRDefault="00DA2966" w:rsidP="00DA2966">
      <w:pPr>
        <w:widowControl/>
        <w:wordWrap w:val="0"/>
        <w:spacing w:before="75" w:after="75" w:line="450" w:lineRule="atLeast"/>
        <w:ind w:firstLine="480"/>
        <w:jc w:val="right"/>
        <w:rPr>
          <w:rFonts w:ascii="仿宋_GB2312" w:eastAsia="仿宋_GB2312" w:hAnsi="Arial" w:cs="Arial"/>
          <w:color w:val="333333"/>
          <w:kern w:val="0"/>
          <w:sz w:val="32"/>
          <w:szCs w:val="32"/>
        </w:rPr>
      </w:pPr>
      <w:r w:rsidRPr="00DA2966">
        <w:rPr>
          <w:rFonts w:ascii="仿宋_GB2312" w:eastAsia="仿宋_GB2312" w:hAnsi="Arial" w:cs="Arial" w:hint="eastAsia"/>
          <w:color w:val="333333"/>
          <w:kern w:val="0"/>
          <w:sz w:val="32"/>
          <w:szCs w:val="32"/>
        </w:rPr>
        <w:t>2017年7月5日</w:t>
      </w:r>
      <w:r>
        <w:rPr>
          <w:rFonts w:ascii="仿宋_GB2312" w:eastAsia="仿宋_GB2312" w:hAnsi="Arial" w:cs="Arial" w:hint="eastAsia"/>
          <w:color w:val="333333"/>
          <w:kern w:val="0"/>
          <w:sz w:val="32"/>
          <w:szCs w:val="32"/>
        </w:rPr>
        <w:t xml:space="preserve">    </w:t>
      </w:r>
    </w:p>
    <w:sectPr w:rsidR="007C6AA8" w:rsidRPr="00DA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6A" w:rsidRDefault="00B0436A" w:rsidP="00DA2966">
      <w:r>
        <w:separator/>
      </w:r>
    </w:p>
  </w:endnote>
  <w:endnote w:type="continuationSeparator" w:id="0">
    <w:p w:rsidR="00B0436A" w:rsidRDefault="00B0436A" w:rsidP="00DA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6A" w:rsidRDefault="00B0436A" w:rsidP="00DA2966">
      <w:r>
        <w:separator/>
      </w:r>
    </w:p>
  </w:footnote>
  <w:footnote w:type="continuationSeparator" w:id="0">
    <w:p w:rsidR="00B0436A" w:rsidRDefault="00B0436A" w:rsidP="00DA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9F"/>
    <w:rsid w:val="004D65A4"/>
    <w:rsid w:val="0052579F"/>
    <w:rsid w:val="005A3E8D"/>
    <w:rsid w:val="007C6AA8"/>
    <w:rsid w:val="00B0436A"/>
    <w:rsid w:val="00DA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966"/>
    <w:rPr>
      <w:sz w:val="18"/>
      <w:szCs w:val="18"/>
    </w:rPr>
  </w:style>
  <w:style w:type="paragraph" w:styleId="a4">
    <w:name w:val="footer"/>
    <w:basedOn w:val="a"/>
    <w:link w:val="Char0"/>
    <w:uiPriority w:val="99"/>
    <w:unhideWhenUsed/>
    <w:rsid w:val="00DA2966"/>
    <w:pPr>
      <w:tabs>
        <w:tab w:val="center" w:pos="4153"/>
        <w:tab w:val="right" w:pos="8306"/>
      </w:tabs>
      <w:snapToGrid w:val="0"/>
      <w:jc w:val="left"/>
    </w:pPr>
    <w:rPr>
      <w:sz w:val="18"/>
      <w:szCs w:val="18"/>
    </w:rPr>
  </w:style>
  <w:style w:type="character" w:customStyle="1" w:styleId="Char0">
    <w:name w:val="页脚 Char"/>
    <w:basedOn w:val="a0"/>
    <w:link w:val="a4"/>
    <w:uiPriority w:val="99"/>
    <w:rsid w:val="00DA2966"/>
    <w:rPr>
      <w:sz w:val="18"/>
      <w:szCs w:val="18"/>
    </w:rPr>
  </w:style>
  <w:style w:type="paragraph" w:styleId="a5">
    <w:name w:val="Normal (Web)"/>
    <w:basedOn w:val="a"/>
    <w:uiPriority w:val="99"/>
    <w:semiHidden/>
    <w:unhideWhenUsed/>
    <w:rsid w:val="00DA296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966"/>
    <w:rPr>
      <w:sz w:val="18"/>
      <w:szCs w:val="18"/>
    </w:rPr>
  </w:style>
  <w:style w:type="paragraph" w:styleId="a4">
    <w:name w:val="footer"/>
    <w:basedOn w:val="a"/>
    <w:link w:val="Char0"/>
    <w:uiPriority w:val="99"/>
    <w:unhideWhenUsed/>
    <w:rsid w:val="00DA2966"/>
    <w:pPr>
      <w:tabs>
        <w:tab w:val="center" w:pos="4153"/>
        <w:tab w:val="right" w:pos="8306"/>
      </w:tabs>
      <w:snapToGrid w:val="0"/>
      <w:jc w:val="left"/>
    </w:pPr>
    <w:rPr>
      <w:sz w:val="18"/>
      <w:szCs w:val="18"/>
    </w:rPr>
  </w:style>
  <w:style w:type="character" w:customStyle="1" w:styleId="Char0">
    <w:name w:val="页脚 Char"/>
    <w:basedOn w:val="a0"/>
    <w:link w:val="a4"/>
    <w:uiPriority w:val="99"/>
    <w:rsid w:val="00DA2966"/>
    <w:rPr>
      <w:sz w:val="18"/>
      <w:szCs w:val="18"/>
    </w:rPr>
  </w:style>
  <w:style w:type="paragraph" w:styleId="a5">
    <w:name w:val="Normal (Web)"/>
    <w:basedOn w:val="a"/>
    <w:uiPriority w:val="99"/>
    <w:semiHidden/>
    <w:unhideWhenUsed/>
    <w:rsid w:val="00DA2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1323">
      <w:bodyDiv w:val="1"/>
      <w:marLeft w:val="0"/>
      <w:marRight w:val="0"/>
      <w:marTop w:val="0"/>
      <w:marBottom w:val="0"/>
      <w:divBdr>
        <w:top w:val="none" w:sz="0" w:space="0" w:color="auto"/>
        <w:left w:val="none" w:sz="0" w:space="0" w:color="auto"/>
        <w:bottom w:val="none" w:sz="0" w:space="0" w:color="auto"/>
        <w:right w:val="none" w:sz="0" w:space="0" w:color="auto"/>
      </w:divBdr>
      <w:divsChild>
        <w:div w:id="6110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dcterms:created xsi:type="dcterms:W3CDTF">2022-09-27T03:05:00Z</dcterms:created>
  <dcterms:modified xsi:type="dcterms:W3CDTF">2022-10-12T07:28:00Z</dcterms:modified>
</cp:coreProperties>
</file>