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11329">
      <w:pPr>
        <w:pStyle w:val="3"/>
        <w:numPr>
          <w:ilvl w:val="0"/>
          <w:numId w:val="1"/>
        </w:numPr>
        <w:ind w:firstLine="482"/>
        <w:rPr>
          <w:color w:val="auto"/>
          <w:highlight w:val="none"/>
        </w:rPr>
      </w:pPr>
      <w:r>
        <w:rPr>
          <w:rFonts w:hint="eastAsia"/>
          <w:color w:val="auto"/>
          <w:highlight w:val="none"/>
        </w:rPr>
        <w:t>评审标准</w:t>
      </w:r>
    </w:p>
    <w:tbl>
      <w:tblPr>
        <w:tblStyle w:val="5"/>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67"/>
        <w:gridCol w:w="1310"/>
        <w:gridCol w:w="712"/>
        <w:gridCol w:w="5325"/>
      </w:tblGrid>
      <w:tr w14:paraId="5C1F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15A1B52">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267" w:type="dxa"/>
            <w:vAlign w:val="center"/>
          </w:tcPr>
          <w:p w14:paraId="66EDAA86">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评审条款</w:t>
            </w:r>
          </w:p>
        </w:tc>
        <w:tc>
          <w:tcPr>
            <w:tcW w:w="1310" w:type="dxa"/>
            <w:vAlign w:val="center"/>
          </w:tcPr>
          <w:p w14:paraId="6292B865">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c>
          <w:tcPr>
            <w:tcW w:w="712" w:type="dxa"/>
            <w:vAlign w:val="center"/>
          </w:tcPr>
          <w:p w14:paraId="204BB55C">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5325" w:type="dxa"/>
            <w:vAlign w:val="center"/>
          </w:tcPr>
          <w:p w14:paraId="5333384E">
            <w:pPr>
              <w:spacing w:line="240" w:lineRule="auto"/>
              <w:ind w:firstLine="482"/>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tc>
      </w:tr>
      <w:tr w14:paraId="0507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4" w:type="dxa"/>
            <w:vAlign w:val="center"/>
          </w:tcPr>
          <w:p w14:paraId="594CB4D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67" w:type="dxa"/>
            <w:vAlign w:val="center"/>
          </w:tcPr>
          <w:p w14:paraId="3119C1AA">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价格部分</w:t>
            </w:r>
          </w:p>
          <w:p w14:paraId="34E1B030">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0分）</w:t>
            </w:r>
          </w:p>
        </w:tc>
        <w:tc>
          <w:tcPr>
            <w:tcW w:w="1310" w:type="dxa"/>
            <w:vAlign w:val="center"/>
          </w:tcPr>
          <w:p w14:paraId="0C873438">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w:t>
            </w:r>
          </w:p>
        </w:tc>
        <w:tc>
          <w:tcPr>
            <w:tcW w:w="712" w:type="dxa"/>
            <w:vAlign w:val="center"/>
          </w:tcPr>
          <w:p w14:paraId="6C5BD7A5">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w:t>
            </w:r>
          </w:p>
        </w:tc>
        <w:tc>
          <w:tcPr>
            <w:tcW w:w="5325" w:type="dxa"/>
            <w:vAlign w:val="center"/>
          </w:tcPr>
          <w:p w14:paraId="69EAB83F">
            <w:pPr>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TW" w:eastAsia="zh-TW"/>
              </w:rPr>
              <w:t>即满足</w:t>
            </w:r>
            <w:r>
              <w:rPr>
                <w:rFonts w:hint="eastAsia" w:ascii="宋体" w:hAnsi="宋体" w:eastAsia="宋体" w:cs="宋体"/>
                <w:color w:val="auto"/>
                <w:sz w:val="21"/>
                <w:szCs w:val="21"/>
                <w:highlight w:val="none"/>
                <w:lang w:val="zh-TW"/>
              </w:rPr>
              <w:t>公开</w:t>
            </w:r>
            <w:r>
              <w:rPr>
                <w:rFonts w:hint="eastAsia" w:ascii="宋体" w:hAnsi="宋体" w:eastAsia="宋体" w:cs="宋体"/>
                <w:color w:val="auto"/>
                <w:sz w:val="21"/>
                <w:szCs w:val="21"/>
                <w:highlight w:val="none"/>
                <w:lang w:val="zh-TW" w:eastAsia="zh-CN"/>
              </w:rPr>
              <w:t>遴选文件</w:t>
            </w:r>
            <w:r>
              <w:rPr>
                <w:rFonts w:hint="eastAsia" w:ascii="宋体" w:hAnsi="宋体" w:eastAsia="宋体" w:cs="宋体"/>
                <w:color w:val="auto"/>
                <w:sz w:val="21"/>
                <w:szCs w:val="21"/>
                <w:highlight w:val="none"/>
                <w:lang w:val="zh-TW" w:eastAsia="zh-TW"/>
              </w:rPr>
              <w:t>要求且</w:t>
            </w:r>
            <w:r>
              <w:rPr>
                <w:rFonts w:hint="eastAsia" w:ascii="宋体" w:hAnsi="宋体" w:eastAsia="宋体" w:cs="宋体"/>
                <w:color w:val="auto"/>
                <w:sz w:val="21"/>
                <w:szCs w:val="21"/>
                <w:highlight w:val="none"/>
                <w:lang w:val="zh-TW"/>
              </w:rPr>
              <w:t>响应</w:t>
            </w:r>
            <w:r>
              <w:rPr>
                <w:rFonts w:hint="eastAsia" w:ascii="宋体" w:hAnsi="宋体" w:eastAsia="宋体" w:cs="宋体"/>
                <w:color w:val="auto"/>
                <w:sz w:val="21"/>
                <w:szCs w:val="21"/>
                <w:highlight w:val="none"/>
                <w:lang w:val="zh-TW" w:eastAsia="zh-TW"/>
              </w:rPr>
              <w:t>价格最低的</w:t>
            </w:r>
            <w:r>
              <w:rPr>
                <w:rFonts w:hint="eastAsia" w:ascii="宋体" w:hAnsi="宋体" w:eastAsia="宋体" w:cs="宋体"/>
                <w:color w:val="auto"/>
                <w:sz w:val="21"/>
                <w:szCs w:val="21"/>
                <w:highlight w:val="none"/>
                <w:lang w:val="zh-TW"/>
              </w:rPr>
              <w:t>响应</w:t>
            </w:r>
            <w:r>
              <w:rPr>
                <w:rFonts w:hint="eastAsia" w:ascii="宋体" w:hAnsi="宋体" w:eastAsia="宋体" w:cs="宋体"/>
                <w:color w:val="auto"/>
                <w:sz w:val="21"/>
                <w:szCs w:val="21"/>
                <w:highlight w:val="none"/>
                <w:lang w:val="zh-TW" w:eastAsia="zh-TW"/>
              </w:rPr>
              <w:t>报价为评</w:t>
            </w:r>
            <w:r>
              <w:rPr>
                <w:rFonts w:hint="eastAsia" w:ascii="宋体" w:hAnsi="宋体" w:eastAsia="宋体" w:cs="宋体"/>
                <w:color w:val="auto"/>
                <w:sz w:val="21"/>
                <w:szCs w:val="21"/>
                <w:highlight w:val="none"/>
                <w:lang w:val="zh-TW"/>
              </w:rPr>
              <w:t>审</w:t>
            </w:r>
            <w:r>
              <w:rPr>
                <w:rFonts w:hint="eastAsia" w:ascii="宋体" w:hAnsi="宋体" w:eastAsia="宋体" w:cs="宋体"/>
                <w:color w:val="auto"/>
                <w:sz w:val="21"/>
                <w:szCs w:val="21"/>
                <w:highlight w:val="none"/>
                <w:lang w:val="zh-TW" w:eastAsia="zh-TW"/>
              </w:rPr>
              <w:t>基准价，其价格分为满分。其他</w:t>
            </w:r>
            <w:r>
              <w:rPr>
                <w:rFonts w:hint="eastAsia" w:ascii="宋体" w:hAnsi="宋体" w:eastAsia="宋体" w:cs="宋体"/>
                <w:color w:val="auto"/>
                <w:sz w:val="21"/>
                <w:szCs w:val="21"/>
                <w:highlight w:val="none"/>
                <w:lang w:val="zh-TW"/>
              </w:rPr>
              <w:t>供应商</w:t>
            </w:r>
            <w:r>
              <w:rPr>
                <w:rFonts w:hint="eastAsia" w:ascii="宋体" w:hAnsi="宋体" w:eastAsia="宋体" w:cs="宋体"/>
                <w:color w:val="auto"/>
                <w:sz w:val="21"/>
                <w:szCs w:val="21"/>
                <w:highlight w:val="none"/>
                <w:lang w:val="zh-TW" w:eastAsia="zh-TW"/>
              </w:rPr>
              <w:t>的价格分统一按照下列公式计算：</w:t>
            </w:r>
            <w:r>
              <w:rPr>
                <w:rFonts w:hint="eastAsia" w:ascii="宋体" w:hAnsi="宋体" w:eastAsia="宋体" w:cs="宋体"/>
                <w:color w:val="auto"/>
                <w:sz w:val="21"/>
                <w:szCs w:val="21"/>
                <w:highlight w:val="none"/>
                <w:lang w:val="zh-TW"/>
              </w:rPr>
              <w:t>响应</w:t>
            </w:r>
            <w:r>
              <w:rPr>
                <w:rFonts w:hint="eastAsia" w:ascii="宋体" w:hAnsi="宋体" w:eastAsia="宋体" w:cs="宋体"/>
                <w:color w:val="auto"/>
                <w:sz w:val="21"/>
                <w:szCs w:val="21"/>
                <w:highlight w:val="none"/>
                <w:lang w:val="zh-TW" w:eastAsia="zh-TW"/>
              </w:rPr>
              <w:t>报价得分=</w:t>
            </w:r>
            <w:r>
              <w:rPr>
                <w:rFonts w:hint="eastAsia" w:ascii="宋体" w:hAnsi="宋体" w:eastAsia="宋体" w:cs="宋体"/>
                <w:color w:val="auto"/>
                <w:sz w:val="21"/>
                <w:szCs w:val="21"/>
                <w:highlight w:val="none"/>
                <w:lang w:val="zh-TW"/>
              </w:rPr>
              <w:t>（</w:t>
            </w:r>
            <w:r>
              <w:rPr>
                <w:rFonts w:hint="eastAsia" w:ascii="宋体" w:hAnsi="宋体" w:eastAsia="宋体" w:cs="宋体"/>
                <w:color w:val="auto"/>
                <w:sz w:val="21"/>
                <w:szCs w:val="21"/>
                <w:highlight w:val="none"/>
                <w:lang w:val="zh-TW" w:eastAsia="zh-TW"/>
              </w:rPr>
              <w:t>评</w:t>
            </w:r>
            <w:r>
              <w:rPr>
                <w:rFonts w:hint="eastAsia" w:ascii="宋体" w:hAnsi="宋体" w:eastAsia="宋体" w:cs="宋体"/>
                <w:color w:val="auto"/>
                <w:sz w:val="21"/>
                <w:szCs w:val="21"/>
                <w:highlight w:val="none"/>
                <w:lang w:val="zh-TW"/>
              </w:rPr>
              <w:t>审</w:t>
            </w:r>
            <w:r>
              <w:rPr>
                <w:rFonts w:hint="eastAsia" w:ascii="宋体" w:hAnsi="宋体" w:eastAsia="宋体" w:cs="宋体"/>
                <w:color w:val="auto"/>
                <w:sz w:val="21"/>
                <w:szCs w:val="21"/>
                <w:highlight w:val="none"/>
                <w:lang w:val="zh-TW" w:eastAsia="zh-TW"/>
              </w:rPr>
              <w:t>基准价／</w:t>
            </w:r>
            <w:r>
              <w:rPr>
                <w:rFonts w:hint="eastAsia" w:ascii="宋体" w:hAnsi="宋体" w:eastAsia="宋体" w:cs="宋体"/>
                <w:color w:val="auto"/>
                <w:sz w:val="21"/>
                <w:szCs w:val="21"/>
                <w:highlight w:val="none"/>
                <w:lang w:val="zh-TW"/>
              </w:rPr>
              <w:t>响应</w:t>
            </w:r>
            <w:r>
              <w:rPr>
                <w:rFonts w:hint="eastAsia" w:ascii="宋体" w:hAnsi="宋体" w:eastAsia="宋体" w:cs="宋体"/>
                <w:color w:val="auto"/>
                <w:sz w:val="21"/>
                <w:szCs w:val="21"/>
                <w:highlight w:val="none"/>
                <w:lang w:val="zh-TW" w:eastAsia="zh-TW"/>
              </w:rPr>
              <w:t>报价)×</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w:t>
            </w:r>
          </w:p>
        </w:tc>
      </w:tr>
      <w:tr w14:paraId="5765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3" w:hRule="atLeast"/>
          <w:jc w:val="center"/>
        </w:trPr>
        <w:tc>
          <w:tcPr>
            <w:tcW w:w="704" w:type="dxa"/>
            <w:vAlign w:val="center"/>
          </w:tcPr>
          <w:p w14:paraId="21237077">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67" w:type="dxa"/>
            <w:vAlign w:val="center"/>
          </w:tcPr>
          <w:p w14:paraId="7E61182A">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商务部分</w:t>
            </w:r>
          </w:p>
          <w:p w14:paraId="4F4F7F3A">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1310" w:type="dxa"/>
            <w:vAlign w:val="center"/>
          </w:tcPr>
          <w:p w14:paraId="68CADBDD">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相关业绩</w:t>
            </w:r>
          </w:p>
        </w:tc>
        <w:tc>
          <w:tcPr>
            <w:tcW w:w="712" w:type="dxa"/>
            <w:vAlign w:val="center"/>
          </w:tcPr>
          <w:p w14:paraId="327CEEEC">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325" w:type="dxa"/>
            <w:vAlign w:val="center"/>
          </w:tcPr>
          <w:p w14:paraId="74073A7D">
            <w:pPr>
              <w:pStyle w:val="7"/>
              <w:spacing w:line="240" w:lineRule="auto"/>
              <w:jc w:val="left"/>
              <w:rPr>
                <w:rFonts w:hint="eastAsia" w:ascii="宋体" w:hAnsi="宋体" w:eastAsia="宋体" w:cs="宋体"/>
                <w:color w:val="auto"/>
                <w:sz w:val="21"/>
                <w:szCs w:val="21"/>
                <w:highlight w:val="none"/>
                <w:lang w:val="zh-TW" w:eastAsia="zh-TW"/>
              </w:rPr>
            </w:pPr>
            <w:r>
              <w:rPr>
                <w:rFonts w:hint="eastAsia" w:ascii="宋体" w:hAnsi="宋体" w:eastAsia="宋体" w:cs="宋体"/>
                <w:color w:val="auto"/>
                <w:sz w:val="21"/>
                <w:szCs w:val="21"/>
                <w:highlight w:val="none"/>
                <w:lang w:val="zh-TW" w:eastAsia="zh-CN"/>
              </w:rPr>
              <w:t>供应商</w:t>
            </w:r>
            <w:r>
              <w:rPr>
                <w:rFonts w:hint="eastAsia" w:ascii="宋体" w:hAnsi="宋体" w:eastAsia="宋体" w:cs="宋体"/>
                <w:color w:val="auto"/>
                <w:sz w:val="21"/>
                <w:szCs w:val="21"/>
                <w:highlight w:val="none"/>
                <w:lang w:val="zh-TW" w:eastAsia="zh-TW"/>
              </w:rPr>
              <w:t>自202</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TW" w:eastAsia="zh-TW"/>
              </w:rPr>
              <w:t>年1月1日至本项目投标截止日（以合同签订日期为准）具有类似项目业绩，每提供一个</w:t>
            </w:r>
            <w:r>
              <w:rPr>
                <w:rFonts w:hint="eastAsia" w:ascii="宋体" w:hAnsi="宋体" w:eastAsia="宋体" w:cs="宋体"/>
                <w:color w:val="auto"/>
                <w:sz w:val="21"/>
                <w:szCs w:val="21"/>
                <w:highlight w:val="none"/>
              </w:rPr>
              <w:t>有效的业绩合同</w:t>
            </w:r>
            <w:r>
              <w:rPr>
                <w:rFonts w:hint="eastAsia" w:ascii="宋体" w:hAnsi="宋体" w:eastAsia="宋体" w:cs="宋体"/>
                <w:color w:val="auto"/>
                <w:sz w:val="21"/>
                <w:szCs w:val="21"/>
                <w:highlight w:val="none"/>
                <w:lang w:val="zh-TW" w:eastAsia="zh-TW"/>
              </w:rPr>
              <w:t>得</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TW" w:eastAsia="zh-TW"/>
              </w:rPr>
              <w:t>分，最多得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val="zh-TW" w:eastAsia="zh-TW"/>
              </w:rPr>
              <w:t>分。不提供不得分。</w:t>
            </w:r>
          </w:p>
          <w:p w14:paraId="78C8BF42">
            <w:pPr>
              <w:pStyle w:val="7"/>
              <w:spacing w:line="240" w:lineRule="auto"/>
              <w:jc w:val="left"/>
              <w:rPr>
                <w:rFonts w:hint="eastAsia" w:ascii="宋体" w:hAnsi="宋体" w:eastAsia="宋体" w:cs="宋体"/>
                <w:color w:val="auto"/>
                <w:sz w:val="21"/>
                <w:szCs w:val="21"/>
                <w:highlight w:val="none"/>
                <w:lang w:val="zh-TW" w:eastAsia="zh-TW"/>
              </w:rPr>
            </w:pPr>
            <w:r>
              <w:rPr>
                <w:rFonts w:hint="eastAsia" w:ascii="宋体" w:hAnsi="宋体" w:eastAsia="宋体" w:cs="宋体"/>
                <w:color w:val="auto"/>
                <w:sz w:val="21"/>
                <w:szCs w:val="21"/>
                <w:highlight w:val="none"/>
                <w:lang w:val="zh-TW" w:eastAsia="zh-TW"/>
              </w:rPr>
              <w:t>注：需提供合同复印件关键页（包括合同首页、双方印章、合同金额、</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lang w:val="zh-TW" w:eastAsia="zh-TW"/>
              </w:rPr>
              <w:t>内容页、签订时间），并加盖</w:t>
            </w:r>
            <w:r>
              <w:rPr>
                <w:rFonts w:hint="eastAsia" w:ascii="宋体" w:hAnsi="宋体" w:eastAsia="宋体" w:cs="宋体"/>
                <w:color w:val="auto"/>
                <w:sz w:val="21"/>
                <w:szCs w:val="21"/>
                <w:highlight w:val="none"/>
                <w:lang w:val="zh-TW" w:eastAsia="zh-CN"/>
              </w:rPr>
              <w:t>供应商</w:t>
            </w:r>
            <w:r>
              <w:rPr>
                <w:rFonts w:hint="eastAsia" w:ascii="宋体" w:hAnsi="宋体" w:eastAsia="宋体" w:cs="宋体"/>
                <w:color w:val="auto"/>
                <w:sz w:val="21"/>
                <w:szCs w:val="21"/>
                <w:highlight w:val="none"/>
                <w:lang w:val="zh-TW" w:eastAsia="zh-TW"/>
              </w:rPr>
              <w:t>公章，否则不予认可。</w:t>
            </w:r>
          </w:p>
        </w:tc>
      </w:tr>
      <w:tr w14:paraId="5F33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4" w:type="dxa"/>
            <w:vMerge w:val="restart"/>
            <w:vAlign w:val="center"/>
          </w:tcPr>
          <w:p w14:paraId="7CEAF1C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p w14:paraId="5DBE3585">
            <w:pPr>
              <w:spacing w:line="240" w:lineRule="auto"/>
              <w:ind w:firstLine="480"/>
              <w:jc w:val="center"/>
              <w:rPr>
                <w:rFonts w:hint="eastAsia" w:ascii="宋体" w:hAnsi="宋体" w:eastAsia="宋体" w:cs="宋体"/>
                <w:color w:val="auto"/>
                <w:sz w:val="21"/>
                <w:szCs w:val="21"/>
                <w:highlight w:val="none"/>
              </w:rPr>
            </w:pPr>
          </w:p>
        </w:tc>
        <w:tc>
          <w:tcPr>
            <w:tcW w:w="1267" w:type="dxa"/>
            <w:vMerge w:val="restart"/>
            <w:vAlign w:val="center"/>
          </w:tcPr>
          <w:p w14:paraId="52CE76D9">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rPr>
              <w:t>分）</w:t>
            </w:r>
          </w:p>
          <w:p w14:paraId="465DBC0F">
            <w:pPr>
              <w:spacing w:line="240" w:lineRule="auto"/>
              <w:rPr>
                <w:rFonts w:hint="eastAsia" w:ascii="宋体" w:hAnsi="宋体" w:eastAsia="宋体" w:cs="宋体"/>
                <w:color w:val="auto"/>
                <w:sz w:val="21"/>
                <w:szCs w:val="21"/>
                <w:highlight w:val="none"/>
              </w:rPr>
            </w:pPr>
          </w:p>
        </w:tc>
        <w:tc>
          <w:tcPr>
            <w:tcW w:w="1310" w:type="dxa"/>
            <w:vAlign w:val="center"/>
          </w:tcPr>
          <w:p w14:paraId="32C3B624">
            <w:pPr>
              <w:pStyle w:val="8"/>
              <w:spacing w:before="68" w:line="240" w:lineRule="auto"/>
              <w:ind w:left="111" w:leftChars="0" w:right="107" w:rightChars="0" w:firstLine="3" w:firstLineChars="0"/>
              <w:jc w:val="center"/>
              <w:rPr>
                <w:rFonts w:hint="eastAsia" w:ascii="宋体" w:hAnsi="宋体" w:eastAsia="宋体" w:cs="宋体"/>
                <w:color w:val="auto"/>
                <w:kern w:val="0"/>
                <w:sz w:val="21"/>
                <w:szCs w:val="21"/>
                <w:highlight w:val="none"/>
              </w:rPr>
            </w:pPr>
            <w:r>
              <w:rPr>
                <w:rFonts w:hint="eastAsia" w:ascii="宋体" w:hAnsi="宋体" w:eastAsia="宋体" w:cs="宋体"/>
                <w:spacing w:val="5"/>
                <w:sz w:val="21"/>
                <w:szCs w:val="21"/>
                <w:highlight w:val="none"/>
              </w:rPr>
              <w:t>项目需求及</w:t>
            </w:r>
            <w:r>
              <w:rPr>
                <w:rFonts w:hint="eastAsia" w:ascii="宋体" w:hAnsi="宋体" w:eastAsia="宋体" w:cs="宋体"/>
                <w:spacing w:val="6"/>
                <w:sz w:val="21"/>
                <w:szCs w:val="21"/>
                <w:highlight w:val="none"/>
              </w:rPr>
              <w:t>服务质量保</w:t>
            </w:r>
            <w:r>
              <w:rPr>
                <w:rFonts w:hint="eastAsia" w:ascii="宋体" w:hAnsi="宋体" w:eastAsia="宋体" w:cs="宋体"/>
                <w:spacing w:val="-6"/>
                <w:sz w:val="21"/>
                <w:szCs w:val="21"/>
                <w:highlight w:val="none"/>
              </w:rPr>
              <w:t>证措施</w:t>
            </w:r>
          </w:p>
        </w:tc>
        <w:tc>
          <w:tcPr>
            <w:tcW w:w="712" w:type="dxa"/>
            <w:vAlign w:val="center"/>
          </w:tcPr>
          <w:p w14:paraId="1BD03F73">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10</w:t>
            </w:r>
          </w:p>
        </w:tc>
        <w:tc>
          <w:tcPr>
            <w:tcW w:w="5325" w:type="dxa"/>
            <w:vAlign w:val="top"/>
          </w:tcPr>
          <w:p w14:paraId="3FC91B82">
            <w:pPr>
              <w:pStyle w:val="8"/>
              <w:spacing w:before="31" w:line="240" w:lineRule="auto"/>
              <w:ind w:left="111" w:right="105"/>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根据</w:t>
            </w:r>
            <w:r>
              <w:rPr>
                <w:rFonts w:hint="eastAsia" w:ascii="宋体" w:hAnsi="宋体" w:eastAsia="宋体" w:cs="宋体"/>
                <w:spacing w:val="-3"/>
                <w:sz w:val="21"/>
                <w:szCs w:val="21"/>
                <w:highlight w:val="none"/>
                <w:lang w:eastAsia="zh-CN"/>
              </w:rPr>
              <w:t>遴选</w:t>
            </w:r>
            <w:r>
              <w:rPr>
                <w:rFonts w:hint="eastAsia" w:ascii="宋体" w:hAnsi="宋体" w:eastAsia="宋体" w:cs="宋体"/>
                <w:spacing w:val="-3"/>
                <w:sz w:val="21"/>
                <w:szCs w:val="21"/>
                <w:highlight w:val="none"/>
              </w:rPr>
              <w:t>要求和供应商技术响应情况，对供应商能够正确</w:t>
            </w:r>
            <w:r>
              <w:rPr>
                <w:rFonts w:hint="eastAsia" w:ascii="宋体" w:hAnsi="宋体" w:eastAsia="宋体" w:cs="宋体"/>
                <w:spacing w:val="-4"/>
                <w:sz w:val="21"/>
                <w:szCs w:val="21"/>
                <w:highlight w:val="none"/>
              </w:rPr>
              <w:t>理解项目需求</w:t>
            </w:r>
            <w:r>
              <w:rPr>
                <w:rFonts w:hint="eastAsia" w:ascii="宋体" w:hAnsi="宋体" w:eastAsia="宋体" w:cs="宋体"/>
                <w:spacing w:val="-1"/>
                <w:sz w:val="21"/>
                <w:szCs w:val="21"/>
                <w:highlight w:val="none"/>
              </w:rPr>
              <w:t>及服务质量保证措施进行评价，具体如下：</w:t>
            </w:r>
          </w:p>
          <w:p w14:paraId="5932F2C6">
            <w:pPr>
              <w:pStyle w:val="8"/>
              <w:spacing w:before="1" w:line="240" w:lineRule="auto"/>
              <w:ind w:left="111" w:right="105" w:firstLine="7"/>
              <w:rPr>
                <w:rFonts w:hint="eastAsia" w:ascii="宋体" w:hAnsi="宋体" w:eastAsia="宋体" w:cs="宋体"/>
                <w:sz w:val="21"/>
                <w:szCs w:val="21"/>
                <w:highlight w:val="none"/>
              </w:rPr>
            </w:pPr>
            <w:r>
              <w:rPr>
                <w:rFonts w:hint="eastAsia" w:ascii="宋体" w:hAnsi="宋体" w:eastAsia="宋体" w:cs="宋体"/>
                <w:sz w:val="21"/>
                <w:szCs w:val="21"/>
                <w:highlight w:val="none"/>
              </w:rPr>
              <w:t>（1）供应商提供的需求理解方案完全理解用户需求，需求分析充</w:t>
            </w:r>
            <w:r>
              <w:rPr>
                <w:rFonts w:hint="eastAsia" w:ascii="宋体" w:hAnsi="宋体" w:eastAsia="宋体" w:cs="宋体"/>
                <w:spacing w:val="-1"/>
                <w:sz w:val="21"/>
                <w:szCs w:val="21"/>
                <w:highlight w:val="none"/>
              </w:rPr>
              <w:t>分、</w:t>
            </w:r>
            <w:r>
              <w:rPr>
                <w:rFonts w:hint="eastAsia" w:ascii="宋体" w:hAnsi="宋体" w:eastAsia="宋体" w:cs="宋体"/>
                <w:spacing w:val="-3"/>
                <w:sz w:val="21"/>
                <w:szCs w:val="21"/>
                <w:highlight w:val="none"/>
              </w:rPr>
              <w:t>透彻，对需求响应程度高，服务质量保证措施强劲有力，科</w:t>
            </w:r>
            <w:r>
              <w:rPr>
                <w:rFonts w:hint="eastAsia" w:ascii="宋体" w:hAnsi="宋体" w:eastAsia="宋体" w:cs="宋体"/>
                <w:spacing w:val="-4"/>
                <w:sz w:val="21"/>
                <w:szCs w:val="21"/>
                <w:highlight w:val="none"/>
              </w:rPr>
              <w:t>学合理，有</w:t>
            </w:r>
            <w:r>
              <w:rPr>
                <w:rFonts w:hint="eastAsia" w:ascii="宋体" w:hAnsi="宋体" w:eastAsia="宋体" w:cs="宋体"/>
                <w:spacing w:val="-3"/>
                <w:sz w:val="21"/>
                <w:szCs w:val="21"/>
                <w:highlight w:val="none"/>
              </w:rPr>
              <w:t>效性强，完全满足</w:t>
            </w:r>
            <w:r>
              <w:rPr>
                <w:rFonts w:hint="eastAsia" w:ascii="宋体" w:hAnsi="宋体" w:eastAsia="宋体" w:cs="宋体"/>
                <w:spacing w:val="-3"/>
                <w:sz w:val="21"/>
                <w:szCs w:val="21"/>
                <w:highlight w:val="none"/>
                <w:lang w:eastAsia="zh-CN"/>
              </w:rPr>
              <w:t>遴选</w:t>
            </w:r>
            <w:r>
              <w:rPr>
                <w:rFonts w:hint="eastAsia" w:ascii="宋体" w:hAnsi="宋体" w:eastAsia="宋体" w:cs="宋体"/>
                <w:spacing w:val="-3"/>
                <w:sz w:val="21"/>
                <w:szCs w:val="21"/>
                <w:highlight w:val="none"/>
              </w:rPr>
              <w:t>文件要求的，得</w:t>
            </w:r>
            <w:r>
              <w:rPr>
                <w:rFonts w:hint="eastAsia" w:ascii="宋体" w:hAnsi="宋体" w:eastAsia="宋体" w:cs="宋体"/>
                <w:spacing w:val="-11"/>
                <w:sz w:val="21"/>
                <w:szCs w:val="21"/>
                <w:highlight w:val="none"/>
              </w:rPr>
              <w:t xml:space="preserve"> </w:t>
            </w:r>
            <w:r>
              <w:rPr>
                <w:rFonts w:hint="eastAsia" w:ascii="宋体" w:hAnsi="宋体" w:eastAsia="宋体" w:cs="宋体"/>
                <w:spacing w:val="-3"/>
                <w:sz w:val="21"/>
                <w:szCs w:val="21"/>
                <w:highlight w:val="none"/>
              </w:rPr>
              <w:t>10 分；</w:t>
            </w:r>
          </w:p>
          <w:p w14:paraId="7978C1C0">
            <w:pPr>
              <w:pStyle w:val="8"/>
              <w:spacing w:before="1" w:line="240" w:lineRule="auto"/>
              <w:ind w:left="112" w:right="56" w:firstLine="6"/>
              <w:rPr>
                <w:rFonts w:hint="eastAsia" w:ascii="宋体" w:hAnsi="宋体" w:eastAsia="宋体" w:cs="宋体"/>
                <w:sz w:val="21"/>
                <w:szCs w:val="21"/>
                <w:highlight w:val="none"/>
              </w:rPr>
            </w:pPr>
            <w:r>
              <w:rPr>
                <w:rFonts w:hint="eastAsia" w:ascii="宋体" w:hAnsi="宋体" w:eastAsia="宋体" w:cs="宋体"/>
                <w:sz w:val="21"/>
                <w:szCs w:val="21"/>
                <w:highlight w:val="none"/>
              </w:rPr>
              <w:t>（2）供应商提供的需求理解方案对用户需求理解程度较好，需</w:t>
            </w:r>
            <w:r>
              <w:rPr>
                <w:rFonts w:hint="eastAsia" w:ascii="宋体" w:hAnsi="宋体" w:eastAsia="宋体" w:cs="宋体"/>
                <w:spacing w:val="-1"/>
                <w:sz w:val="21"/>
                <w:szCs w:val="21"/>
                <w:highlight w:val="none"/>
              </w:rPr>
              <w:t>求分析</w:t>
            </w:r>
            <w:r>
              <w:rPr>
                <w:rFonts w:hint="eastAsia" w:ascii="宋体" w:hAnsi="宋体" w:eastAsia="宋体" w:cs="宋体"/>
                <w:spacing w:val="-2"/>
                <w:sz w:val="21"/>
                <w:szCs w:val="21"/>
                <w:highlight w:val="none"/>
              </w:rPr>
              <w:t>较充分，透彻，对需求响应程度较高，服务质量保证措施较科学合理，有效性较强，基本满足</w:t>
            </w:r>
            <w:r>
              <w:rPr>
                <w:rFonts w:hint="eastAsia" w:ascii="宋体" w:hAnsi="宋体" w:eastAsia="宋体" w:cs="宋体"/>
                <w:spacing w:val="-2"/>
                <w:sz w:val="21"/>
                <w:szCs w:val="21"/>
                <w:highlight w:val="none"/>
                <w:lang w:eastAsia="zh-CN"/>
              </w:rPr>
              <w:t>遴选</w:t>
            </w:r>
            <w:r>
              <w:rPr>
                <w:rFonts w:hint="eastAsia" w:ascii="宋体" w:hAnsi="宋体" w:eastAsia="宋体" w:cs="宋体"/>
                <w:spacing w:val="-2"/>
                <w:sz w:val="21"/>
                <w:szCs w:val="21"/>
                <w:highlight w:val="none"/>
              </w:rPr>
              <w:t>文件要求的，得</w:t>
            </w:r>
            <w:r>
              <w:rPr>
                <w:rFonts w:hint="eastAsia" w:cs="宋体"/>
                <w:spacing w:val="-31"/>
                <w:sz w:val="21"/>
                <w:szCs w:val="21"/>
                <w:highlight w:val="none"/>
                <w:lang w:val="en-US" w:eastAsia="zh-CN"/>
              </w:rPr>
              <w:t>5</w:t>
            </w:r>
            <w:r>
              <w:rPr>
                <w:rFonts w:hint="eastAsia" w:ascii="宋体" w:hAnsi="宋体" w:eastAsia="宋体" w:cs="宋体"/>
                <w:spacing w:val="-2"/>
                <w:sz w:val="21"/>
                <w:szCs w:val="21"/>
                <w:highlight w:val="none"/>
              </w:rPr>
              <w:t>分；</w:t>
            </w:r>
          </w:p>
          <w:p w14:paraId="682DA851">
            <w:pPr>
              <w:pStyle w:val="8"/>
              <w:spacing w:before="1" w:line="240" w:lineRule="auto"/>
              <w:ind w:left="114" w:right="115" w:firstLine="4"/>
              <w:rPr>
                <w:rFonts w:hint="eastAsia" w:ascii="宋体" w:hAnsi="宋体" w:eastAsia="宋体" w:cs="宋体"/>
                <w:sz w:val="21"/>
                <w:szCs w:val="21"/>
                <w:highlight w:val="none"/>
              </w:rPr>
            </w:pPr>
            <w:r>
              <w:rPr>
                <w:rFonts w:hint="eastAsia" w:ascii="宋体" w:hAnsi="宋体" w:eastAsia="宋体" w:cs="宋体"/>
                <w:sz w:val="21"/>
                <w:szCs w:val="21"/>
                <w:highlight w:val="none"/>
              </w:rPr>
              <w:t>（3）供应商提供的需求理解方案对用户需求理</w:t>
            </w:r>
            <w:r>
              <w:rPr>
                <w:rFonts w:hint="eastAsia" w:ascii="宋体" w:hAnsi="宋体" w:eastAsia="宋体" w:cs="宋体"/>
                <w:spacing w:val="-1"/>
                <w:sz w:val="21"/>
                <w:szCs w:val="21"/>
                <w:highlight w:val="none"/>
              </w:rPr>
              <w:t>解偏差较大，不能理解用户需求，对需求响应程度低，服务质量保证措施一般的，得</w:t>
            </w:r>
            <w:r>
              <w:rPr>
                <w:rFonts w:hint="eastAsia" w:cs="宋体"/>
                <w:spacing w:val="-43"/>
                <w:sz w:val="21"/>
                <w:szCs w:val="21"/>
                <w:highlight w:val="none"/>
                <w:lang w:val="en-US" w:eastAsia="zh-CN"/>
              </w:rPr>
              <w:t>1</w:t>
            </w:r>
            <w:r>
              <w:rPr>
                <w:rFonts w:hint="eastAsia" w:ascii="宋体" w:hAnsi="宋体" w:eastAsia="宋体" w:cs="宋体"/>
                <w:spacing w:val="-2"/>
                <w:sz w:val="21"/>
                <w:szCs w:val="21"/>
                <w:highlight w:val="none"/>
              </w:rPr>
              <w:t>分；</w:t>
            </w:r>
          </w:p>
          <w:p w14:paraId="6CBB1947">
            <w:pPr>
              <w:pStyle w:val="8"/>
              <w:spacing w:before="1" w:line="240" w:lineRule="auto"/>
              <w:ind w:left="119" w:leftChars="0"/>
              <w:rPr>
                <w:rFonts w:hint="eastAsia" w:ascii="宋体" w:hAnsi="宋体" w:eastAsia="宋体" w:cs="宋体"/>
                <w:color w:val="auto"/>
                <w:kern w:val="0"/>
                <w:sz w:val="21"/>
                <w:szCs w:val="21"/>
                <w:highlight w:val="none"/>
              </w:rPr>
            </w:pPr>
            <w:r>
              <w:rPr>
                <w:rFonts w:hint="eastAsia" w:ascii="宋体" w:hAnsi="宋体" w:eastAsia="宋体" w:cs="宋体"/>
                <w:spacing w:val="-1"/>
                <w:sz w:val="21"/>
                <w:szCs w:val="21"/>
                <w:highlight w:val="none"/>
              </w:rPr>
              <w:t>（4）未提供需求理解方案及服务质量保证措施的得</w:t>
            </w:r>
            <w:r>
              <w:rPr>
                <w:rFonts w:hint="eastAsia" w:ascii="宋体" w:hAnsi="宋体" w:eastAsia="宋体" w:cs="宋体"/>
                <w:spacing w:val="-47"/>
                <w:sz w:val="21"/>
                <w:szCs w:val="21"/>
                <w:highlight w:val="none"/>
              </w:rPr>
              <w:t xml:space="preserve"> </w:t>
            </w:r>
            <w:r>
              <w:rPr>
                <w:rFonts w:hint="eastAsia" w:ascii="宋体" w:hAnsi="宋体" w:eastAsia="宋体" w:cs="宋体"/>
                <w:spacing w:val="-1"/>
                <w:sz w:val="21"/>
                <w:szCs w:val="21"/>
                <w:highlight w:val="none"/>
              </w:rPr>
              <w:t>0</w:t>
            </w:r>
            <w:r>
              <w:rPr>
                <w:rFonts w:hint="eastAsia" w:ascii="宋体" w:hAnsi="宋体" w:eastAsia="宋体" w:cs="宋体"/>
                <w:spacing w:val="-2"/>
                <w:sz w:val="21"/>
                <w:szCs w:val="21"/>
                <w:highlight w:val="none"/>
              </w:rPr>
              <w:t xml:space="preserve"> 分。</w:t>
            </w:r>
          </w:p>
        </w:tc>
      </w:tr>
      <w:tr w14:paraId="3A30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4" w:type="dxa"/>
            <w:vMerge w:val="continue"/>
            <w:vAlign w:val="center"/>
          </w:tcPr>
          <w:p w14:paraId="016C478B">
            <w:pPr>
              <w:spacing w:line="240" w:lineRule="auto"/>
              <w:ind w:firstLine="480"/>
              <w:jc w:val="center"/>
              <w:rPr>
                <w:rFonts w:hint="eastAsia" w:ascii="宋体" w:hAnsi="宋体" w:eastAsia="宋体" w:cs="宋体"/>
                <w:color w:val="auto"/>
                <w:sz w:val="21"/>
                <w:szCs w:val="21"/>
                <w:highlight w:val="none"/>
              </w:rPr>
            </w:pPr>
          </w:p>
        </w:tc>
        <w:tc>
          <w:tcPr>
            <w:tcW w:w="1267" w:type="dxa"/>
            <w:vMerge w:val="continue"/>
            <w:vAlign w:val="center"/>
          </w:tcPr>
          <w:p w14:paraId="05F59D17">
            <w:pPr>
              <w:spacing w:line="240" w:lineRule="auto"/>
              <w:ind w:firstLine="480"/>
              <w:jc w:val="center"/>
              <w:rPr>
                <w:rFonts w:hint="eastAsia" w:ascii="宋体" w:hAnsi="宋体" w:eastAsia="宋体" w:cs="宋体"/>
                <w:color w:val="auto"/>
                <w:sz w:val="21"/>
                <w:szCs w:val="21"/>
                <w:highlight w:val="none"/>
              </w:rPr>
            </w:pPr>
          </w:p>
        </w:tc>
        <w:tc>
          <w:tcPr>
            <w:tcW w:w="1310" w:type="dxa"/>
            <w:vAlign w:val="center"/>
          </w:tcPr>
          <w:p w14:paraId="2E08A992">
            <w:pPr>
              <w:pStyle w:val="8"/>
              <w:spacing w:before="68" w:line="240" w:lineRule="auto"/>
              <w:ind w:left="109" w:leftChars="0" w:right="108" w:rightChars="0"/>
              <w:jc w:val="center"/>
              <w:rPr>
                <w:rFonts w:hint="eastAsia" w:ascii="宋体" w:hAnsi="宋体" w:eastAsia="宋体" w:cs="宋体"/>
                <w:color w:val="auto"/>
                <w:kern w:val="0"/>
                <w:sz w:val="21"/>
                <w:szCs w:val="21"/>
                <w:highlight w:val="none"/>
              </w:rPr>
            </w:pPr>
            <w:r>
              <w:rPr>
                <w:rFonts w:hint="eastAsia" w:ascii="宋体" w:hAnsi="宋体" w:eastAsia="宋体" w:cs="宋体"/>
                <w:spacing w:val="6"/>
                <w:sz w:val="21"/>
                <w:szCs w:val="21"/>
                <w:highlight w:val="none"/>
              </w:rPr>
              <w:t>进度保障计</w:t>
            </w:r>
            <w:r>
              <w:rPr>
                <w:rFonts w:hint="eastAsia" w:ascii="宋体" w:hAnsi="宋体" w:eastAsia="宋体" w:cs="宋体"/>
                <w:spacing w:val="-4"/>
                <w:sz w:val="21"/>
                <w:szCs w:val="21"/>
                <w:highlight w:val="none"/>
              </w:rPr>
              <w:t>划</w:t>
            </w:r>
          </w:p>
        </w:tc>
        <w:tc>
          <w:tcPr>
            <w:tcW w:w="712" w:type="dxa"/>
            <w:vAlign w:val="center"/>
          </w:tcPr>
          <w:p w14:paraId="0D8B9F4F">
            <w:pPr>
              <w:spacing w:line="240" w:lineRule="auto"/>
              <w:jc w:val="center"/>
              <w:rPr>
                <w:rFonts w:hint="default" w:ascii="宋体" w:hAnsi="宋体" w:eastAsia="宋体" w:cs="宋体"/>
                <w:color w:val="auto"/>
                <w:kern w:val="0"/>
                <w:sz w:val="21"/>
                <w:szCs w:val="21"/>
                <w:highlight w:val="none"/>
                <w:lang w:val="en-US" w:eastAsia="zh-CN"/>
              </w:rPr>
            </w:pPr>
            <w:r>
              <w:rPr>
                <w:rFonts w:hint="eastAsia" w:ascii="宋体" w:hAnsi="宋体" w:cs="宋体"/>
                <w:sz w:val="21"/>
                <w:szCs w:val="21"/>
                <w:highlight w:val="none"/>
                <w:lang w:val="en-US" w:eastAsia="zh-CN"/>
              </w:rPr>
              <w:t>10</w:t>
            </w:r>
          </w:p>
        </w:tc>
        <w:tc>
          <w:tcPr>
            <w:tcW w:w="5325" w:type="dxa"/>
            <w:vAlign w:val="top"/>
          </w:tcPr>
          <w:p w14:paraId="47A79703">
            <w:pPr>
              <w:pStyle w:val="8"/>
              <w:spacing w:before="34" w:line="240" w:lineRule="auto"/>
              <w:ind w:left="115" w:right="105" w:hanging="3"/>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根据</w:t>
            </w:r>
            <w:r>
              <w:rPr>
                <w:rFonts w:hint="eastAsia" w:ascii="宋体" w:hAnsi="宋体" w:eastAsia="宋体" w:cs="宋体"/>
                <w:spacing w:val="-3"/>
                <w:sz w:val="21"/>
                <w:szCs w:val="21"/>
                <w:highlight w:val="none"/>
                <w:lang w:eastAsia="zh-CN"/>
              </w:rPr>
              <w:t>遴选</w:t>
            </w:r>
            <w:r>
              <w:rPr>
                <w:rFonts w:hint="eastAsia" w:ascii="宋体" w:hAnsi="宋体" w:eastAsia="宋体" w:cs="宋体"/>
                <w:spacing w:val="-3"/>
                <w:sz w:val="21"/>
                <w:szCs w:val="21"/>
                <w:highlight w:val="none"/>
              </w:rPr>
              <w:t>要求和供应商技术响应情况，对供应商提供的进度</w:t>
            </w:r>
            <w:r>
              <w:rPr>
                <w:rFonts w:hint="eastAsia" w:ascii="宋体" w:hAnsi="宋体" w:eastAsia="宋体" w:cs="宋体"/>
                <w:spacing w:val="-4"/>
                <w:sz w:val="21"/>
                <w:szCs w:val="21"/>
                <w:highlight w:val="none"/>
              </w:rPr>
              <w:t>保障计划进</w:t>
            </w:r>
            <w:r>
              <w:rPr>
                <w:rFonts w:hint="eastAsia" w:ascii="宋体" w:hAnsi="宋体" w:eastAsia="宋体" w:cs="宋体"/>
                <w:spacing w:val="-3"/>
                <w:sz w:val="21"/>
                <w:szCs w:val="21"/>
                <w:highlight w:val="none"/>
              </w:rPr>
              <w:t>行评价：</w:t>
            </w:r>
          </w:p>
          <w:p w14:paraId="1D27DDA8">
            <w:pPr>
              <w:pStyle w:val="8"/>
              <w:spacing w:before="1" w:line="240" w:lineRule="auto"/>
              <w:ind w:left="124" w:right="117" w:hanging="5"/>
              <w:rPr>
                <w:rFonts w:hint="eastAsia" w:ascii="宋体" w:hAnsi="宋体" w:eastAsia="宋体" w:cs="宋体"/>
                <w:sz w:val="21"/>
                <w:szCs w:val="21"/>
                <w:highlight w:val="none"/>
              </w:rPr>
            </w:pPr>
            <w:r>
              <w:rPr>
                <w:rFonts w:hint="eastAsia" w:ascii="宋体" w:hAnsi="宋体" w:eastAsia="宋体" w:cs="宋体"/>
                <w:sz w:val="21"/>
                <w:szCs w:val="21"/>
                <w:highlight w:val="none"/>
              </w:rPr>
              <w:t>（1）供应商提供的进度保障计划安排科学</w:t>
            </w:r>
            <w:r>
              <w:rPr>
                <w:rFonts w:hint="eastAsia" w:ascii="宋体" w:hAnsi="宋体" w:eastAsia="宋体" w:cs="宋体"/>
                <w:spacing w:val="-1"/>
                <w:sz w:val="21"/>
                <w:szCs w:val="21"/>
                <w:highlight w:val="none"/>
              </w:rPr>
              <w:t>可行，完全满足本项目采购</w:t>
            </w:r>
            <w:r>
              <w:rPr>
                <w:rFonts w:hint="eastAsia" w:ascii="宋体" w:hAnsi="宋体" w:eastAsia="宋体" w:cs="宋体"/>
                <w:spacing w:val="-3"/>
                <w:sz w:val="21"/>
                <w:szCs w:val="21"/>
                <w:highlight w:val="none"/>
              </w:rPr>
              <w:t>需求，能够保障项目顺利实施，得</w:t>
            </w:r>
            <w:r>
              <w:rPr>
                <w:rFonts w:hint="eastAsia" w:ascii="宋体" w:hAnsi="宋体" w:eastAsia="宋体" w:cs="宋体"/>
                <w:spacing w:val="-35"/>
                <w:sz w:val="21"/>
                <w:szCs w:val="21"/>
                <w:highlight w:val="none"/>
              </w:rPr>
              <w:t xml:space="preserve"> </w:t>
            </w:r>
            <w:r>
              <w:rPr>
                <w:rFonts w:hint="eastAsia" w:cs="宋体"/>
                <w:spacing w:val="-3"/>
                <w:sz w:val="21"/>
                <w:szCs w:val="21"/>
                <w:highlight w:val="none"/>
                <w:lang w:val="en-US" w:eastAsia="zh-CN"/>
              </w:rPr>
              <w:t>10</w:t>
            </w:r>
            <w:r>
              <w:rPr>
                <w:rFonts w:hint="eastAsia" w:ascii="宋体" w:hAnsi="宋体" w:eastAsia="宋体" w:cs="宋体"/>
                <w:spacing w:val="-3"/>
                <w:sz w:val="21"/>
                <w:szCs w:val="21"/>
                <w:highlight w:val="none"/>
              </w:rPr>
              <w:t>分。</w:t>
            </w:r>
          </w:p>
          <w:p w14:paraId="30DD233D">
            <w:pPr>
              <w:pStyle w:val="8"/>
              <w:spacing w:before="1" w:line="240" w:lineRule="auto"/>
              <w:ind w:left="116" w:right="126" w:firstLine="2"/>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（2）供应商提供的进度计划安排合理，基本能满足采购要求，能保障</w:t>
            </w:r>
            <w:r>
              <w:rPr>
                <w:rFonts w:hint="eastAsia" w:ascii="宋体" w:hAnsi="宋体" w:eastAsia="宋体" w:cs="宋体"/>
                <w:spacing w:val="-5"/>
                <w:sz w:val="21"/>
                <w:szCs w:val="21"/>
                <w:highlight w:val="none"/>
              </w:rPr>
              <w:t>项目实施，得</w:t>
            </w:r>
            <w:r>
              <w:rPr>
                <w:rFonts w:hint="eastAsia" w:ascii="宋体" w:hAnsi="宋体" w:eastAsia="宋体" w:cs="宋体"/>
                <w:spacing w:val="-37"/>
                <w:sz w:val="21"/>
                <w:szCs w:val="21"/>
                <w:highlight w:val="none"/>
              </w:rPr>
              <w:t xml:space="preserve"> </w:t>
            </w:r>
            <w:r>
              <w:rPr>
                <w:rFonts w:hint="eastAsia" w:cs="宋体"/>
                <w:spacing w:val="-5"/>
                <w:sz w:val="21"/>
                <w:szCs w:val="21"/>
                <w:highlight w:val="none"/>
                <w:lang w:val="en-US" w:eastAsia="zh-CN"/>
              </w:rPr>
              <w:t>5</w:t>
            </w:r>
            <w:r>
              <w:rPr>
                <w:rFonts w:hint="eastAsia" w:ascii="宋体" w:hAnsi="宋体" w:eastAsia="宋体" w:cs="宋体"/>
                <w:spacing w:val="-44"/>
                <w:sz w:val="21"/>
                <w:szCs w:val="21"/>
                <w:highlight w:val="none"/>
              </w:rPr>
              <w:t xml:space="preserve"> </w:t>
            </w:r>
            <w:r>
              <w:rPr>
                <w:rFonts w:hint="eastAsia" w:ascii="宋体" w:hAnsi="宋体" w:eastAsia="宋体" w:cs="宋体"/>
                <w:spacing w:val="-5"/>
                <w:sz w:val="21"/>
                <w:szCs w:val="21"/>
                <w:highlight w:val="none"/>
              </w:rPr>
              <w:t>分。</w:t>
            </w:r>
          </w:p>
          <w:p w14:paraId="21B405DC">
            <w:pPr>
              <w:pStyle w:val="8"/>
              <w:spacing w:before="1" w:line="240" w:lineRule="auto"/>
              <w:ind w:left="115" w:right="108" w:firstLine="3"/>
              <w:rPr>
                <w:rFonts w:hint="eastAsia" w:ascii="宋体" w:hAnsi="宋体" w:eastAsia="宋体" w:cs="宋体"/>
                <w:sz w:val="21"/>
                <w:szCs w:val="21"/>
                <w:highlight w:val="none"/>
              </w:rPr>
            </w:pPr>
            <w:r>
              <w:rPr>
                <w:rFonts w:hint="eastAsia" w:ascii="宋体" w:hAnsi="宋体" w:eastAsia="宋体" w:cs="宋体"/>
                <w:sz w:val="21"/>
                <w:szCs w:val="21"/>
                <w:highlight w:val="none"/>
              </w:rPr>
              <w:t>（3）供应商</w:t>
            </w:r>
            <w:r>
              <w:rPr>
                <w:rFonts w:hint="eastAsia" w:ascii="宋体" w:hAnsi="宋体" w:eastAsia="宋体" w:cs="宋体"/>
                <w:spacing w:val="-1"/>
                <w:sz w:val="21"/>
                <w:szCs w:val="21"/>
                <w:highlight w:val="none"/>
              </w:rPr>
              <w:t>提供的</w:t>
            </w:r>
            <w:r>
              <w:rPr>
                <w:rFonts w:hint="eastAsia"/>
                <w:highlight w:val="none"/>
                <w:lang w:val="en-US" w:eastAsia="zh-CN"/>
              </w:rPr>
              <w:t>进度保障计划不合理</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不能满足采购需求，不能保障项目实施</w:t>
            </w:r>
            <w:r>
              <w:rPr>
                <w:rFonts w:hint="eastAsia" w:ascii="宋体" w:hAnsi="宋体" w:eastAsia="宋体" w:cs="宋体"/>
                <w:spacing w:val="-9"/>
                <w:sz w:val="21"/>
                <w:szCs w:val="21"/>
                <w:highlight w:val="none"/>
              </w:rPr>
              <w:t>，得</w:t>
            </w:r>
            <w:r>
              <w:rPr>
                <w:rFonts w:hint="eastAsia" w:ascii="宋体" w:hAnsi="宋体" w:eastAsia="宋体" w:cs="宋体"/>
                <w:spacing w:val="-29"/>
                <w:sz w:val="21"/>
                <w:szCs w:val="21"/>
                <w:highlight w:val="none"/>
              </w:rPr>
              <w:t xml:space="preserve"> </w:t>
            </w:r>
            <w:r>
              <w:rPr>
                <w:rFonts w:hint="eastAsia" w:ascii="宋体" w:hAnsi="宋体" w:eastAsia="宋体" w:cs="宋体"/>
                <w:spacing w:val="-9"/>
                <w:sz w:val="21"/>
                <w:szCs w:val="21"/>
                <w:highlight w:val="none"/>
              </w:rPr>
              <w:t>1</w:t>
            </w:r>
            <w:r>
              <w:rPr>
                <w:rFonts w:hint="eastAsia" w:ascii="宋体" w:hAnsi="宋体" w:eastAsia="宋体" w:cs="宋体"/>
                <w:spacing w:val="-42"/>
                <w:sz w:val="21"/>
                <w:szCs w:val="21"/>
                <w:highlight w:val="none"/>
              </w:rPr>
              <w:t xml:space="preserve"> </w:t>
            </w:r>
            <w:r>
              <w:rPr>
                <w:rFonts w:hint="eastAsia" w:ascii="宋体" w:hAnsi="宋体" w:eastAsia="宋体" w:cs="宋体"/>
                <w:spacing w:val="-9"/>
                <w:sz w:val="21"/>
                <w:szCs w:val="21"/>
                <w:highlight w:val="none"/>
              </w:rPr>
              <w:t>分。</w:t>
            </w:r>
          </w:p>
          <w:p w14:paraId="1F317A13">
            <w:pPr>
              <w:pStyle w:val="8"/>
              <w:spacing w:line="240" w:lineRule="auto"/>
              <w:ind w:left="119" w:leftChars="0"/>
              <w:rPr>
                <w:rFonts w:hint="eastAsia" w:ascii="宋体" w:hAnsi="宋体" w:eastAsia="宋体" w:cs="宋体"/>
                <w:color w:val="auto"/>
                <w:kern w:val="0"/>
                <w:sz w:val="21"/>
                <w:szCs w:val="21"/>
                <w:highlight w:val="none"/>
              </w:rPr>
            </w:pPr>
            <w:r>
              <w:rPr>
                <w:rFonts w:hint="eastAsia" w:ascii="宋体" w:hAnsi="宋体" w:eastAsia="宋体" w:cs="宋体"/>
                <w:spacing w:val="-4"/>
                <w:sz w:val="21"/>
                <w:szCs w:val="21"/>
                <w:highlight w:val="none"/>
              </w:rPr>
              <w:t>（4）未提供方案的得</w:t>
            </w:r>
            <w:r>
              <w:rPr>
                <w:rFonts w:hint="eastAsia" w:ascii="宋体" w:hAnsi="宋体" w:eastAsia="宋体" w:cs="宋体"/>
                <w:spacing w:val="-34"/>
                <w:sz w:val="21"/>
                <w:szCs w:val="21"/>
                <w:highlight w:val="none"/>
              </w:rPr>
              <w:t xml:space="preserve"> </w:t>
            </w:r>
            <w:r>
              <w:rPr>
                <w:rFonts w:hint="eastAsia" w:ascii="宋体" w:hAnsi="宋体" w:eastAsia="宋体" w:cs="宋体"/>
                <w:spacing w:val="-4"/>
                <w:sz w:val="21"/>
                <w:szCs w:val="21"/>
                <w:highlight w:val="none"/>
              </w:rPr>
              <w:t>0</w:t>
            </w:r>
            <w:r>
              <w:rPr>
                <w:rFonts w:hint="eastAsia" w:ascii="宋体" w:hAnsi="宋体" w:eastAsia="宋体" w:cs="宋体"/>
                <w:spacing w:val="-44"/>
                <w:sz w:val="21"/>
                <w:szCs w:val="21"/>
                <w:highlight w:val="none"/>
              </w:rPr>
              <w:t xml:space="preserve"> </w:t>
            </w:r>
            <w:r>
              <w:rPr>
                <w:rFonts w:hint="eastAsia" w:ascii="宋体" w:hAnsi="宋体" w:eastAsia="宋体" w:cs="宋体"/>
                <w:spacing w:val="-4"/>
                <w:sz w:val="21"/>
                <w:szCs w:val="21"/>
                <w:highlight w:val="none"/>
              </w:rPr>
              <w:t>分。</w:t>
            </w:r>
          </w:p>
        </w:tc>
      </w:tr>
      <w:tr w14:paraId="7DCC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4" w:type="dxa"/>
            <w:vMerge w:val="continue"/>
            <w:vAlign w:val="center"/>
          </w:tcPr>
          <w:p w14:paraId="62130D6D">
            <w:pPr>
              <w:spacing w:line="240" w:lineRule="auto"/>
              <w:ind w:firstLine="480"/>
              <w:jc w:val="left"/>
              <w:rPr>
                <w:rFonts w:hint="eastAsia" w:ascii="宋体" w:hAnsi="宋体" w:eastAsia="宋体" w:cs="宋体"/>
                <w:color w:val="auto"/>
                <w:sz w:val="21"/>
                <w:szCs w:val="21"/>
                <w:highlight w:val="none"/>
              </w:rPr>
            </w:pPr>
          </w:p>
        </w:tc>
        <w:tc>
          <w:tcPr>
            <w:tcW w:w="1267" w:type="dxa"/>
            <w:vMerge w:val="continue"/>
            <w:vAlign w:val="center"/>
          </w:tcPr>
          <w:p w14:paraId="629F4B6D">
            <w:pPr>
              <w:spacing w:line="240" w:lineRule="auto"/>
              <w:ind w:firstLine="480"/>
              <w:jc w:val="center"/>
              <w:rPr>
                <w:rFonts w:hint="eastAsia" w:ascii="宋体" w:hAnsi="宋体" w:eastAsia="宋体" w:cs="宋体"/>
                <w:color w:val="auto"/>
                <w:sz w:val="21"/>
                <w:szCs w:val="21"/>
                <w:highlight w:val="none"/>
              </w:rPr>
            </w:pPr>
          </w:p>
        </w:tc>
        <w:tc>
          <w:tcPr>
            <w:tcW w:w="1310" w:type="dxa"/>
            <w:vMerge w:val="restart"/>
            <w:vAlign w:val="top"/>
          </w:tcPr>
          <w:p w14:paraId="7C4E501A">
            <w:pPr>
              <w:spacing w:line="240" w:lineRule="auto"/>
              <w:rPr>
                <w:rFonts w:hint="eastAsia" w:ascii="宋体" w:hAnsi="宋体" w:eastAsia="宋体" w:cs="宋体"/>
                <w:sz w:val="21"/>
                <w:szCs w:val="21"/>
                <w:highlight w:val="none"/>
              </w:rPr>
            </w:pPr>
          </w:p>
          <w:p w14:paraId="069A5003">
            <w:pPr>
              <w:spacing w:line="240" w:lineRule="auto"/>
              <w:rPr>
                <w:rFonts w:hint="eastAsia" w:ascii="宋体" w:hAnsi="宋体" w:eastAsia="宋体" w:cs="宋体"/>
                <w:sz w:val="21"/>
                <w:szCs w:val="21"/>
                <w:highlight w:val="none"/>
              </w:rPr>
            </w:pPr>
          </w:p>
          <w:p w14:paraId="05152649">
            <w:pPr>
              <w:spacing w:line="240" w:lineRule="auto"/>
              <w:rPr>
                <w:rFonts w:hint="eastAsia" w:ascii="宋体" w:hAnsi="宋体" w:eastAsia="宋体" w:cs="宋体"/>
                <w:sz w:val="21"/>
                <w:szCs w:val="21"/>
                <w:highlight w:val="none"/>
              </w:rPr>
            </w:pPr>
          </w:p>
          <w:p w14:paraId="42AF546C">
            <w:pPr>
              <w:spacing w:line="240" w:lineRule="auto"/>
              <w:rPr>
                <w:rFonts w:hint="eastAsia" w:ascii="宋体" w:hAnsi="宋体" w:eastAsia="宋体" w:cs="宋体"/>
                <w:sz w:val="21"/>
                <w:szCs w:val="21"/>
                <w:highlight w:val="none"/>
              </w:rPr>
            </w:pPr>
          </w:p>
          <w:p w14:paraId="5ACBE24B">
            <w:pPr>
              <w:spacing w:line="240" w:lineRule="auto"/>
              <w:rPr>
                <w:rFonts w:hint="eastAsia" w:ascii="宋体" w:hAnsi="宋体" w:eastAsia="宋体" w:cs="宋体"/>
                <w:sz w:val="21"/>
                <w:szCs w:val="21"/>
                <w:highlight w:val="none"/>
              </w:rPr>
            </w:pPr>
          </w:p>
          <w:p w14:paraId="0E47C460">
            <w:pPr>
              <w:spacing w:line="240" w:lineRule="auto"/>
              <w:rPr>
                <w:rFonts w:hint="eastAsia" w:ascii="宋体" w:hAnsi="宋体" w:eastAsia="宋体" w:cs="宋体"/>
                <w:sz w:val="21"/>
                <w:szCs w:val="21"/>
                <w:highlight w:val="none"/>
              </w:rPr>
            </w:pPr>
          </w:p>
          <w:p w14:paraId="46E8C8CE">
            <w:pPr>
              <w:spacing w:line="240" w:lineRule="auto"/>
              <w:rPr>
                <w:rFonts w:hint="eastAsia" w:ascii="宋体" w:hAnsi="宋体" w:eastAsia="宋体" w:cs="宋体"/>
                <w:sz w:val="21"/>
                <w:szCs w:val="21"/>
                <w:highlight w:val="none"/>
              </w:rPr>
            </w:pPr>
          </w:p>
          <w:p w14:paraId="2F6816C5">
            <w:pPr>
              <w:spacing w:line="240" w:lineRule="auto"/>
              <w:rPr>
                <w:rFonts w:hint="eastAsia" w:ascii="宋体" w:hAnsi="宋体" w:eastAsia="宋体" w:cs="宋体"/>
                <w:sz w:val="21"/>
                <w:szCs w:val="21"/>
                <w:highlight w:val="none"/>
              </w:rPr>
            </w:pPr>
          </w:p>
          <w:p w14:paraId="04799E5D">
            <w:pPr>
              <w:spacing w:line="240" w:lineRule="auto"/>
              <w:rPr>
                <w:rFonts w:hint="eastAsia" w:ascii="宋体" w:hAnsi="宋体" w:eastAsia="宋体" w:cs="宋体"/>
                <w:sz w:val="21"/>
                <w:szCs w:val="21"/>
                <w:highlight w:val="none"/>
              </w:rPr>
            </w:pPr>
          </w:p>
          <w:p w14:paraId="33DADA40">
            <w:pPr>
              <w:spacing w:line="240" w:lineRule="auto"/>
              <w:rPr>
                <w:rFonts w:hint="eastAsia" w:ascii="宋体" w:hAnsi="宋体" w:eastAsia="宋体" w:cs="宋体"/>
                <w:sz w:val="21"/>
                <w:szCs w:val="21"/>
                <w:highlight w:val="none"/>
              </w:rPr>
            </w:pPr>
          </w:p>
          <w:p w14:paraId="01E6EE5F">
            <w:pPr>
              <w:spacing w:line="240" w:lineRule="auto"/>
              <w:rPr>
                <w:rFonts w:hint="eastAsia" w:ascii="宋体" w:hAnsi="宋体" w:eastAsia="宋体" w:cs="宋体"/>
                <w:sz w:val="21"/>
                <w:szCs w:val="21"/>
                <w:highlight w:val="none"/>
              </w:rPr>
            </w:pPr>
          </w:p>
          <w:p w14:paraId="242879BB">
            <w:pPr>
              <w:spacing w:line="240" w:lineRule="auto"/>
              <w:rPr>
                <w:rFonts w:hint="eastAsia" w:ascii="宋体" w:hAnsi="宋体" w:eastAsia="宋体" w:cs="宋体"/>
                <w:sz w:val="21"/>
                <w:szCs w:val="21"/>
                <w:highlight w:val="none"/>
              </w:rPr>
            </w:pPr>
          </w:p>
          <w:p w14:paraId="2B42DE4F">
            <w:pPr>
              <w:spacing w:line="240" w:lineRule="auto"/>
              <w:rPr>
                <w:rFonts w:hint="eastAsia" w:ascii="宋体" w:hAnsi="宋体" w:eastAsia="宋体" w:cs="宋体"/>
                <w:sz w:val="21"/>
                <w:szCs w:val="21"/>
                <w:highlight w:val="none"/>
              </w:rPr>
            </w:pPr>
          </w:p>
          <w:p w14:paraId="35155C76">
            <w:pPr>
              <w:spacing w:line="240" w:lineRule="auto"/>
              <w:rPr>
                <w:rFonts w:hint="eastAsia" w:ascii="宋体" w:hAnsi="宋体" w:eastAsia="宋体" w:cs="宋体"/>
                <w:sz w:val="21"/>
                <w:szCs w:val="21"/>
                <w:highlight w:val="none"/>
              </w:rPr>
            </w:pPr>
          </w:p>
          <w:p w14:paraId="038917F4">
            <w:pPr>
              <w:spacing w:line="240" w:lineRule="auto"/>
              <w:rPr>
                <w:rFonts w:hint="eastAsia" w:ascii="宋体" w:hAnsi="宋体" w:eastAsia="宋体" w:cs="宋体"/>
                <w:sz w:val="21"/>
                <w:szCs w:val="21"/>
                <w:highlight w:val="none"/>
              </w:rPr>
            </w:pPr>
          </w:p>
          <w:p w14:paraId="7EBBB6EE">
            <w:pPr>
              <w:spacing w:line="240" w:lineRule="auto"/>
              <w:rPr>
                <w:rFonts w:hint="eastAsia" w:ascii="宋体" w:hAnsi="宋体" w:eastAsia="宋体" w:cs="宋体"/>
                <w:sz w:val="21"/>
                <w:szCs w:val="21"/>
                <w:highlight w:val="none"/>
              </w:rPr>
            </w:pPr>
          </w:p>
          <w:p w14:paraId="707BCD9E">
            <w:pPr>
              <w:spacing w:line="240" w:lineRule="auto"/>
              <w:rPr>
                <w:rFonts w:hint="eastAsia" w:ascii="宋体" w:hAnsi="宋体" w:eastAsia="宋体" w:cs="宋体"/>
                <w:sz w:val="21"/>
                <w:szCs w:val="21"/>
                <w:highlight w:val="none"/>
              </w:rPr>
            </w:pPr>
          </w:p>
          <w:p w14:paraId="5B01B51E">
            <w:pPr>
              <w:spacing w:line="240" w:lineRule="auto"/>
              <w:rPr>
                <w:rFonts w:hint="eastAsia" w:ascii="宋体" w:hAnsi="宋体" w:eastAsia="宋体" w:cs="宋体"/>
                <w:sz w:val="21"/>
                <w:szCs w:val="21"/>
                <w:highlight w:val="none"/>
              </w:rPr>
            </w:pPr>
          </w:p>
          <w:p w14:paraId="09E6B09A">
            <w:pPr>
              <w:spacing w:line="240" w:lineRule="auto"/>
              <w:rPr>
                <w:rFonts w:hint="eastAsia" w:ascii="宋体" w:hAnsi="宋体" w:eastAsia="宋体" w:cs="宋体"/>
                <w:sz w:val="21"/>
                <w:szCs w:val="21"/>
                <w:highlight w:val="none"/>
              </w:rPr>
            </w:pPr>
          </w:p>
          <w:p w14:paraId="326FDDC2">
            <w:pPr>
              <w:pStyle w:val="8"/>
              <w:spacing w:before="68" w:line="240" w:lineRule="auto"/>
              <w:ind w:left="112" w:leftChars="0" w:right="107" w:rightChars="0"/>
              <w:rPr>
                <w:rFonts w:hint="eastAsia" w:ascii="宋体" w:hAnsi="宋体" w:eastAsia="宋体" w:cs="宋体"/>
                <w:color w:val="auto"/>
                <w:kern w:val="0"/>
                <w:sz w:val="21"/>
                <w:szCs w:val="21"/>
                <w:highlight w:val="none"/>
              </w:rPr>
            </w:pPr>
            <w:r>
              <w:rPr>
                <w:rFonts w:hint="eastAsia" w:ascii="宋体" w:hAnsi="宋体" w:eastAsia="宋体" w:cs="宋体"/>
                <w:spacing w:val="5"/>
                <w:sz w:val="21"/>
                <w:szCs w:val="21"/>
                <w:highlight w:val="none"/>
              </w:rPr>
              <w:t>整体服务方</w:t>
            </w:r>
            <w:r>
              <w:rPr>
                <w:rFonts w:hint="eastAsia" w:ascii="宋体" w:hAnsi="宋体" w:eastAsia="宋体" w:cs="宋体"/>
                <w:spacing w:val="-6"/>
                <w:sz w:val="21"/>
                <w:szCs w:val="21"/>
                <w:highlight w:val="none"/>
              </w:rPr>
              <w:t>案</w:t>
            </w:r>
          </w:p>
        </w:tc>
        <w:tc>
          <w:tcPr>
            <w:tcW w:w="712" w:type="dxa"/>
            <w:vAlign w:val="top"/>
          </w:tcPr>
          <w:p w14:paraId="4840583B">
            <w:pPr>
              <w:spacing w:line="240" w:lineRule="auto"/>
              <w:rPr>
                <w:rFonts w:hint="eastAsia" w:ascii="宋体" w:hAnsi="宋体" w:eastAsia="宋体" w:cs="宋体"/>
                <w:sz w:val="21"/>
                <w:szCs w:val="21"/>
                <w:highlight w:val="none"/>
              </w:rPr>
            </w:pPr>
          </w:p>
          <w:p w14:paraId="3044F6F0">
            <w:pPr>
              <w:spacing w:line="240" w:lineRule="auto"/>
              <w:rPr>
                <w:rFonts w:hint="eastAsia" w:ascii="宋体" w:hAnsi="宋体" w:eastAsia="宋体" w:cs="宋体"/>
                <w:sz w:val="21"/>
                <w:szCs w:val="21"/>
                <w:highlight w:val="none"/>
              </w:rPr>
            </w:pPr>
          </w:p>
          <w:p w14:paraId="1D50B033">
            <w:pPr>
              <w:spacing w:line="240" w:lineRule="auto"/>
              <w:rPr>
                <w:rFonts w:hint="eastAsia" w:ascii="宋体" w:hAnsi="宋体" w:eastAsia="宋体" w:cs="宋体"/>
                <w:sz w:val="21"/>
                <w:szCs w:val="21"/>
                <w:highlight w:val="none"/>
              </w:rPr>
            </w:pPr>
          </w:p>
          <w:p w14:paraId="77EAFF87">
            <w:pPr>
              <w:spacing w:line="240" w:lineRule="auto"/>
              <w:rPr>
                <w:rFonts w:hint="eastAsia" w:ascii="宋体" w:hAnsi="宋体" w:eastAsia="宋体" w:cs="宋体"/>
                <w:sz w:val="21"/>
                <w:szCs w:val="21"/>
                <w:highlight w:val="none"/>
              </w:rPr>
            </w:pPr>
          </w:p>
          <w:p w14:paraId="4FA7F2DC">
            <w:pPr>
              <w:spacing w:line="240" w:lineRule="auto"/>
              <w:rPr>
                <w:rFonts w:hint="eastAsia" w:ascii="宋体" w:hAnsi="宋体" w:eastAsia="宋体" w:cs="宋体"/>
                <w:sz w:val="21"/>
                <w:szCs w:val="21"/>
                <w:highlight w:val="none"/>
              </w:rPr>
            </w:pPr>
          </w:p>
          <w:p w14:paraId="59D4F470">
            <w:pPr>
              <w:spacing w:line="240" w:lineRule="auto"/>
              <w:rPr>
                <w:rFonts w:hint="eastAsia" w:ascii="宋体" w:hAnsi="宋体" w:eastAsia="宋体" w:cs="宋体"/>
                <w:sz w:val="21"/>
                <w:szCs w:val="21"/>
                <w:highlight w:val="none"/>
              </w:rPr>
            </w:pPr>
          </w:p>
          <w:p w14:paraId="2226477B">
            <w:pPr>
              <w:spacing w:line="240" w:lineRule="auto"/>
              <w:rPr>
                <w:rFonts w:hint="eastAsia" w:ascii="宋体" w:hAnsi="宋体" w:eastAsia="宋体" w:cs="宋体"/>
                <w:sz w:val="21"/>
                <w:szCs w:val="21"/>
                <w:highlight w:val="none"/>
              </w:rPr>
            </w:pPr>
          </w:p>
          <w:p w14:paraId="5D218908">
            <w:pPr>
              <w:spacing w:line="240" w:lineRule="auto"/>
              <w:rPr>
                <w:rFonts w:hint="eastAsia" w:ascii="宋体" w:hAnsi="宋体" w:eastAsia="宋体" w:cs="宋体"/>
                <w:sz w:val="21"/>
                <w:szCs w:val="21"/>
                <w:highlight w:val="none"/>
              </w:rPr>
            </w:pPr>
          </w:p>
          <w:p w14:paraId="5618F257">
            <w:pPr>
              <w:spacing w:line="240" w:lineRule="auto"/>
              <w:rPr>
                <w:rFonts w:hint="eastAsia" w:ascii="宋体" w:hAnsi="宋体" w:eastAsia="宋体" w:cs="宋体"/>
                <w:sz w:val="21"/>
                <w:szCs w:val="21"/>
                <w:highlight w:val="none"/>
              </w:rPr>
            </w:pPr>
          </w:p>
          <w:p w14:paraId="766EC983">
            <w:pPr>
              <w:spacing w:line="240" w:lineRule="auto"/>
              <w:rPr>
                <w:rFonts w:hint="eastAsia" w:ascii="宋体" w:hAnsi="宋体" w:eastAsia="宋体" w:cs="宋体"/>
                <w:sz w:val="21"/>
                <w:szCs w:val="21"/>
                <w:highlight w:val="none"/>
              </w:rPr>
            </w:pPr>
          </w:p>
          <w:p w14:paraId="68139E9B">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spacing w:val="-6"/>
                <w:sz w:val="21"/>
                <w:szCs w:val="21"/>
                <w:highlight w:val="none"/>
              </w:rPr>
              <w:t>15</w:t>
            </w:r>
          </w:p>
        </w:tc>
        <w:tc>
          <w:tcPr>
            <w:tcW w:w="5325" w:type="dxa"/>
            <w:vAlign w:val="top"/>
          </w:tcPr>
          <w:p w14:paraId="769D9DCD">
            <w:pPr>
              <w:pStyle w:val="8"/>
              <w:spacing w:before="158" w:line="240" w:lineRule="auto"/>
              <w:ind w:left="119" w:leftChars="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根据遴选要求和供应商技术响应情况，对供应商提供的</w:t>
            </w:r>
            <w:r>
              <w:rPr>
                <w:rFonts w:hint="eastAsia" w:ascii="宋体" w:hAnsi="宋体" w:eastAsia="宋体" w:cs="宋体"/>
                <w:b/>
                <w:bCs/>
                <w:color w:val="auto"/>
                <w:kern w:val="0"/>
                <w:sz w:val="21"/>
                <w:szCs w:val="21"/>
                <w:highlight w:val="none"/>
                <w:lang w:val="en-US" w:eastAsia="zh-CN"/>
              </w:rPr>
              <w:t>评选表彰宣传方案整体策划</w:t>
            </w:r>
            <w:r>
              <w:rPr>
                <w:rFonts w:hint="eastAsia" w:ascii="宋体" w:hAnsi="宋体" w:eastAsia="宋体" w:cs="宋体"/>
                <w:color w:val="auto"/>
                <w:kern w:val="0"/>
                <w:sz w:val="21"/>
                <w:szCs w:val="21"/>
                <w:highlight w:val="none"/>
                <w:lang w:val="en-US" w:eastAsia="zh-CN"/>
              </w:rPr>
              <w:t>进行评价：</w:t>
            </w:r>
          </w:p>
          <w:p w14:paraId="0ACD6F58">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1）方案能清晰理解采购人业务需求，充分体现"首都文化和旅游紫禁杯"作为首都文旅领域最高荣誉表彰的定位，方案内容完整、逻辑严密，涵盖宣传目标、受众分析、核心策略、传播渠道、阶段规划、预期效果等全要素，创意策划具有创新性和可落地性，能完全满足评选表彰活动的宣传需要，得 15 分。</w:t>
            </w:r>
            <w:r>
              <w:rPr>
                <w:rFonts w:hint="eastAsia" w:ascii="宋体" w:hAnsi="宋体" w:eastAsia="宋体" w:cs="宋体"/>
                <w:spacing w:val="-1"/>
                <w:sz w:val="21"/>
                <w:szCs w:val="21"/>
                <w:highlight w:val="none"/>
                <w:lang w:val="en-US" w:eastAsia="zh-CN"/>
              </w:rPr>
              <w:br w:type="textWrapping"/>
            </w:r>
            <w:r>
              <w:rPr>
                <w:rFonts w:hint="eastAsia" w:ascii="宋体" w:hAnsi="宋体" w:eastAsia="宋体" w:cs="宋体"/>
                <w:spacing w:val="-1"/>
                <w:sz w:val="21"/>
                <w:szCs w:val="21"/>
                <w:highlight w:val="none"/>
                <w:lang w:val="en-US" w:eastAsia="zh-CN"/>
              </w:rPr>
              <w:t>（2）方案能比较清晰理解采购人业务需求，方案较完整，体现较为清晰的整体策划思路，宣传目标与采购人需求比较一致，传播策略可行，创意策划比较合理，能比较满足评选表彰活动的宣传需要，得 10 分。</w:t>
            </w:r>
          </w:p>
          <w:p w14:paraId="796741B6">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（3）方案基本清晰理解采购人业务需求，方案基本完整，体现基本清晰的整体策划思路，宣传目标与采购人需求基本一致，传播策略基本可行，创意策划基本合理，能基本满足评选表彰活动的宣传需要，得 5 分。</w:t>
            </w:r>
            <w:r>
              <w:rPr>
                <w:rFonts w:hint="eastAsia" w:ascii="宋体" w:hAnsi="宋体" w:eastAsia="宋体" w:cs="宋体"/>
                <w:spacing w:val="-1"/>
                <w:sz w:val="21"/>
                <w:szCs w:val="21"/>
                <w:highlight w:val="none"/>
                <w:lang w:val="en-US" w:eastAsia="zh-CN"/>
              </w:rPr>
              <w:br w:type="textWrapping"/>
            </w:r>
            <w:r>
              <w:rPr>
                <w:rFonts w:hint="eastAsia" w:ascii="宋体" w:hAnsi="宋体" w:eastAsia="宋体" w:cs="宋体"/>
                <w:spacing w:val="-1"/>
                <w:sz w:val="21"/>
                <w:szCs w:val="21"/>
                <w:highlight w:val="none"/>
                <w:lang w:val="en-US" w:eastAsia="zh-CN"/>
              </w:rPr>
              <w:t>（4）方案很简单，内容不完善，仅能部分满足遴选文件要求，宣传目标不清晰，策划思路不系统，缺乏可操作的具体措施，得 1分。</w:t>
            </w:r>
          </w:p>
          <w:p w14:paraId="3C4A7064">
            <w:pPr>
              <w:pStyle w:val="8"/>
              <w:spacing w:before="1" w:line="240" w:lineRule="auto"/>
              <w:ind w:left="116" w:right="126" w:firstLine="2"/>
              <w:rPr>
                <w:rFonts w:hint="eastAsia" w:ascii="宋体" w:hAnsi="宋体" w:eastAsia="宋体" w:cs="宋体"/>
                <w:color w:val="auto"/>
                <w:kern w:val="0"/>
                <w:sz w:val="21"/>
                <w:szCs w:val="21"/>
                <w:highlight w:val="none"/>
              </w:rPr>
            </w:pPr>
            <w:r>
              <w:rPr>
                <w:rFonts w:hint="eastAsia" w:ascii="宋体" w:hAnsi="宋体" w:eastAsia="宋体" w:cs="宋体"/>
                <w:spacing w:val="-1"/>
                <w:sz w:val="21"/>
                <w:szCs w:val="21"/>
                <w:highlight w:val="none"/>
                <w:lang w:val="en-US" w:eastAsia="zh-CN"/>
              </w:rPr>
              <w:t>（</w:t>
            </w:r>
            <w:r>
              <w:rPr>
                <w:rFonts w:hint="eastAsia" w:cs="宋体"/>
                <w:spacing w:val="-1"/>
                <w:sz w:val="21"/>
                <w:szCs w:val="21"/>
                <w:highlight w:val="none"/>
                <w:lang w:val="en-US" w:eastAsia="zh-CN"/>
              </w:rPr>
              <w:t>5</w:t>
            </w:r>
            <w:r>
              <w:rPr>
                <w:rFonts w:hint="eastAsia" w:ascii="宋体" w:hAnsi="宋体" w:eastAsia="宋体" w:cs="宋体"/>
                <w:spacing w:val="-1"/>
                <w:sz w:val="21"/>
                <w:szCs w:val="21"/>
                <w:highlight w:val="none"/>
                <w:lang w:val="en-US" w:eastAsia="zh-CN"/>
              </w:rPr>
              <w:t>）未提供方案的，得 0 分。</w:t>
            </w:r>
          </w:p>
        </w:tc>
      </w:tr>
      <w:tr w14:paraId="7262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0" w:hRule="atLeast"/>
          <w:jc w:val="center"/>
        </w:trPr>
        <w:tc>
          <w:tcPr>
            <w:tcW w:w="704" w:type="dxa"/>
            <w:vMerge w:val="continue"/>
            <w:vAlign w:val="center"/>
          </w:tcPr>
          <w:p w14:paraId="406AF85A">
            <w:pPr>
              <w:spacing w:line="240" w:lineRule="auto"/>
              <w:ind w:firstLine="480"/>
              <w:jc w:val="left"/>
              <w:rPr>
                <w:rFonts w:hint="eastAsia" w:ascii="宋体" w:hAnsi="宋体" w:eastAsia="宋体" w:cs="宋体"/>
                <w:color w:val="auto"/>
                <w:sz w:val="21"/>
                <w:szCs w:val="21"/>
                <w:highlight w:val="none"/>
              </w:rPr>
            </w:pPr>
          </w:p>
        </w:tc>
        <w:tc>
          <w:tcPr>
            <w:tcW w:w="1267" w:type="dxa"/>
            <w:vMerge w:val="continue"/>
            <w:vAlign w:val="center"/>
          </w:tcPr>
          <w:p w14:paraId="44E618D7">
            <w:pPr>
              <w:spacing w:line="240" w:lineRule="auto"/>
              <w:ind w:firstLine="480"/>
              <w:jc w:val="center"/>
              <w:rPr>
                <w:rFonts w:hint="eastAsia" w:ascii="宋体" w:hAnsi="宋体" w:eastAsia="宋体" w:cs="宋体"/>
                <w:color w:val="auto"/>
                <w:sz w:val="21"/>
                <w:szCs w:val="21"/>
                <w:highlight w:val="none"/>
              </w:rPr>
            </w:pPr>
          </w:p>
        </w:tc>
        <w:tc>
          <w:tcPr>
            <w:tcW w:w="1310" w:type="dxa"/>
            <w:vMerge w:val="continue"/>
            <w:vAlign w:val="center"/>
          </w:tcPr>
          <w:p w14:paraId="1D540141">
            <w:pPr>
              <w:widowControl/>
              <w:spacing w:line="240" w:lineRule="auto"/>
              <w:rPr>
                <w:rFonts w:hint="eastAsia" w:ascii="宋体" w:hAnsi="宋体" w:eastAsia="宋体" w:cs="宋体"/>
                <w:color w:val="auto"/>
                <w:kern w:val="0"/>
                <w:sz w:val="21"/>
                <w:szCs w:val="21"/>
                <w:highlight w:val="none"/>
              </w:rPr>
            </w:pPr>
          </w:p>
        </w:tc>
        <w:tc>
          <w:tcPr>
            <w:tcW w:w="712" w:type="dxa"/>
            <w:vAlign w:val="top"/>
          </w:tcPr>
          <w:p w14:paraId="2F39FC43">
            <w:pPr>
              <w:spacing w:line="240" w:lineRule="auto"/>
              <w:rPr>
                <w:rFonts w:hint="eastAsia" w:ascii="宋体" w:hAnsi="宋体" w:eastAsia="宋体" w:cs="宋体"/>
                <w:sz w:val="21"/>
                <w:szCs w:val="21"/>
                <w:highlight w:val="none"/>
              </w:rPr>
            </w:pPr>
          </w:p>
          <w:p w14:paraId="0D16CD33">
            <w:pPr>
              <w:spacing w:line="240" w:lineRule="auto"/>
              <w:rPr>
                <w:rFonts w:hint="eastAsia" w:ascii="宋体" w:hAnsi="宋体" w:eastAsia="宋体" w:cs="宋体"/>
                <w:sz w:val="21"/>
                <w:szCs w:val="21"/>
                <w:highlight w:val="none"/>
              </w:rPr>
            </w:pPr>
          </w:p>
          <w:p w14:paraId="058B0272">
            <w:pPr>
              <w:spacing w:line="240" w:lineRule="auto"/>
              <w:rPr>
                <w:rFonts w:hint="eastAsia" w:ascii="宋体" w:hAnsi="宋体" w:eastAsia="宋体" w:cs="宋体"/>
                <w:sz w:val="21"/>
                <w:szCs w:val="21"/>
                <w:highlight w:val="none"/>
              </w:rPr>
            </w:pPr>
          </w:p>
          <w:p w14:paraId="0A3E77AE">
            <w:pPr>
              <w:spacing w:line="240" w:lineRule="auto"/>
              <w:rPr>
                <w:rFonts w:hint="eastAsia" w:ascii="宋体" w:hAnsi="宋体" w:eastAsia="宋体" w:cs="宋体"/>
                <w:sz w:val="21"/>
                <w:szCs w:val="21"/>
                <w:highlight w:val="none"/>
              </w:rPr>
            </w:pPr>
          </w:p>
          <w:p w14:paraId="41F7FF57">
            <w:pPr>
              <w:spacing w:line="240" w:lineRule="auto"/>
              <w:rPr>
                <w:rFonts w:hint="eastAsia" w:ascii="宋体" w:hAnsi="宋体" w:eastAsia="宋体" w:cs="宋体"/>
                <w:sz w:val="21"/>
                <w:szCs w:val="21"/>
                <w:highlight w:val="none"/>
              </w:rPr>
            </w:pPr>
          </w:p>
          <w:p w14:paraId="4A9BD21C">
            <w:pPr>
              <w:spacing w:line="240" w:lineRule="auto"/>
              <w:rPr>
                <w:rFonts w:hint="eastAsia" w:ascii="宋体" w:hAnsi="宋体" w:eastAsia="宋体" w:cs="宋体"/>
                <w:sz w:val="21"/>
                <w:szCs w:val="21"/>
                <w:highlight w:val="none"/>
              </w:rPr>
            </w:pPr>
          </w:p>
          <w:p w14:paraId="68937E89">
            <w:pPr>
              <w:spacing w:line="240" w:lineRule="auto"/>
              <w:rPr>
                <w:rFonts w:hint="eastAsia" w:ascii="宋体" w:hAnsi="宋体" w:eastAsia="宋体" w:cs="宋体"/>
                <w:sz w:val="21"/>
                <w:szCs w:val="21"/>
                <w:highlight w:val="none"/>
              </w:rPr>
            </w:pPr>
          </w:p>
          <w:p w14:paraId="6301AF07">
            <w:pPr>
              <w:spacing w:line="240" w:lineRule="auto"/>
              <w:rPr>
                <w:rFonts w:hint="eastAsia" w:ascii="宋体" w:hAnsi="宋体" w:eastAsia="宋体" w:cs="宋体"/>
                <w:sz w:val="21"/>
                <w:szCs w:val="21"/>
                <w:highlight w:val="none"/>
              </w:rPr>
            </w:pPr>
          </w:p>
          <w:p w14:paraId="62208422">
            <w:pPr>
              <w:spacing w:line="240" w:lineRule="auto"/>
              <w:rPr>
                <w:rFonts w:hint="eastAsia" w:ascii="宋体" w:hAnsi="宋体" w:eastAsia="宋体" w:cs="宋体"/>
                <w:sz w:val="21"/>
                <w:szCs w:val="21"/>
                <w:highlight w:val="none"/>
              </w:rPr>
            </w:pPr>
          </w:p>
          <w:p w14:paraId="7E4A0402">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spacing w:val="-6"/>
                <w:sz w:val="21"/>
                <w:szCs w:val="21"/>
                <w:highlight w:val="none"/>
              </w:rPr>
              <w:t>15</w:t>
            </w:r>
          </w:p>
        </w:tc>
        <w:tc>
          <w:tcPr>
            <w:tcW w:w="5325" w:type="dxa"/>
            <w:vAlign w:val="top"/>
          </w:tcPr>
          <w:p w14:paraId="6263DD34">
            <w:pPr>
              <w:pStyle w:val="8"/>
              <w:spacing w:before="1" w:line="240" w:lineRule="auto"/>
              <w:ind w:left="116" w:right="126" w:firstLine="2"/>
              <w:jc w:val="left"/>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根据遴选要求和供应商技术响应情况，对供应商提供的</w:t>
            </w:r>
            <w:r>
              <w:rPr>
                <w:rFonts w:hint="eastAsia" w:ascii="宋体" w:hAnsi="宋体" w:eastAsia="宋体" w:cs="宋体"/>
                <w:b/>
                <w:bCs/>
                <w:spacing w:val="-1"/>
                <w:sz w:val="21"/>
                <w:szCs w:val="21"/>
                <w:highlight w:val="none"/>
                <w:lang w:val="en-US" w:eastAsia="zh-CN"/>
              </w:rPr>
              <w:t>视频拍摄制作服务方案</w:t>
            </w:r>
            <w:r>
              <w:rPr>
                <w:rFonts w:hint="eastAsia" w:ascii="宋体" w:hAnsi="宋体" w:eastAsia="宋体" w:cs="宋体"/>
                <w:spacing w:val="-1"/>
                <w:sz w:val="21"/>
                <w:szCs w:val="21"/>
                <w:highlight w:val="none"/>
                <w:lang w:val="en-US" w:eastAsia="zh-CN"/>
              </w:rPr>
              <w:t>进行评价：</w:t>
            </w:r>
          </w:p>
          <w:p w14:paraId="1F2A911F">
            <w:pPr>
              <w:pStyle w:val="8"/>
              <w:spacing w:before="1" w:line="240" w:lineRule="auto"/>
              <w:ind w:left="116" w:right="126" w:firstLine="2"/>
              <w:jc w:val="left"/>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1）方案能清晰理解采购人业务需求，方案完整度高，视频拍摄制作技术水平专业，对宣传片及短视频的创意策划、拍摄执行、后期制作有详实可行的技术方案，拍摄思路清晰，叙事结构新颖，技术措施具体，有切实可行的协调、解决和完成项目的工作方法和措施，且具备在各主流视频平台推广及宣传的渠道策略和运营能力，得 15 分。</w:t>
            </w:r>
          </w:p>
          <w:p w14:paraId="5F89EA71">
            <w:pPr>
              <w:pStyle w:val="8"/>
              <w:spacing w:before="1" w:line="240" w:lineRule="auto"/>
              <w:ind w:left="116" w:right="126" w:firstLine="2"/>
              <w:jc w:val="left"/>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（2）方案能理解采购人业务需求，方案完整度较高，视频拍摄制作技术水平较为专业，拍摄思路较清晰，技术措施较具体，有较可行的协调、解决和完成项目的工作方法和措施，</w:t>
            </w:r>
            <w:r>
              <w:rPr>
                <w:rFonts w:hint="eastAsia" w:cs="宋体"/>
                <w:spacing w:val="-1"/>
                <w:sz w:val="21"/>
                <w:szCs w:val="21"/>
                <w:highlight w:val="none"/>
                <w:lang w:val="en-US" w:eastAsia="zh-CN"/>
              </w:rPr>
              <w:t>比较</w:t>
            </w:r>
            <w:r>
              <w:rPr>
                <w:rFonts w:hint="eastAsia" w:ascii="宋体" w:hAnsi="宋体" w:eastAsia="宋体" w:cs="宋体"/>
                <w:spacing w:val="-1"/>
                <w:sz w:val="21"/>
                <w:szCs w:val="21"/>
                <w:highlight w:val="none"/>
                <w:lang w:val="en-US" w:eastAsia="zh-CN"/>
              </w:rPr>
              <w:t>满足遴选文件要求，得 10 分。</w:t>
            </w:r>
          </w:p>
          <w:p w14:paraId="26C93C37">
            <w:pPr>
              <w:pStyle w:val="8"/>
              <w:spacing w:before="1" w:line="240" w:lineRule="auto"/>
              <w:ind w:left="116" w:right="126" w:firstLine="2"/>
              <w:jc w:val="left"/>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w:t>
            </w:r>
            <w:r>
              <w:rPr>
                <w:rFonts w:hint="eastAsia" w:cs="宋体"/>
                <w:spacing w:val="-1"/>
                <w:sz w:val="21"/>
                <w:szCs w:val="21"/>
                <w:highlight w:val="none"/>
                <w:lang w:val="en-US" w:eastAsia="zh-CN"/>
              </w:rPr>
              <w:t>3</w:t>
            </w:r>
            <w:r>
              <w:rPr>
                <w:rFonts w:hint="eastAsia" w:ascii="宋体" w:hAnsi="宋体" w:eastAsia="宋体" w:cs="宋体"/>
                <w:spacing w:val="-1"/>
                <w:sz w:val="21"/>
                <w:szCs w:val="21"/>
                <w:highlight w:val="none"/>
                <w:lang w:val="en-US" w:eastAsia="zh-CN"/>
              </w:rPr>
              <w:t>）方案</w:t>
            </w:r>
            <w:r>
              <w:rPr>
                <w:rFonts w:hint="eastAsia" w:cs="宋体"/>
                <w:spacing w:val="-1"/>
                <w:sz w:val="21"/>
                <w:szCs w:val="21"/>
                <w:highlight w:val="none"/>
                <w:lang w:val="en-US" w:eastAsia="zh-CN"/>
              </w:rPr>
              <w:t>基本</w:t>
            </w:r>
            <w:r>
              <w:rPr>
                <w:rFonts w:hint="eastAsia" w:ascii="宋体" w:hAnsi="宋体" w:eastAsia="宋体" w:cs="宋体"/>
                <w:spacing w:val="-1"/>
                <w:sz w:val="21"/>
                <w:szCs w:val="21"/>
                <w:highlight w:val="none"/>
                <w:lang w:val="en-US" w:eastAsia="zh-CN"/>
              </w:rPr>
              <w:t>能理解采购人业务需求，方案完整度</w:t>
            </w:r>
            <w:r>
              <w:rPr>
                <w:rFonts w:hint="eastAsia" w:cs="宋体"/>
                <w:spacing w:val="-1"/>
                <w:sz w:val="21"/>
                <w:szCs w:val="21"/>
                <w:highlight w:val="none"/>
                <w:lang w:val="en-US" w:eastAsia="zh-CN"/>
              </w:rPr>
              <w:t>一般</w:t>
            </w:r>
            <w:r>
              <w:rPr>
                <w:rFonts w:hint="eastAsia" w:ascii="宋体" w:hAnsi="宋体" w:eastAsia="宋体" w:cs="宋体"/>
                <w:spacing w:val="-1"/>
                <w:sz w:val="21"/>
                <w:szCs w:val="21"/>
                <w:highlight w:val="none"/>
                <w:lang w:val="en-US" w:eastAsia="zh-CN"/>
              </w:rPr>
              <w:t>，视频拍摄制作技术水平</w:t>
            </w:r>
            <w:r>
              <w:rPr>
                <w:rFonts w:hint="eastAsia" w:cs="宋体"/>
                <w:spacing w:val="-1"/>
                <w:sz w:val="21"/>
                <w:szCs w:val="21"/>
                <w:highlight w:val="none"/>
                <w:lang w:val="en-US" w:eastAsia="zh-CN"/>
              </w:rPr>
              <w:t>基本</w:t>
            </w:r>
            <w:r>
              <w:rPr>
                <w:rFonts w:hint="eastAsia" w:ascii="宋体" w:hAnsi="宋体" w:eastAsia="宋体" w:cs="宋体"/>
                <w:spacing w:val="-1"/>
                <w:sz w:val="21"/>
                <w:szCs w:val="21"/>
                <w:highlight w:val="none"/>
                <w:lang w:val="en-US" w:eastAsia="zh-CN"/>
              </w:rPr>
              <w:t>专业，拍摄思路</w:t>
            </w:r>
            <w:r>
              <w:rPr>
                <w:rFonts w:hint="eastAsia" w:cs="宋体"/>
                <w:spacing w:val="-1"/>
                <w:sz w:val="21"/>
                <w:szCs w:val="21"/>
                <w:highlight w:val="none"/>
                <w:lang w:val="en-US" w:eastAsia="zh-CN"/>
              </w:rPr>
              <w:t>基本</w:t>
            </w:r>
            <w:r>
              <w:rPr>
                <w:rFonts w:hint="eastAsia" w:ascii="宋体" w:hAnsi="宋体" w:eastAsia="宋体" w:cs="宋体"/>
                <w:spacing w:val="-1"/>
                <w:sz w:val="21"/>
                <w:szCs w:val="21"/>
                <w:highlight w:val="none"/>
                <w:lang w:val="en-US" w:eastAsia="zh-CN"/>
              </w:rPr>
              <w:t>清晰，技术措施</w:t>
            </w:r>
            <w:r>
              <w:rPr>
                <w:rFonts w:hint="eastAsia" w:cs="宋体"/>
                <w:spacing w:val="-1"/>
                <w:sz w:val="21"/>
                <w:szCs w:val="21"/>
                <w:highlight w:val="none"/>
                <w:lang w:val="en-US" w:eastAsia="zh-CN"/>
              </w:rPr>
              <w:t>基本</w:t>
            </w:r>
            <w:r>
              <w:rPr>
                <w:rFonts w:hint="eastAsia" w:ascii="宋体" w:hAnsi="宋体" w:eastAsia="宋体" w:cs="宋体"/>
                <w:spacing w:val="-1"/>
                <w:sz w:val="21"/>
                <w:szCs w:val="21"/>
                <w:highlight w:val="none"/>
                <w:lang w:val="en-US" w:eastAsia="zh-CN"/>
              </w:rPr>
              <w:t>具体，有</w:t>
            </w:r>
            <w:r>
              <w:rPr>
                <w:rFonts w:hint="eastAsia" w:cs="宋体"/>
                <w:spacing w:val="-1"/>
                <w:sz w:val="21"/>
                <w:szCs w:val="21"/>
                <w:highlight w:val="none"/>
                <w:lang w:val="en-US" w:eastAsia="zh-CN"/>
              </w:rPr>
              <w:t>基本</w:t>
            </w:r>
            <w:r>
              <w:rPr>
                <w:rFonts w:hint="eastAsia" w:ascii="宋体" w:hAnsi="宋体" w:eastAsia="宋体" w:cs="宋体"/>
                <w:spacing w:val="-1"/>
                <w:sz w:val="21"/>
                <w:szCs w:val="21"/>
                <w:highlight w:val="none"/>
                <w:lang w:val="en-US" w:eastAsia="zh-CN"/>
              </w:rPr>
              <w:t xml:space="preserve">可行的协调、解决和完成项目的工作方法和措施，基本满足遴选文件要求，得 </w:t>
            </w:r>
            <w:r>
              <w:rPr>
                <w:rFonts w:hint="eastAsia" w:cs="宋体"/>
                <w:spacing w:val="-1"/>
                <w:sz w:val="21"/>
                <w:szCs w:val="21"/>
                <w:highlight w:val="none"/>
                <w:lang w:val="en-US" w:eastAsia="zh-CN"/>
              </w:rPr>
              <w:t>5</w:t>
            </w:r>
            <w:r>
              <w:rPr>
                <w:rFonts w:hint="eastAsia" w:ascii="宋体" w:hAnsi="宋体" w:eastAsia="宋体" w:cs="宋体"/>
                <w:spacing w:val="-1"/>
                <w:sz w:val="21"/>
                <w:szCs w:val="21"/>
                <w:highlight w:val="none"/>
                <w:lang w:val="en-US" w:eastAsia="zh-CN"/>
              </w:rPr>
              <w:t>分。</w:t>
            </w:r>
            <w:r>
              <w:rPr>
                <w:rFonts w:hint="eastAsia" w:ascii="宋体" w:hAnsi="宋体" w:eastAsia="宋体" w:cs="宋体"/>
                <w:spacing w:val="-1"/>
                <w:sz w:val="21"/>
                <w:szCs w:val="21"/>
                <w:highlight w:val="none"/>
                <w:lang w:val="en-US" w:eastAsia="zh-CN"/>
              </w:rPr>
              <w:br w:type="textWrapping"/>
            </w:r>
            <w:r>
              <w:rPr>
                <w:rFonts w:hint="eastAsia" w:ascii="宋体" w:hAnsi="宋体" w:eastAsia="宋体" w:cs="宋体"/>
                <w:spacing w:val="-1"/>
                <w:sz w:val="21"/>
                <w:szCs w:val="21"/>
                <w:highlight w:val="none"/>
                <w:lang w:val="en-US" w:eastAsia="zh-CN"/>
              </w:rPr>
              <w:t>（</w:t>
            </w:r>
            <w:r>
              <w:rPr>
                <w:rFonts w:hint="eastAsia" w:cs="宋体"/>
                <w:spacing w:val="-1"/>
                <w:sz w:val="21"/>
                <w:szCs w:val="21"/>
                <w:highlight w:val="none"/>
                <w:lang w:val="en-US" w:eastAsia="zh-CN"/>
              </w:rPr>
              <w:t>4</w:t>
            </w:r>
            <w:r>
              <w:rPr>
                <w:rFonts w:hint="eastAsia" w:ascii="宋体" w:hAnsi="宋体" w:eastAsia="宋体" w:cs="宋体"/>
                <w:spacing w:val="-1"/>
                <w:sz w:val="21"/>
                <w:szCs w:val="21"/>
                <w:highlight w:val="none"/>
                <w:lang w:val="en-US" w:eastAsia="zh-CN"/>
              </w:rPr>
              <w:t>）方案</w:t>
            </w:r>
            <w:r>
              <w:rPr>
                <w:rFonts w:hint="eastAsia" w:cs="宋体"/>
                <w:spacing w:val="-1"/>
                <w:sz w:val="21"/>
                <w:szCs w:val="21"/>
                <w:highlight w:val="none"/>
                <w:lang w:val="en-US" w:eastAsia="zh-CN"/>
              </w:rPr>
              <w:t>不</w:t>
            </w:r>
            <w:r>
              <w:rPr>
                <w:rFonts w:hint="eastAsia" w:ascii="宋体" w:hAnsi="宋体" w:eastAsia="宋体" w:cs="宋体"/>
                <w:spacing w:val="-1"/>
                <w:sz w:val="21"/>
                <w:szCs w:val="21"/>
                <w:highlight w:val="none"/>
                <w:lang w:val="en-US" w:eastAsia="zh-CN"/>
              </w:rPr>
              <w:t>能理解采购人业务需求，方案</w:t>
            </w:r>
            <w:r>
              <w:rPr>
                <w:rFonts w:hint="eastAsia" w:cs="宋体"/>
                <w:spacing w:val="-1"/>
                <w:sz w:val="21"/>
                <w:szCs w:val="21"/>
                <w:highlight w:val="none"/>
                <w:lang w:val="en-US" w:eastAsia="zh-CN"/>
              </w:rPr>
              <w:t>不</w:t>
            </w:r>
            <w:r>
              <w:rPr>
                <w:rFonts w:hint="eastAsia" w:ascii="宋体" w:hAnsi="宋体" w:eastAsia="宋体" w:cs="宋体"/>
                <w:spacing w:val="-1"/>
                <w:sz w:val="21"/>
                <w:szCs w:val="21"/>
                <w:highlight w:val="none"/>
                <w:lang w:val="en-US" w:eastAsia="zh-CN"/>
              </w:rPr>
              <w:t>完整，视频拍摄制作技术水平</w:t>
            </w:r>
            <w:r>
              <w:rPr>
                <w:rFonts w:hint="eastAsia" w:cs="宋体"/>
                <w:spacing w:val="-1"/>
                <w:sz w:val="21"/>
                <w:szCs w:val="21"/>
                <w:highlight w:val="none"/>
                <w:lang w:val="en-US" w:eastAsia="zh-CN"/>
              </w:rPr>
              <w:t>不</w:t>
            </w:r>
            <w:r>
              <w:rPr>
                <w:rFonts w:hint="eastAsia" w:ascii="宋体" w:hAnsi="宋体" w:eastAsia="宋体" w:cs="宋体"/>
                <w:spacing w:val="-1"/>
                <w:sz w:val="21"/>
                <w:szCs w:val="21"/>
                <w:highlight w:val="none"/>
                <w:lang w:val="en-US" w:eastAsia="zh-CN"/>
              </w:rPr>
              <w:t>专业，拍摄思路</w:t>
            </w:r>
            <w:r>
              <w:rPr>
                <w:rFonts w:hint="eastAsia" w:cs="宋体"/>
                <w:spacing w:val="-1"/>
                <w:sz w:val="21"/>
                <w:szCs w:val="21"/>
                <w:highlight w:val="none"/>
                <w:lang w:val="en-US" w:eastAsia="zh-CN"/>
              </w:rPr>
              <w:t>混乱</w:t>
            </w:r>
            <w:r>
              <w:rPr>
                <w:rFonts w:hint="eastAsia" w:ascii="宋体" w:hAnsi="宋体" w:eastAsia="宋体" w:cs="宋体"/>
                <w:spacing w:val="-1"/>
                <w:sz w:val="21"/>
                <w:szCs w:val="21"/>
                <w:highlight w:val="none"/>
                <w:lang w:val="en-US" w:eastAsia="zh-CN"/>
              </w:rPr>
              <w:t>，</w:t>
            </w:r>
            <w:r>
              <w:rPr>
                <w:rFonts w:hint="eastAsia" w:cs="宋体"/>
                <w:spacing w:val="-1"/>
                <w:sz w:val="21"/>
                <w:szCs w:val="21"/>
                <w:highlight w:val="none"/>
                <w:lang w:val="en-US" w:eastAsia="zh-CN"/>
              </w:rPr>
              <w:t>不具有</w:t>
            </w:r>
            <w:r>
              <w:rPr>
                <w:rFonts w:hint="eastAsia" w:ascii="宋体" w:hAnsi="宋体" w:eastAsia="宋体" w:cs="宋体"/>
                <w:spacing w:val="-1"/>
                <w:sz w:val="21"/>
                <w:szCs w:val="21"/>
                <w:highlight w:val="none"/>
                <w:lang w:val="en-US" w:eastAsia="zh-CN"/>
              </w:rPr>
              <w:t>可行的协调、解决和完成项目的工作方法和措施，</w:t>
            </w:r>
            <w:r>
              <w:rPr>
                <w:rFonts w:hint="eastAsia" w:cs="宋体"/>
                <w:spacing w:val="-1"/>
                <w:sz w:val="21"/>
                <w:szCs w:val="21"/>
                <w:highlight w:val="none"/>
                <w:lang w:val="en-US" w:eastAsia="zh-CN"/>
              </w:rPr>
              <w:t>不能</w:t>
            </w:r>
            <w:r>
              <w:rPr>
                <w:rFonts w:hint="eastAsia" w:ascii="宋体" w:hAnsi="宋体" w:eastAsia="宋体" w:cs="宋体"/>
                <w:spacing w:val="-1"/>
                <w:sz w:val="21"/>
                <w:szCs w:val="21"/>
                <w:highlight w:val="none"/>
                <w:lang w:val="en-US" w:eastAsia="zh-CN"/>
              </w:rPr>
              <w:t>满足遴选文件要求，得</w:t>
            </w:r>
            <w:r>
              <w:rPr>
                <w:rFonts w:hint="eastAsia" w:cs="宋体"/>
                <w:spacing w:val="-1"/>
                <w:sz w:val="21"/>
                <w:szCs w:val="21"/>
                <w:highlight w:val="none"/>
                <w:lang w:val="en-US" w:eastAsia="zh-CN"/>
              </w:rPr>
              <w:t>1</w:t>
            </w:r>
            <w:r>
              <w:rPr>
                <w:rFonts w:hint="eastAsia" w:ascii="宋体" w:hAnsi="宋体" w:eastAsia="宋体" w:cs="宋体"/>
                <w:spacing w:val="-1"/>
                <w:sz w:val="21"/>
                <w:szCs w:val="21"/>
                <w:highlight w:val="none"/>
                <w:lang w:val="en-US" w:eastAsia="zh-CN"/>
              </w:rPr>
              <w:t>分。</w:t>
            </w:r>
          </w:p>
          <w:p w14:paraId="4D4C7B37">
            <w:pPr>
              <w:pStyle w:val="8"/>
              <w:spacing w:before="1" w:line="240" w:lineRule="auto"/>
              <w:ind w:left="116" w:right="126" w:firstLine="2"/>
              <w:jc w:val="left"/>
              <w:rPr>
                <w:rFonts w:hint="eastAsia" w:ascii="宋体" w:hAnsi="宋体" w:eastAsia="宋体" w:cs="宋体"/>
                <w:color w:val="auto"/>
                <w:kern w:val="0"/>
                <w:sz w:val="21"/>
                <w:szCs w:val="21"/>
                <w:highlight w:val="none"/>
              </w:rPr>
            </w:pPr>
            <w:r>
              <w:rPr>
                <w:rFonts w:hint="eastAsia" w:ascii="宋体" w:hAnsi="宋体" w:eastAsia="宋体" w:cs="宋体"/>
                <w:spacing w:val="-1"/>
                <w:sz w:val="21"/>
                <w:szCs w:val="21"/>
                <w:highlight w:val="none"/>
                <w:lang w:val="en-US" w:eastAsia="zh-CN"/>
              </w:rPr>
              <w:t>（</w:t>
            </w:r>
            <w:r>
              <w:rPr>
                <w:rFonts w:hint="eastAsia" w:cs="宋体"/>
                <w:spacing w:val="-1"/>
                <w:sz w:val="21"/>
                <w:szCs w:val="21"/>
                <w:highlight w:val="none"/>
                <w:lang w:val="en-US" w:eastAsia="zh-CN"/>
              </w:rPr>
              <w:t>5</w:t>
            </w:r>
            <w:r>
              <w:rPr>
                <w:rFonts w:hint="eastAsia" w:ascii="宋体" w:hAnsi="宋体" w:eastAsia="宋体" w:cs="宋体"/>
                <w:spacing w:val="-1"/>
                <w:sz w:val="21"/>
                <w:szCs w:val="21"/>
                <w:highlight w:val="none"/>
                <w:lang w:val="en-US" w:eastAsia="zh-CN"/>
              </w:rPr>
              <w:t>）未提供方案的，得 0 分。</w:t>
            </w:r>
          </w:p>
        </w:tc>
      </w:tr>
      <w:tr w14:paraId="550B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0" w:hRule="atLeast"/>
          <w:jc w:val="center"/>
        </w:trPr>
        <w:tc>
          <w:tcPr>
            <w:tcW w:w="704" w:type="dxa"/>
            <w:vMerge w:val="continue"/>
            <w:vAlign w:val="center"/>
          </w:tcPr>
          <w:p w14:paraId="3185BB1F">
            <w:pPr>
              <w:spacing w:line="240" w:lineRule="auto"/>
              <w:ind w:firstLine="480"/>
              <w:jc w:val="left"/>
              <w:rPr>
                <w:rFonts w:hint="eastAsia" w:ascii="宋体" w:hAnsi="宋体" w:eastAsia="宋体" w:cs="宋体"/>
                <w:color w:val="auto"/>
                <w:sz w:val="21"/>
                <w:szCs w:val="21"/>
                <w:highlight w:val="none"/>
              </w:rPr>
            </w:pPr>
          </w:p>
        </w:tc>
        <w:tc>
          <w:tcPr>
            <w:tcW w:w="1267" w:type="dxa"/>
            <w:vMerge w:val="continue"/>
            <w:vAlign w:val="center"/>
          </w:tcPr>
          <w:p w14:paraId="2DDE054E">
            <w:pPr>
              <w:spacing w:line="240" w:lineRule="auto"/>
              <w:ind w:firstLine="480"/>
              <w:jc w:val="center"/>
              <w:rPr>
                <w:rFonts w:hint="eastAsia" w:ascii="宋体" w:hAnsi="宋体" w:eastAsia="宋体" w:cs="宋体"/>
                <w:color w:val="auto"/>
                <w:sz w:val="21"/>
                <w:szCs w:val="21"/>
                <w:highlight w:val="none"/>
              </w:rPr>
            </w:pPr>
          </w:p>
        </w:tc>
        <w:tc>
          <w:tcPr>
            <w:tcW w:w="1310" w:type="dxa"/>
            <w:vAlign w:val="center"/>
          </w:tcPr>
          <w:p w14:paraId="2C6C5700">
            <w:pPr>
              <w:widowControl/>
              <w:spacing w:line="240" w:lineRule="auto"/>
              <w:rPr>
                <w:rFonts w:hint="eastAsia" w:ascii="宋体" w:hAnsi="宋体" w:eastAsia="宋体" w:cs="宋体"/>
                <w:color w:val="auto"/>
                <w:kern w:val="0"/>
                <w:sz w:val="21"/>
                <w:szCs w:val="21"/>
                <w:highlight w:val="none"/>
              </w:rPr>
            </w:pPr>
          </w:p>
        </w:tc>
        <w:tc>
          <w:tcPr>
            <w:tcW w:w="712" w:type="dxa"/>
            <w:vAlign w:val="top"/>
          </w:tcPr>
          <w:p w14:paraId="107801C3">
            <w:pPr>
              <w:spacing w:line="240" w:lineRule="auto"/>
              <w:rPr>
                <w:rFonts w:hint="eastAsia" w:ascii="宋体" w:hAnsi="宋体" w:eastAsia="宋体" w:cs="宋体"/>
                <w:sz w:val="21"/>
                <w:szCs w:val="21"/>
                <w:highlight w:val="none"/>
              </w:rPr>
            </w:pPr>
          </w:p>
          <w:p w14:paraId="4A2CDBCB">
            <w:pPr>
              <w:spacing w:line="240" w:lineRule="auto"/>
              <w:rPr>
                <w:rFonts w:hint="eastAsia" w:ascii="宋体" w:hAnsi="宋体" w:eastAsia="宋体" w:cs="宋体"/>
                <w:sz w:val="21"/>
                <w:szCs w:val="21"/>
                <w:highlight w:val="none"/>
              </w:rPr>
            </w:pPr>
          </w:p>
          <w:p w14:paraId="3CB1FC6A">
            <w:pPr>
              <w:spacing w:line="240" w:lineRule="auto"/>
              <w:rPr>
                <w:rFonts w:hint="eastAsia" w:ascii="宋体" w:hAnsi="宋体" w:eastAsia="宋体" w:cs="宋体"/>
                <w:sz w:val="21"/>
                <w:szCs w:val="21"/>
                <w:highlight w:val="none"/>
              </w:rPr>
            </w:pPr>
          </w:p>
          <w:p w14:paraId="05F0D722">
            <w:pPr>
              <w:spacing w:line="240" w:lineRule="auto"/>
              <w:rPr>
                <w:rFonts w:hint="eastAsia" w:ascii="宋体" w:hAnsi="宋体" w:eastAsia="宋体" w:cs="宋体"/>
                <w:sz w:val="21"/>
                <w:szCs w:val="21"/>
                <w:highlight w:val="none"/>
              </w:rPr>
            </w:pPr>
          </w:p>
          <w:p w14:paraId="2564C767">
            <w:pPr>
              <w:spacing w:line="240" w:lineRule="auto"/>
              <w:rPr>
                <w:rFonts w:hint="eastAsia" w:ascii="宋体" w:hAnsi="宋体" w:eastAsia="宋体" w:cs="宋体"/>
                <w:sz w:val="21"/>
                <w:szCs w:val="21"/>
                <w:highlight w:val="none"/>
              </w:rPr>
            </w:pPr>
          </w:p>
          <w:p w14:paraId="0C2BAD85">
            <w:pPr>
              <w:spacing w:line="240" w:lineRule="auto"/>
              <w:rPr>
                <w:rFonts w:hint="eastAsia" w:ascii="宋体" w:hAnsi="宋体" w:eastAsia="宋体" w:cs="宋体"/>
                <w:sz w:val="21"/>
                <w:szCs w:val="21"/>
                <w:highlight w:val="none"/>
              </w:rPr>
            </w:pPr>
          </w:p>
          <w:p w14:paraId="3DBEBE90">
            <w:pPr>
              <w:spacing w:line="240" w:lineRule="auto"/>
              <w:rPr>
                <w:rFonts w:hint="eastAsia" w:ascii="宋体" w:hAnsi="宋体" w:eastAsia="宋体" w:cs="宋体"/>
                <w:sz w:val="21"/>
                <w:szCs w:val="21"/>
                <w:highlight w:val="none"/>
              </w:rPr>
            </w:pPr>
          </w:p>
          <w:p w14:paraId="19B4402D">
            <w:pPr>
              <w:spacing w:line="240" w:lineRule="auto"/>
              <w:jc w:val="center"/>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10</w:t>
            </w:r>
          </w:p>
        </w:tc>
        <w:tc>
          <w:tcPr>
            <w:tcW w:w="5325" w:type="dxa"/>
            <w:vAlign w:val="top"/>
          </w:tcPr>
          <w:p w14:paraId="697C1507">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根据遴选要求和供应商技术响应情况，对供应商提供的</w:t>
            </w:r>
            <w:r>
              <w:rPr>
                <w:rFonts w:hint="eastAsia" w:ascii="宋体" w:hAnsi="宋体" w:eastAsia="宋体" w:cs="宋体"/>
                <w:b/>
                <w:bCs/>
                <w:spacing w:val="-1"/>
                <w:sz w:val="21"/>
                <w:szCs w:val="21"/>
                <w:highlight w:val="none"/>
                <w:lang w:val="en-US" w:eastAsia="zh-CN"/>
              </w:rPr>
              <w:t>颁奖仪式活动策划方案</w:t>
            </w:r>
            <w:r>
              <w:rPr>
                <w:rFonts w:hint="eastAsia" w:ascii="宋体" w:hAnsi="宋体" w:eastAsia="宋体" w:cs="宋体"/>
                <w:spacing w:val="-1"/>
                <w:sz w:val="21"/>
                <w:szCs w:val="21"/>
                <w:highlight w:val="none"/>
                <w:lang w:val="en-US" w:eastAsia="zh-CN"/>
              </w:rPr>
              <w:t>进行评价：</w:t>
            </w:r>
          </w:p>
          <w:p w14:paraId="6D00EFD1">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1）方案能清晰理解采购人业务需求，对颁奖仪式的场地选址、舞台设计、流程策划、现场执行有完整详实的方案，仪式策划对证书及相关资料的设计制作有具体方案，对表彰仪式的现场直播（含多机位导播、推流方案）和媒体宣传有切实可行的技术措施，应急保障预案合理可行，得10 分。</w:t>
            </w:r>
            <w:r>
              <w:rPr>
                <w:rFonts w:hint="eastAsia" w:ascii="宋体" w:hAnsi="宋体" w:eastAsia="宋体" w:cs="宋体"/>
                <w:spacing w:val="-1"/>
                <w:sz w:val="21"/>
                <w:szCs w:val="21"/>
                <w:highlight w:val="none"/>
                <w:lang w:val="en-US" w:eastAsia="zh-CN"/>
              </w:rPr>
              <w:br w:type="textWrapping"/>
            </w:r>
            <w:r>
              <w:rPr>
                <w:rFonts w:hint="eastAsia" w:ascii="宋体" w:hAnsi="宋体" w:eastAsia="宋体" w:cs="宋体"/>
                <w:spacing w:val="-1"/>
                <w:sz w:val="21"/>
                <w:szCs w:val="21"/>
                <w:highlight w:val="none"/>
                <w:lang w:val="en-US" w:eastAsia="zh-CN"/>
              </w:rPr>
              <w:t>（2）方案能理解采购人业务需求，方案较完整，场地选址、流程策划、现场执行等方面比较可行，对证书设计、现场直播、媒体宣传的安排比较合理，应急保障预案比较合理可行，得5分。</w:t>
            </w:r>
          </w:p>
          <w:p w14:paraId="1F670115">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（3）方案不能理解采购人业务需求，方案不完整，场地选址、流程策划、现场执行等方面不可行，对证书设计、现场直播、媒体宣传的安排不合理，应急保障预案不合理可行，得1分。</w:t>
            </w:r>
          </w:p>
          <w:p w14:paraId="16995879">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（4）未提供方案的，得 0 分。</w:t>
            </w:r>
          </w:p>
        </w:tc>
      </w:tr>
      <w:tr w14:paraId="4BAA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0" w:hRule="atLeast"/>
          <w:jc w:val="center"/>
        </w:trPr>
        <w:tc>
          <w:tcPr>
            <w:tcW w:w="704" w:type="dxa"/>
            <w:vMerge w:val="continue"/>
            <w:vAlign w:val="center"/>
          </w:tcPr>
          <w:p w14:paraId="33F20F1E">
            <w:pPr>
              <w:spacing w:line="240" w:lineRule="auto"/>
              <w:ind w:firstLine="480"/>
              <w:jc w:val="left"/>
              <w:rPr>
                <w:rFonts w:hint="eastAsia" w:ascii="宋体" w:hAnsi="宋体" w:eastAsia="宋体" w:cs="宋体"/>
                <w:color w:val="auto"/>
                <w:sz w:val="21"/>
                <w:szCs w:val="21"/>
                <w:highlight w:val="none"/>
              </w:rPr>
            </w:pPr>
          </w:p>
        </w:tc>
        <w:tc>
          <w:tcPr>
            <w:tcW w:w="1267" w:type="dxa"/>
            <w:vMerge w:val="continue"/>
            <w:vAlign w:val="center"/>
          </w:tcPr>
          <w:p w14:paraId="683AD121">
            <w:pPr>
              <w:spacing w:line="240" w:lineRule="auto"/>
              <w:ind w:firstLine="480"/>
              <w:jc w:val="center"/>
              <w:rPr>
                <w:rFonts w:hint="eastAsia" w:ascii="宋体" w:hAnsi="宋体" w:eastAsia="宋体" w:cs="宋体"/>
                <w:color w:val="auto"/>
                <w:sz w:val="21"/>
                <w:szCs w:val="21"/>
                <w:highlight w:val="none"/>
              </w:rPr>
            </w:pPr>
          </w:p>
        </w:tc>
        <w:tc>
          <w:tcPr>
            <w:tcW w:w="1310" w:type="dxa"/>
            <w:vAlign w:val="top"/>
          </w:tcPr>
          <w:p w14:paraId="1F495CE7">
            <w:pPr>
              <w:spacing w:line="240" w:lineRule="auto"/>
              <w:rPr>
                <w:rFonts w:hint="eastAsia" w:ascii="宋体" w:hAnsi="宋体" w:eastAsia="宋体" w:cs="宋体"/>
                <w:sz w:val="21"/>
                <w:szCs w:val="21"/>
                <w:highlight w:val="none"/>
              </w:rPr>
            </w:pPr>
          </w:p>
          <w:p w14:paraId="481225E7">
            <w:pPr>
              <w:spacing w:line="240" w:lineRule="auto"/>
              <w:rPr>
                <w:rFonts w:hint="eastAsia" w:ascii="宋体" w:hAnsi="宋体" w:eastAsia="宋体" w:cs="宋体"/>
                <w:sz w:val="21"/>
                <w:szCs w:val="21"/>
                <w:highlight w:val="none"/>
              </w:rPr>
            </w:pPr>
          </w:p>
          <w:p w14:paraId="617FA88B">
            <w:pPr>
              <w:spacing w:line="240" w:lineRule="auto"/>
              <w:rPr>
                <w:rFonts w:hint="eastAsia" w:ascii="宋体" w:hAnsi="宋体" w:eastAsia="宋体" w:cs="宋体"/>
                <w:sz w:val="21"/>
                <w:szCs w:val="21"/>
                <w:highlight w:val="none"/>
              </w:rPr>
            </w:pPr>
          </w:p>
          <w:p w14:paraId="033CD964">
            <w:pPr>
              <w:spacing w:line="240" w:lineRule="auto"/>
              <w:rPr>
                <w:rFonts w:hint="eastAsia" w:ascii="宋体" w:hAnsi="宋体" w:eastAsia="宋体" w:cs="宋体"/>
                <w:sz w:val="21"/>
                <w:szCs w:val="21"/>
                <w:highlight w:val="none"/>
              </w:rPr>
            </w:pPr>
          </w:p>
          <w:p w14:paraId="33D4A81D">
            <w:pPr>
              <w:pStyle w:val="8"/>
              <w:spacing w:before="68" w:line="240" w:lineRule="auto"/>
              <w:ind w:left="113" w:leftChars="0" w:right="108" w:rightChars="0" w:firstLine="1" w:firstLineChars="0"/>
              <w:rPr>
                <w:rFonts w:hint="eastAsia" w:ascii="宋体" w:hAnsi="宋体" w:eastAsia="宋体" w:cs="宋体"/>
                <w:spacing w:val="-4"/>
                <w:sz w:val="21"/>
                <w:szCs w:val="21"/>
                <w:highlight w:val="none"/>
              </w:rPr>
            </w:pPr>
            <w:r>
              <w:rPr>
                <w:rFonts w:hint="eastAsia" w:ascii="宋体" w:hAnsi="宋体" w:eastAsia="宋体" w:cs="宋体"/>
                <w:spacing w:val="5"/>
                <w:sz w:val="21"/>
                <w:szCs w:val="21"/>
                <w:highlight w:val="none"/>
              </w:rPr>
              <w:t>项目实施方</w:t>
            </w:r>
            <w:r>
              <w:rPr>
                <w:rFonts w:hint="eastAsia" w:ascii="宋体" w:hAnsi="宋体" w:eastAsia="宋体" w:cs="宋体"/>
                <w:spacing w:val="-4"/>
                <w:sz w:val="21"/>
                <w:szCs w:val="21"/>
                <w:highlight w:val="none"/>
              </w:rPr>
              <w:t>案</w:t>
            </w:r>
          </w:p>
          <w:p w14:paraId="58AFCA54">
            <w:pPr>
              <w:pStyle w:val="8"/>
              <w:spacing w:before="68" w:line="240" w:lineRule="auto"/>
              <w:ind w:left="113" w:leftChars="0" w:right="108" w:rightChars="0" w:firstLine="1" w:firstLineChars="0"/>
              <w:rPr>
                <w:rFonts w:hint="eastAsia" w:ascii="宋体" w:hAnsi="宋体" w:eastAsia="宋体" w:cs="宋体"/>
                <w:color w:val="auto"/>
                <w:kern w:val="0"/>
                <w:sz w:val="21"/>
                <w:szCs w:val="21"/>
                <w:highlight w:val="none"/>
              </w:rPr>
            </w:pPr>
          </w:p>
        </w:tc>
        <w:tc>
          <w:tcPr>
            <w:tcW w:w="712" w:type="dxa"/>
            <w:vAlign w:val="top"/>
          </w:tcPr>
          <w:p w14:paraId="155B8CAB">
            <w:pPr>
              <w:spacing w:line="240" w:lineRule="auto"/>
              <w:rPr>
                <w:rFonts w:hint="eastAsia" w:ascii="宋体" w:hAnsi="宋体" w:eastAsia="宋体" w:cs="宋体"/>
                <w:sz w:val="21"/>
                <w:szCs w:val="21"/>
                <w:highlight w:val="none"/>
              </w:rPr>
            </w:pPr>
          </w:p>
          <w:p w14:paraId="000B49C4">
            <w:pPr>
              <w:spacing w:line="240" w:lineRule="auto"/>
              <w:rPr>
                <w:rFonts w:hint="eastAsia" w:ascii="宋体" w:hAnsi="宋体" w:eastAsia="宋体" w:cs="宋体"/>
                <w:sz w:val="21"/>
                <w:szCs w:val="21"/>
                <w:highlight w:val="none"/>
              </w:rPr>
            </w:pPr>
          </w:p>
          <w:p w14:paraId="668F45BC">
            <w:pPr>
              <w:spacing w:line="240" w:lineRule="auto"/>
              <w:rPr>
                <w:rFonts w:hint="eastAsia" w:ascii="宋体" w:hAnsi="宋体" w:eastAsia="宋体" w:cs="宋体"/>
                <w:sz w:val="21"/>
                <w:szCs w:val="21"/>
                <w:highlight w:val="none"/>
              </w:rPr>
            </w:pPr>
          </w:p>
          <w:p w14:paraId="268457C2">
            <w:pPr>
              <w:spacing w:line="240" w:lineRule="auto"/>
              <w:rPr>
                <w:rFonts w:hint="eastAsia" w:ascii="宋体" w:hAnsi="宋体" w:eastAsia="宋体" w:cs="宋体"/>
                <w:sz w:val="21"/>
                <w:szCs w:val="21"/>
                <w:highlight w:val="none"/>
              </w:rPr>
            </w:pPr>
          </w:p>
          <w:p w14:paraId="2CFAD37F">
            <w:pPr>
              <w:spacing w:line="240" w:lineRule="auto"/>
              <w:rPr>
                <w:rFonts w:hint="eastAsia" w:ascii="宋体" w:hAnsi="宋体" w:eastAsia="宋体" w:cs="宋体"/>
                <w:sz w:val="21"/>
                <w:szCs w:val="21"/>
                <w:highlight w:val="none"/>
              </w:rPr>
            </w:pPr>
          </w:p>
          <w:p w14:paraId="0B32DA3D">
            <w:pPr>
              <w:spacing w:line="240" w:lineRule="auto"/>
              <w:jc w:val="center"/>
              <w:rPr>
                <w:rFonts w:hint="default" w:ascii="宋体" w:hAnsi="宋体" w:eastAsia="宋体" w:cs="宋体"/>
                <w:color w:val="auto"/>
                <w:kern w:val="0"/>
                <w:sz w:val="21"/>
                <w:szCs w:val="21"/>
                <w:highlight w:val="none"/>
                <w:lang w:val="en-US" w:eastAsia="zh-CN"/>
              </w:rPr>
            </w:pPr>
            <w:r>
              <w:rPr>
                <w:rFonts w:hint="eastAsia" w:ascii="宋体" w:hAnsi="宋体" w:cs="宋体"/>
                <w:sz w:val="21"/>
                <w:szCs w:val="21"/>
                <w:highlight w:val="none"/>
                <w:lang w:val="en-US" w:eastAsia="zh-CN"/>
              </w:rPr>
              <w:t>10</w:t>
            </w:r>
          </w:p>
        </w:tc>
        <w:tc>
          <w:tcPr>
            <w:tcW w:w="5325" w:type="dxa"/>
            <w:vAlign w:val="top"/>
          </w:tcPr>
          <w:p w14:paraId="50FEA623">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根据供应商提供的实施方案进行综合评价，其中：</w:t>
            </w:r>
          </w:p>
          <w:p w14:paraId="2F6E8B3B">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（1）供应商提供的实施方案沟通机制及执行能力强、执行效果好，方案内容完整、详细，贴合，能高效完成项目进度的，得</w:t>
            </w:r>
            <w:r>
              <w:rPr>
                <w:rFonts w:hint="eastAsia" w:cs="宋体"/>
                <w:spacing w:val="-1"/>
                <w:sz w:val="21"/>
                <w:szCs w:val="21"/>
                <w:highlight w:val="none"/>
                <w:lang w:val="en-US" w:eastAsia="zh-CN"/>
              </w:rPr>
              <w:t>10</w:t>
            </w:r>
            <w:r>
              <w:rPr>
                <w:rFonts w:hint="eastAsia" w:ascii="宋体" w:hAnsi="宋体" w:eastAsia="宋体" w:cs="宋体"/>
                <w:spacing w:val="-1"/>
                <w:sz w:val="21"/>
                <w:szCs w:val="21"/>
                <w:highlight w:val="none"/>
                <w:lang w:val="en-US" w:eastAsia="zh-CN"/>
              </w:rPr>
              <w:t>分；</w:t>
            </w:r>
          </w:p>
          <w:p w14:paraId="2A7E0981">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（2）供应商提供的实施方案沟通机制及执行能力较强、执行效果较好，方案内容较完整、详细，贴合，能完成项目进度，得</w:t>
            </w:r>
            <w:r>
              <w:rPr>
                <w:rFonts w:hint="eastAsia" w:cs="宋体"/>
                <w:spacing w:val="-1"/>
                <w:sz w:val="21"/>
                <w:szCs w:val="21"/>
                <w:highlight w:val="none"/>
                <w:lang w:val="en-US" w:eastAsia="zh-CN"/>
              </w:rPr>
              <w:t>5</w:t>
            </w:r>
            <w:r>
              <w:rPr>
                <w:rFonts w:hint="eastAsia" w:ascii="宋体" w:hAnsi="宋体" w:eastAsia="宋体" w:cs="宋体"/>
                <w:spacing w:val="-1"/>
                <w:sz w:val="21"/>
                <w:szCs w:val="21"/>
                <w:highlight w:val="none"/>
                <w:lang w:val="en-US" w:eastAsia="zh-CN"/>
              </w:rPr>
              <w:t>分；</w:t>
            </w:r>
          </w:p>
          <w:p w14:paraId="3D968FC3">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（3）供应商提供的实施方案很简单，沟通机制及执行能力一般、执行效果一般，基本能完成项目进度，得 1 分；</w:t>
            </w:r>
          </w:p>
          <w:p w14:paraId="38AAA235">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（4）未提供得 0 分。</w:t>
            </w:r>
          </w:p>
        </w:tc>
      </w:tr>
      <w:tr w14:paraId="39F1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0" w:hRule="atLeast"/>
          <w:jc w:val="center"/>
        </w:trPr>
        <w:tc>
          <w:tcPr>
            <w:tcW w:w="704" w:type="dxa"/>
            <w:vMerge w:val="continue"/>
            <w:vAlign w:val="center"/>
          </w:tcPr>
          <w:p w14:paraId="7B4A8A1B">
            <w:pPr>
              <w:spacing w:line="240" w:lineRule="auto"/>
              <w:ind w:firstLine="480"/>
              <w:jc w:val="left"/>
              <w:rPr>
                <w:rFonts w:hint="eastAsia" w:ascii="宋体" w:hAnsi="宋体" w:eastAsia="宋体" w:cs="宋体"/>
                <w:color w:val="auto"/>
                <w:sz w:val="21"/>
                <w:szCs w:val="21"/>
                <w:highlight w:val="none"/>
              </w:rPr>
            </w:pPr>
          </w:p>
        </w:tc>
        <w:tc>
          <w:tcPr>
            <w:tcW w:w="1267" w:type="dxa"/>
            <w:vMerge w:val="continue"/>
            <w:vAlign w:val="center"/>
          </w:tcPr>
          <w:p w14:paraId="15350414">
            <w:pPr>
              <w:spacing w:line="240" w:lineRule="auto"/>
              <w:ind w:firstLine="480"/>
              <w:jc w:val="center"/>
              <w:rPr>
                <w:rFonts w:hint="eastAsia" w:ascii="宋体" w:hAnsi="宋体" w:eastAsia="宋体" w:cs="宋体"/>
                <w:color w:val="auto"/>
                <w:sz w:val="21"/>
                <w:szCs w:val="21"/>
                <w:highlight w:val="none"/>
              </w:rPr>
            </w:pPr>
          </w:p>
        </w:tc>
        <w:tc>
          <w:tcPr>
            <w:tcW w:w="1310" w:type="dxa"/>
            <w:vAlign w:val="center"/>
          </w:tcPr>
          <w:p w14:paraId="163AE721">
            <w:pPr>
              <w:spacing w:line="240" w:lineRule="auto"/>
              <w:jc w:val="center"/>
              <w:rPr>
                <w:rFonts w:hint="eastAsia" w:ascii="宋体" w:hAnsi="宋体" w:eastAsia="宋体" w:cs="宋体"/>
                <w:sz w:val="21"/>
                <w:szCs w:val="21"/>
                <w:highlight w:val="none"/>
              </w:rPr>
            </w:pPr>
          </w:p>
          <w:p w14:paraId="5204B3E0">
            <w:pPr>
              <w:pStyle w:val="8"/>
              <w:spacing w:before="68" w:line="240" w:lineRule="auto"/>
              <w:ind w:left="112" w:leftChars="0" w:right="107" w:rightChars="0" w:hanging="1" w:firstLineChars="0"/>
              <w:jc w:val="center"/>
              <w:rPr>
                <w:rFonts w:hint="eastAsia" w:ascii="宋体" w:hAnsi="宋体" w:eastAsia="宋体" w:cs="宋体"/>
                <w:spacing w:val="5"/>
                <w:sz w:val="21"/>
                <w:szCs w:val="21"/>
                <w:highlight w:val="none"/>
              </w:rPr>
            </w:pPr>
            <w:r>
              <w:rPr>
                <w:rFonts w:hint="eastAsia" w:ascii="宋体" w:hAnsi="宋体" w:eastAsia="宋体" w:cs="宋体"/>
                <w:spacing w:val="6"/>
                <w:sz w:val="21"/>
                <w:szCs w:val="21"/>
                <w:highlight w:val="none"/>
              </w:rPr>
              <w:t>拟投入团队</w:t>
            </w:r>
            <w:r>
              <w:rPr>
                <w:rFonts w:hint="eastAsia" w:ascii="宋体" w:hAnsi="宋体" w:eastAsia="宋体" w:cs="宋体"/>
                <w:spacing w:val="-13"/>
                <w:sz w:val="21"/>
                <w:szCs w:val="21"/>
                <w:highlight w:val="none"/>
              </w:rPr>
              <w:t>人员评价</w:t>
            </w:r>
          </w:p>
        </w:tc>
        <w:tc>
          <w:tcPr>
            <w:tcW w:w="712" w:type="dxa"/>
            <w:vAlign w:val="center"/>
          </w:tcPr>
          <w:p w14:paraId="30C3879F">
            <w:pPr>
              <w:spacing w:line="240" w:lineRule="auto"/>
              <w:jc w:val="center"/>
              <w:rPr>
                <w:rFonts w:hint="eastAsia" w:ascii="宋体" w:hAnsi="宋体" w:eastAsia="宋体" w:cs="宋体"/>
                <w:sz w:val="21"/>
                <w:szCs w:val="21"/>
                <w:highlight w:val="none"/>
              </w:rPr>
            </w:pPr>
          </w:p>
          <w:p w14:paraId="64727791">
            <w:pPr>
              <w:spacing w:line="24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0</w:t>
            </w:r>
          </w:p>
        </w:tc>
        <w:tc>
          <w:tcPr>
            <w:tcW w:w="5325" w:type="dxa"/>
            <w:vAlign w:val="top"/>
          </w:tcPr>
          <w:p w14:paraId="79402E74">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根据遴选要求和技术响应情况，对项目组人员资历，项目组织机构，技术支持体系，人员配备，职责分工，对项目实际需要的契合度进行评价，其中：</w:t>
            </w:r>
          </w:p>
          <w:p w14:paraId="5EF4B6B9">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（1）提供的项目组人员资历齐全，项目组织机构完整、人员配备合理，职责分工明确，对项目实际需要的契合度高，能完全满足遴选文件要求的得</w:t>
            </w:r>
            <w:r>
              <w:rPr>
                <w:rFonts w:hint="eastAsia" w:cs="宋体"/>
                <w:spacing w:val="-1"/>
                <w:sz w:val="21"/>
                <w:szCs w:val="21"/>
                <w:highlight w:val="none"/>
                <w:lang w:val="en-US" w:eastAsia="zh-CN"/>
              </w:rPr>
              <w:t>10</w:t>
            </w:r>
            <w:r>
              <w:rPr>
                <w:rFonts w:hint="eastAsia" w:ascii="宋体" w:hAnsi="宋体" w:eastAsia="宋体" w:cs="宋体"/>
                <w:spacing w:val="-1"/>
                <w:sz w:val="21"/>
                <w:szCs w:val="21"/>
                <w:highlight w:val="none"/>
                <w:lang w:val="en-US" w:eastAsia="zh-CN"/>
              </w:rPr>
              <w:t xml:space="preserve"> 分；</w:t>
            </w:r>
          </w:p>
          <w:p w14:paraId="6C1CEFDE">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（2）提供的项目组人员的资历基本齐全，项目组织机构基本完整、人员配备基本合理，职责分工基本明确，对项目实际需要的契合度较高，基本能满足遴选文件要求的得 5 分；</w:t>
            </w:r>
          </w:p>
          <w:p w14:paraId="1F738FCE">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（3）未提供项目组人员资历，项目组织机构不完整、人员配备不合理，职责分工不明确，对项目实际需要的契合度低，不能满足遴选文件要求的得 1 分；</w:t>
            </w:r>
          </w:p>
          <w:p w14:paraId="695C51E0">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val="en-US" w:eastAsia="zh-CN"/>
              </w:rPr>
              <w:t>（4）未提供人员安排的得 0 分。</w:t>
            </w:r>
          </w:p>
          <w:p w14:paraId="4C08828D">
            <w:pPr>
              <w:pStyle w:val="8"/>
              <w:spacing w:before="1" w:line="240" w:lineRule="auto"/>
              <w:ind w:left="116" w:right="126" w:firstLine="2"/>
              <w:rPr>
                <w:rFonts w:hint="eastAsia" w:ascii="宋体" w:hAnsi="宋体" w:eastAsia="宋体" w:cs="宋体"/>
                <w:spacing w:val="-1"/>
                <w:sz w:val="21"/>
                <w:szCs w:val="21"/>
                <w:highlight w:val="none"/>
                <w:lang w:val="en-US" w:eastAsia="zh-CN"/>
              </w:rPr>
            </w:pPr>
            <w:r>
              <w:rPr>
                <w:rFonts w:hint="eastAsia" w:ascii="宋体" w:hAnsi="宋体" w:eastAsia="宋体" w:cs="宋体"/>
                <w:b/>
                <w:bCs/>
                <w:spacing w:val="-1"/>
                <w:sz w:val="21"/>
                <w:szCs w:val="21"/>
                <w:highlight w:val="none"/>
                <w:lang w:val="en-US" w:eastAsia="zh-CN"/>
              </w:rPr>
              <w:t>注：供应商须提供项目组人员名单及工作简历、《劳动合同》复印件， 复印件加盖公章。</w:t>
            </w:r>
          </w:p>
        </w:tc>
      </w:tr>
    </w:tbl>
    <w:p w14:paraId="0277810C">
      <w:pPr>
        <w:pStyle w:val="2"/>
        <w:rPr>
          <w:rFonts w:hint="eastAsia"/>
          <w:color w:val="auto"/>
          <w:sz w:val="36"/>
          <w:szCs w:val="36"/>
          <w:highlight w:val="none"/>
        </w:rPr>
      </w:pPr>
      <w:r>
        <w:rPr>
          <w:color w:val="auto"/>
          <w:sz w:val="36"/>
          <w:szCs w:val="36"/>
          <w:highlight w:val="none"/>
        </w:rPr>
        <w:br w:type="page"/>
      </w:r>
      <w:bookmarkStart w:id="0" w:name="_Toc26779"/>
      <w:r>
        <w:rPr>
          <w:color w:val="auto"/>
          <w:sz w:val="36"/>
          <w:szCs w:val="36"/>
          <w:highlight w:val="none"/>
        </w:rPr>
        <w:t xml:space="preserve">  </w:t>
      </w:r>
      <w:bookmarkStart w:id="1" w:name="_Toc2964"/>
      <w:r>
        <w:rPr>
          <w:color w:val="auto"/>
          <w:sz w:val="36"/>
          <w:szCs w:val="36"/>
          <w:highlight w:val="none"/>
        </w:rPr>
        <w:t>第五章 采购需求</w:t>
      </w:r>
      <w:bookmarkEnd w:id="0"/>
      <w:bookmarkEnd w:id="1"/>
    </w:p>
    <w:p w14:paraId="6C51A3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lang w:eastAsia="zh-CN"/>
        </w:rPr>
        <w:t>一、</w:t>
      </w:r>
      <w:r>
        <w:rPr>
          <w:rFonts w:hint="eastAsia" w:ascii="宋体" w:hAnsi="宋体" w:eastAsia="宋体" w:cs="宋体"/>
          <w:b/>
          <w:sz w:val="28"/>
          <w:szCs w:val="28"/>
          <w:highlight w:val="none"/>
        </w:rPr>
        <w:t>服务内容</w:t>
      </w:r>
    </w:p>
    <w:p w14:paraId="357C08A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2026年“首都文化和旅游紫禁杯”评选表彰工作旨在表彰先进、树立典型、振奋精神、鼓舞士气。项目任务是面向社会对北京文旅领域的先进集体和先进个人进行广泛传播，加强宣传力度，强化宣传效果，充分发挥先进集体和先进个人的正向带动力，促进文旅行业高质量发展。</w:t>
      </w:r>
      <w:r>
        <w:rPr>
          <w:rFonts w:hint="eastAsia" w:ascii="宋体" w:hAnsi="宋体" w:eastAsia="宋体" w:cs="宋体"/>
          <w:sz w:val="28"/>
          <w:szCs w:val="28"/>
          <w:highlight w:val="none"/>
          <w:lang w:eastAsia="zh-CN"/>
        </w:rPr>
        <w:t>拟评选表彰</w:t>
      </w:r>
      <w:r>
        <w:rPr>
          <w:rFonts w:hint="eastAsia" w:ascii="宋体" w:hAnsi="宋体" w:eastAsia="宋体" w:cs="宋体"/>
          <w:sz w:val="28"/>
          <w:szCs w:val="28"/>
          <w:highlight w:val="none"/>
        </w:rPr>
        <w:t>首都文化和旅游紫禁杯先进集体100个，首都文化和旅游紫禁杯先进个人200名</w:t>
      </w:r>
      <w:r>
        <w:rPr>
          <w:rFonts w:hint="eastAsia" w:ascii="宋体" w:hAnsi="宋体" w:eastAsia="宋体" w:cs="宋体"/>
          <w:sz w:val="28"/>
          <w:szCs w:val="28"/>
          <w:highlight w:val="none"/>
          <w:lang w:eastAsia="zh-CN"/>
        </w:rPr>
        <w:t>。</w:t>
      </w:r>
    </w:p>
    <w:p w14:paraId="413981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lang w:eastAsia="zh-CN"/>
        </w:rPr>
        <w:t>二、</w:t>
      </w:r>
      <w:r>
        <w:rPr>
          <w:rFonts w:hint="eastAsia" w:ascii="宋体" w:hAnsi="宋体" w:eastAsia="宋体" w:cs="宋体"/>
          <w:b/>
          <w:sz w:val="28"/>
          <w:szCs w:val="28"/>
          <w:highlight w:val="none"/>
        </w:rPr>
        <w:t>服务要求</w:t>
      </w:r>
    </w:p>
    <w:p w14:paraId="4D7E1D5C">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创意策划“首都文化和旅游紫禁杯”评选表彰宣传方案；</w:t>
      </w:r>
    </w:p>
    <w:p w14:paraId="1F46EB36">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lang w:eastAsia="zh-CN"/>
        </w:rPr>
        <w:t>拍摄制作</w:t>
      </w:r>
      <w:r>
        <w:rPr>
          <w:rFonts w:hint="eastAsia" w:ascii="宋体" w:hAnsi="宋体" w:eastAsia="宋体" w:cs="宋体"/>
          <w:sz w:val="28"/>
          <w:szCs w:val="28"/>
          <w:highlight w:val="none"/>
        </w:rPr>
        <w:t>视频</w:t>
      </w:r>
      <w:r>
        <w:rPr>
          <w:rFonts w:hint="eastAsia" w:ascii="宋体" w:hAnsi="宋体" w:eastAsia="宋体" w:cs="宋体"/>
          <w:sz w:val="28"/>
          <w:szCs w:val="28"/>
          <w:highlight w:val="none"/>
          <w:lang w:eastAsia="zh-CN"/>
        </w:rPr>
        <w:t>（宣传片），短视频数量不少于</w:t>
      </w:r>
      <w:r>
        <w:rPr>
          <w:rFonts w:hint="eastAsia" w:ascii="宋体" w:hAnsi="宋体" w:eastAsia="宋体" w:cs="宋体"/>
          <w:sz w:val="28"/>
          <w:szCs w:val="28"/>
          <w:highlight w:val="none"/>
          <w:lang w:val="en-US" w:eastAsia="zh-CN"/>
        </w:rPr>
        <w:t>35个，宣传片时长5分钟左右，</w:t>
      </w:r>
      <w:r>
        <w:rPr>
          <w:rFonts w:hint="eastAsia" w:ascii="宋体" w:hAnsi="宋体" w:eastAsia="宋体" w:cs="宋体"/>
          <w:sz w:val="28"/>
          <w:szCs w:val="28"/>
          <w:highlight w:val="none"/>
          <w:lang w:eastAsia="zh-CN"/>
        </w:rPr>
        <w:t>并在</w:t>
      </w:r>
      <w:r>
        <w:rPr>
          <w:rFonts w:hint="eastAsia" w:ascii="宋体" w:hAnsi="宋体" w:eastAsia="宋体" w:cs="宋体"/>
          <w:sz w:val="28"/>
          <w:szCs w:val="28"/>
          <w:highlight w:val="none"/>
        </w:rPr>
        <w:t>各视频平台推广及宣传；</w:t>
      </w:r>
    </w:p>
    <w:p w14:paraId="0FEEB304">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创意策划颁奖仪式</w:t>
      </w:r>
      <w:r>
        <w:rPr>
          <w:rFonts w:hint="eastAsia" w:ascii="宋体" w:hAnsi="宋体" w:eastAsia="宋体" w:cs="宋体"/>
          <w:sz w:val="28"/>
          <w:szCs w:val="28"/>
          <w:highlight w:val="none"/>
          <w:lang w:eastAsia="zh-CN"/>
        </w:rPr>
        <w:t>活动方案</w:t>
      </w: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并在能容纳</w:t>
      </w:r>
      <w:r>
        <w:rPr>
          <w:rFonts w:hint="eastAsia" w:ascii="宋体" w:hAnsi="宋体" w:eastAsia="宋体" w:cs="宋体"/>
          <w:sz w:val="28"/>
          <w:szCs w:val="28"/>
          <w:highlight w:val="none"/>
          <w:lang w:val="en-US" w:eastAsia="zh-CN"/>
        </w:rPr>
        <w:t>500人的场馆举办</w:t>
      </w:r>
      <w:r>
        <w:rPr>
          <w:rFonts w:hint="eastAsia" w:ascii="宋体" w:hAnsi="宋体" w:eastAsia="宋体" w:cs="宋体"/>
          <w:sz w:val="28"/>
          <w:szCs w:val="28"/>
          <w:highlight w:val="none"/>
        </w:rPr>
        <w:t>颁奖仪式</w:t>
      </w:r>
      <w:r>
        <w:rPr>
          <w:rFonts w:hint="eastAsia" w:ascii="宋体" w:hAnsi="宋体" w:eastAsia="宋体" w:cs="宋体"/>
          <w:sz w:val="28"/>
          <w:szCs w:val="28"/>
          <w:highlight w:val="none"/>
          <w:lang w:eastAsia="zh-CN"/>
        </w:rPr>
        <w:t>，负责证书及相关资料的设计制作，负责表彰仪式的现场直播和媒体宣传</w:t>
      </w:r>
      <w:r>
        <w:rPr>
          <w:rFonts w:hint="eastAsia" w:ascii="宋体" w:hAnsi="宋体" w:eastAsia="宋体" w:cs="宋体"/>
          <w:sz w:val="28"/>
          <w:szCs w:val="28"/>
          <w:highlight w:val="none"/>
        </w:rPr>
        <w:t>。</w:t>
      </w:r>
    </w:p>
    <w:p w14:paraId="2BBA2D8E">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所有服务产出的最终成品（含半成品、素材、源文件）的知识产权完全归采购人所有。</w:t>
      </w:r>
    </w:p>
    <w:p w14:paraId="6ABFEA96">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5.</w:t>
      </w:r>
      <w:r>
        <w:rPr>
          <w:rFonts w:hint="eastAsia" w:ascii="宋体" w:hAnsi="宋体" w:eastAsia="宋体" w:cs="宋体"/>
          <w:sz w:val="28"/>
          <w:szCs w:val="28"/>
          <w:highlight w:val="none"/>
        </w:rPr>
        <w:t>服务团队要求：有策划及组织</w:t>
      </w:r>
      <w:r>
        <w:rPr>
          <w:rFonts w:hint="eastAsia" w:ascii="宋体" w:hAnsi="宋体" w:eastAsia="宋体" w:cs="宋体"/>
          <w:sz w:val="28"/>
          <w:szCs w:val="28"/>
          <w:highlight w:val="none"/>
          <w:lang w:eastAsia="zh-CN"/>
        </w:rPr>
        <w:t>文旅</w:t>
      </w:r>
      <w:r>
        <w:rPr>
          <w:rFonts w:hint="eastAsia" w:ascii="宋体" w:hAnsi="宋体" w:eastAsia="宋体" w:cs="宋体"/>
          <w:sz w:val="28"/>
          <w:szCs w:val="28"/>
          <w:highlight w:val="none"/>
        </w:rPr>
        <w:t>宣传类活动经验</w:t>
      </w:r>
      <w:r>
        <w:rPr>
          <w:rFonts w:hint="eastAsia" w:ascii="宋体" w:hAnsi="宋体" w:eastAsia="宋体" w:cs="宋体"/>
          <w:sz w:val="28"/>
          <w:szCs w:val="28"/>
          <w:highlight w:val="none"/>
          <w:lang w:eastAsia="zh-CN"/>
        </w:rPr>
        <w:t>，具有较强的团队合作意识和人际交往、沟通协调能力，</w:t>
      </w:r>
      <w:r>
        <w:rPr>
          <w:rFonts w:hint="eastAsia" w:ascii="宋体" w:hAnsi="宋体" w:eastAsia="宋体" w:cs="宋体"/>
          <w:sz w:val="28"/>
          <w:szCs w:val="28"/>
          <w:highlight w:val="none"/>
        </w:rPr>
        <w:t>具备较高的业务水平</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有经验丰富的策划、宣传、文案创作、摄影、摄像、视频制作团队。项目团队人员资质、资历齐全，项目组织机构完整，人员配备合理，职责分工明确。</w:t>
      </w:r>
    </w:p>
    <w:p w14:paraId="27B3B5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rPr>
        <w:t xml:space="preserve">三、服务期限： </w:t>
      </w:r>
    </w:p>
    <w:p w14:paraId="645796C4">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自签订合同之日起至2026年12月31日（</w:t>
      </w:r>
      <w:r>
        <w:rPr>
          <w:rFonts w:hint="eastAsia" w:ascii="宋体" w:hAnsi="宋体" w:eastAsia="宋体" w:cs="宋体"/>
          <w:sz w:val="28"/>
          <w:szCs w:val="28"/>
          <w:highlight w:val="none"/>
          <w:lang w:val="en-US" w:eastAsia="zh-CN"/>
        </w:rPr>
        <w:t>合同签订后10日内提交策划方案</w:t>
      </w:r>
      <w:r>
        <w:rPr>
          <w:rFonts w:hint="eastAsia" w:ascii="宋体" w:hAnsi="宋体" w:eastAsia="宋体" w:cs="宋体"/>
          <w:sz w:val="28"/>
          <w:szCs w:val="28"/>
          <w:highlight w:val="none"/>
          <w:lang w:eastAsia="zh-CN"/>
        </w:rPr>
        <w:t>）。</w:t>
      </w:r>
      <w:bookmarkStart w:id="2" w:name="_GoBack"/>
      <w:bookmarkEnd w:id="2"/>
    </w:p>
    <w:p w14:paraId="521CC8A2">
      <w:pPr>
        <w:rPr>
          <w:rFonts w:hint="eastAsia" w:ascii="宋体" w:hAnsi="宋体" w:eastAsia="宋体" w:cs="宋体"/>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02498"/>
    <w:multiLevelType w:val="singleLevel"/>
    <w:tmpl w:val="8BF0249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A2EF6"/>
    <w:rsid w:val="3B4F0701"/>
    <w:rsid w:val="51406E1D"/>
    <w:rsid w:val="5C5F2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autoSpaceDE w:val="0"/>
      <w:autoSpaceDN w:val="0"/>
      <w:adjustRightInd w:val="0"/>
      <w:spacing w:before="240" w:after="120" w:line="300" w:lineRule="auto"/>
      <w:jc w:val="center"/>
      <w:outlineLvl w:val="0"/>
    </w:pPr>
    <w:rPr>
      <w:rFonts w:ascii="宋体" w:hAnsi="宋体"/>
      <w:b/>
      <w:kern w:val="44"/>
      <w:sz w:val="30"/>
      <w:szCs w:val="20"/>
    </w:rPr>
  </w:style>
  <w:style w:type="paragraph" w:styleId="3">
    <w:name w:val="heading 2"/>
    <w:basedOn w:val="1"/>
    <w:next w:val="4"/>
    <w:qFormat/>
    <w:uiPriority w:val="0"/>
    <w:pPr>
      <w:keepNext/>
      <w:keepLines/>
      <w:autoSpaceDE w:val="0"/>
      <w:autoSpaceDN w:val="0"/>
      <w:adjustRightInd w:val="0"/>
      <w:spacing w:line="360" w:lineRule="auto"/>
      <w:ind w:firstLine="420" w:firstLineChars="200"/>
      <w:jc w:val="left"/>
      <w:outlineLvl w:val="1"/>
    </w:pPr>
    <w:rPr>
      <w:rFonts w:ascii="Arial" w:hAnsi="Arial" w:eastAsia="黑体"/>
      <w:b/>
      <w:kern w:val="0"/>
      <w:sz w:val="24"/>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customStyle="1" w:styleId="7">
    <w:name w:val="纯文本1"/>
    <w:basedOn w:val="1"/>
    <w:autoRedefine/>
    <w:qFormat/>
    <w:uiPriority w:val="0"/>
    <w:rPr>
      <w:rFonts w:ascii="宋体" w:hAnsi="宋体" w:eastAsia="Courier New"/>
      <w:szCs w:val="21"/>
    </w:rPr>
  </w:style>
  <w:style w:type="paragraph" w:customStyle="1" w:styleId="8">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3101</Words>
  <Characters>3148</Characters>
  <Lines>0</Lines>
  <Paragraphs>0</Paragraphs>
  <TotalTime>0</TotalTime>
  <ScaleCrop>false</ScaleCrop>
  <LinksUpToDate>false</LinksUpToDate>
  <CharactersWithSpaces>3200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2026-09-01T02:49:00Z</dcterms:created>
  <dc:creator>admin</dc:creator>
  <cp:lastModifiedBy>招标代理</cp:lastModifiedBy>
  <dcterms:modified xsi:type="dcterms:W3CDTF">2026-09-01T03:22:27Z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eyJoZGlkIjoiNWU3ZjJjMGI5NzQ3YzBhNzYwZDRiMjgyYTdiMjhmNTIiLCJ1c2VySWQiOiIxMTI0NTUyMDUwIn0=</vt:lpwstr>
  </property>
  <property fmtid="{D5CDD505-2E9C-101B-9397-08002B2CF9AE}" pid="4" name="ICV">
    <vt:lpwstr>224962DAD18140CCAB13AD35F7611490_13</vt:lpwstr>
  </property>
</Properties>
</file>