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0DED8">
      <w:pPr>
        <w:jc w:val="center"/>
        <w:rPr>
          <w:rFonts w:ascii="宋体" w:hAnsi="宋体" w:eastAsia="宋体" w:cs="宋体"/>
          <w:b/>
          <w:sz w:val="36"/>
          <w:szCs w:val="44"/>
        </w:rPr>
      </w:pPr>
      <w:r>
        <w:rPr>
          <w:rFonts w:hint="eastAsia" w:ascii="宋体" w:hAnsi="宋体" w:eastAsia="宋体" w:cs="宋体"/>
          <w:b/>
          <w:sz w:val="36"/>
          <w:szCs w:val="44"/>
        </w:rPr>
        <w:t>2</w:t>
      </w:r>
      <w:r>
        <w:rPr>
          <w:rFonts w:ascii="宋体" w:hAnsi="宋体" w:eastAsia="宋体" w:cs="宋体"/>
          <w:b/>
          <w:sz w:val="36"/>
          <w:szCs w:val="44"/>
        </w:rPr>
        <w:t>02</w:t>
      </w:r>
      <w:r>
        <w:rPr>
          <w:rFonts w:hint="eastAsia" w:ascii="宋体" w:hAnsi="宋体" w:eastAsia="宋体" w:cs="宋体"/>
          <w:b/>
          <w:sz w:val="36"/>
          <w:szCs w:val="44"/>
          <w:lang w:val="en-US" w:eastAsia="zh-CN"/>
        </w:rPr>
        <w:t>4</w:t>
      </w:r>
      <w:r>
        <w:rPr>
          <w:rFonts w:hint="eastAsia" w:ascii="宋体" w:hAnsi="宋体" w:eastAsia="宋体" w:cs="宋体"/>
          <w:b/>
          <w:sz w:val="36"/>
          <w:szCs w:val="44"/>
        </w:rPr>
        <w:t>年度中央对北</w:t>
      </w:r>
      <w:r>
        <w:rPr>
          <w:rFonts w:hint="eastAsia" w:ascii="宋体" w:hAnsi="宋体" w:eastAsia="宋体" w:cs="宋体"/>
          <w:b/>
          <w:color w:val="auto"/>
          <w:sz w:val="36"/>
          <w:szCs w:val="44"/>
        </w:rPr>
        <w:t>京非物质文化遗产保护资金</w:t>
      </w:r>
      <w:r>
        <w:rPr>
          <w:rFonts w:hint="eastAsia" w:ascii="宋体" w:hAnsi="宋体" w:eastAsia="宋体" w:cs="宋体"/>
          <w:b/>
          <w:sz w:val="36"/>
          <w:szCs w:val="44"/>
        </w:rPr>
        <w:t>转移支付预算执行情况绩效自评报告</w:t>
      </w:r>
    </w:p>
    <w:p w14:paraId="0AACFEF8">
      <w:pPr>
        <w:adjustRightInd w:val="0"/>
        <w:snapToGrid w:val="0"/>
        <w:spacing w:line="360" w:lineRule="auto"/>
        <w:outlineLvl w:val="0"/>
        <w:rPr>
          <w:rFonts w:ascii="仿宋_GB2312" w:hAnsi="仿宋_GB2312" w:cs="仿宋_GB2312"/>
          <w:sz w:val="32"/>
          <w:szCs w:val="32"/>
        </w:rPr>
      </w:pPr>
    </w:p>
    <w:p w14:paraId="78757C68">
      <w:pPr>
        <w:adjustRightInd w:val="0"/>
        <w:snapToGrid w:val="0"/>
        <w:spacing w:line="360" w:lineRule="auto"/>
        <w:ind w:firstLine="640" w:firstLineChars="200"/>
        <w:outlineLvl w:val="0"/>
        <w:rPr>
          <w:rFonts w:eastAsia="黑体"/>
          <w:bCs/>
          <w:sz w:val="32"/>
          <w:szCs w:val="32"/>
        </w:rPr>
      </w:pPr>
      <w:r>
        <w:rPr>
          <w:rFonts w:eastAsia="黑体"/>
          <w:bCs/>
          <w:sz w:val="32"/>
          <w:szCs w:val="32"/>
        </w:rPr>
        <w:t>一、</w:t>
      </w:r>
      <w:r>
        <w:rPr>
          <w:rFonts w:hint="eastAsia" w:eastAsia="黑体"/>
          <w:bCs/>
          <w:sz w:val="32"/>
          <w:szCs w:val="32"/>
        </w:rPr>
        <w:t>转移支付基本</w:t>
      </w:r>
      <w:r>
        <w:rPr>
          <w:rFonts w:eastAsia="黑体"/>
          <w:bCs/>
          <w:sz w:val="32"/>
          <w:szCs w:val="32"/>
        </w:rPr>
        <w:t>情况</w:t>
      </w:r>
      <w:r>
        <w:rPr>
          <w:rFonts w:eastAsia="黑体"/>
          <w:bCs/>
          <w:sz w:val="32"/>
          <w:szCs w:val="32"/>
        </w:rPr>
        <w:tab/>
      </w:r>
    </w:p>
    <w:p w14:paraId="1C83EC54">
      <w:pPr>
        <w:adjustRightInd w:val="0"/>
        <w:snapToGrid w:val="0"/>
        <w:spacing w:line="360" w:lineRule="auto"/>
        <w:ind w:firstLine="640" w:firstLineChars="200"/>
        <w:outlineLvl w:val="1"/>
        <w:rPr>
          <w:rFonts w:eastAsia="楷体_GB2312"/>
          <w:color w:val="auto"/>
          <w:sz w:val="32"/>
          <w:szCs w:val="32"/>
        </w:rPr>
      </w:pPr>
      <w:r>
        <w:rPr>
          <w:rFonts w:eastAsia="楷体_GB2312"/>
          <w:color w:val="auto"/>
          <w:sz w:val="32"/>
          <w:szCs w:val="32"/>
        </w:rPr>
        <w:t>（一）</w:t>
      </w:r>
      <w:r>
        <w:rPr>
          <w:rFonts w:hint="eastAsia" w:eastAsia="楷体_GB2312"/>
          <w:color w:val="auto"/>
          <w:sz w:val="32"/>
          <w:szCs w:val="32"/>
        </w:rPr>
        <w:t>非物质文化遗产保护资金转移支付概况</w:t>
      </w:r>
    </w:p>
    <w:p w14:paraId="3EF96D18">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2024年，中央下达我市非物质文化遗产保护资金共1142.000000万元，其中国家级代表性传承人补助经费182.500000万元，中国非物质文化遗产传承人研培补助经费170.000000万元，代表性项目保护补助费789.500000万元。</w:t>
      </w:r>
    </w:p>
    <w:p w14:paraId="04B3F37B">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中央下达我市非物质文化遗产保护资金绩效目标如下：</w:t>
      </w:r>
    </w:p>
    <w:p w14:paraId="157D2484">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（1）国家级代表性传承人补助经费</w:t>
      </w:r>
    </w:p>
    <w:p w14:paraId="5B508F4D">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国家级代表性传承人补助费，用于补助国家级代表性传承人开展传习活动的支出。</w:t>
      </w:r>
    </w:p>
    <w:p w14:paraId="660B9E82">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（2）中国非物质文化遗产传承人研培补助经费</w:t>
      </w:r>
    </w:p>
    <w:p w14:paraId="31588BED">
      <w:pPr>
        <w:adjustRightInd w:val="0"/>
        <w:snapToGrid w:val="0"/>
        <w:spacing w:line="360" w:lineRule="auto"/>
        <w:ind w:firstLine="640" w:firstLineChars="200"/>
        <w:rPr>
          <w:rFonts w:hint="eastAsia" w:ascii="仿宋_GB2312" w:hAnsi="仿宋_GB2312" w:cs="仿宋_GB2312"/>
          <w:color w:val="0000FF"/>
          <w:sz w:val="32"/>
          <w:szCs w:val="32"/>
        </w:rPr>
      </w:pPr>
      <w:r>
        <w:rPr>
          <w:rFonts w:hint="eastAsia" w:ascii="仿宋_GB2312" w:hAnsi="仿宋_GB2312" w:cs="仿宋_GB2312"/>
          <w:color w:val="auto"/>
          <w:sz w:val="32"/>
          <w:szCs w:val="32"/>
        </w:rPr>
        <w:t>研修班通过专业理论学习、案例研讨、创作实践等方式，帮助传承人提高文化艺术修养，拓宽行业视野，激发创作潜能，拓展应用空间，推动合作交流，解决发展难题。培训班帮助学员强化对中华优秀传统文化和所持有技艺的把握，拓宽眼界和知识面，提高传承实践能力。</w:t>
      </w:r>
      <w:r>
        <w:rPr>
          <w:rFonts w:hint="eastAsia" w:ascii="仿宋_GB2312" w:hAnsi="仿宋_GB2312" w:cs="仿宋_GB2312"/>
          <w:color w:val="0000FF"/>
          <w:sz w:val="32"/>
          <w:szCs w:val="32"/>
        </w:rPr>
        <w:t xml:space="preserve">   </w:t>
      </w:r>
    </w:p>
    <w:p w14:paraId="2AE88A2C">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（3）代表性项目保护补助费</w:t>
      </w:r>
    </w:p>
    <w:p w14:paraId="42F23277">
      <w:pPr>
        <w:adjustRightInd w:val="0"/>
        <w:snapToGrid w:val="0"/>
        <w:spacing w:line="360" w:lineRule="auto"/>
        <w:ind w:firstLine="640" w:firstLineChars="200"/>
        <w:rPr>
          <w:rFonts w:ascii="仿宋_GB2312" w:hAnsi="仿宋_GB2312" w:cs="仿宋_GB2312"/>
          <w:color w:val="0000FF"/>
          <w:sz w:val="32"/>
          <w:szCs w:val="32"/>
        </w:rPr>
      </w:pPr>
      <w:r>
        <w:rPr>
          <w:rFonts w:hint="eastAsia" w:ascii="仿宋_GB2312" w:hAnsi="仿宋_GB2312" w:cs="仿宋_GB2312"/>
          <w:color w:val="auto"/>
          <w:sz w:val="32"/>
          <w:szCs w:val="32"/>
        </w:rPr>
        <w:t>对国家级非遗代表性项目进行补助，推动非遗保护传承工作。</w:t>
      </w:r>
    </w:p>
    <w:p w14:paraId="3B31D18F">
      <w:pPr>
        <w:adjustRightInd w:val="0"/>
        <w:snapToGrid w:val="0"/>
        <w:spacing w:line="360" w:lineRule="auto"/>
        <w:ind w:firstLine="640" w:firstLineChars="200"/>
        <w:outlineLvl w:val="1"/>
        <w:rPr>
          <w:color w:val="auto"/>
          <w:sz w:val="32"/>
          <w:szCs w:val="32"/>
        </w:rPr>
      </w:pPr>
      <w:r>
        <w:rPr>
          <w:rFonts w:eastAsia="楷体_GB2312"/>
          <w:color w:val="auto"/>
          <w:sz w:val="32"/>
          <w:szCs w:val="32"/>
        </w:rPr>
        <w:t>（二）</w:t>
      </w:r>
      <w:r>
        <w:rPr>
          <w:rFonts w:hint="eastAsia" w:eastAsia="楷体_GB2312"/>
          <w:color w:val="auto"/>
          <w:sz w:val="32"/>
          <w:szCs w:val="32"/>
        </w:rPr>
        <w:t>资金投入情况分析</w:t>
      </w:r>
    </w:p>
    <w:p w14:paraId="0F58CEF6">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1.资金投入情况</w:t>
      </w:r>
    </w:p>
    <w:p w14:paraId="0C3B75A1">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该专项2024年共投入资金1270.418200万元，截至2024年底，实际支出1053.575550万元，执行率82.93%。其中，中央转移支付资金投入1142.000000万元，实际支出953.027350万元，执行率83.45%；自有资金投入128.418200万元，实际支出100.548200万元，执行率78.30%。</w:t>
      </w:r>
    </w:p>
    <w:p w14:paraId="5CDAE08F">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2.资金执行情况</w:t>
      </w:r>
    </w:p>
    <w:p w14:paraId="47B38087">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（1）国家级代表性传承人补助经费共投入资金182.500000万元，支出182.500000万元，执行率100.00%，全部为中央转移支付资金。</w:t>
      </w:r>
    </w:p>
    <w:p w14:paraId="0AFAFC71">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中国非物质文化遗产传承人研培补助经费共投入资金170.000000万元，支出130.000000万元，执行率76.47%，全部为中央转移支付资金。因2024年文化和旅游部暂停举办“一带一路”手工艺周,举办“一带一路”手工艺周国际传播能力提升非遗研修班项目的计划发生重大变更，清华大学申请不再举办该研修班，结余资金40.000000万元。</w:t>
      </w:r>
    </w:p>
    <w:p w14:paraId="28BBD1D6">
      <w:pPr>
        <w:adjustRightInd w:val="0"/>
        <w:snapToGrid w:val="0"/>
        <w:spacing w:line="360" w:lineRule="auto"/>
        <w:ind w:firstLine="640" w:firstLineChars="200"/>
        <w:rPr>
          <w:rFonts w:hint="eastAsia" w:eastAsia="仿宋_GB2312"/>
          <w:color w:val="auto"/>
          <w:sz w:val="32"/>
          <w:szCs w:val="32"/>
          <w:lang w:eastAsia="zh-CN"/>
        </w:rPr>
      </w:pPr>
      <w:r>
        <w:rPr>
          <w:rFonts w:hint="eastAsia" w:ascii="仿宋_GB2312" w:hAnsi="仿宋_GB2312" w:cs="仿宋_GB2312"/>
          <w:color w:val="auto"/>
          <w:sz w:val="32"/>
          <w:szCs w:val="32"/>
        </w:rPr>
        <w:t>（3）代表性项目保护补助费共投入资金917.918200万元，实际支出741.075550万元，执行率80.73%。其中：中央财政投入资金789.500000万元，实际支出640.527350万元，执行率81.13%；自有资金投入128.418200万元，实际支出100.548200万元，执行率78.30%</w:t>
      </w:r>
      <w:r>
        <w:rPr>
          <w:rFonts w:hint="eastAsia" w:ascii="仿宋_GB2312" w:hAnsi="仿宋_GB2312" w:cs="仿宋_GB2312"/>
          <w:color w:val="auto"/>
          <w:sz w:val="32"/>
          <w:szCs w:val="32"/>
          <w:lang w:eastAsia="zh-CN"/>
        </w:rPr>
        <w:t>。</w:t>
      </w:r>
    </w:p>
    <w:p w14:paraId="24B0EF7C">
      <w:pPr>
        <w:adjustRightInd w:val="0"/>
        <w:snapToGrid w:val="0"/>
        <w:spacing w:line="360" w:lineRule="auto"/>
        <w:ind w:firstLine="640" w:firstLineChars="200"/>
        <w:outlineLvl w:val="1"/>
        <w:rPr>
          <w:rFonts w:eastAsia="楷体_GB2312"/>
          <w:color w:val="auto"/>
          <w:sz w:val="32"/>
          <w:szCs w:val="32"/>
        </w:rPr>
      </w:pPr>
      <w:r>
        <w:rPr>
          <w:rFonts w:hint="eastAsia" w:eastAsia="楷体_GB2312"/>
          <w:color w:val="auto"/>
          <w:sz w:val="32"/>
          <w:szCs w:val="32"/>
        </w:rPr>
        <w:t>（三）资金管理情况分析</w:t>
      </w:r>
    </w:p>
    <w:p w14:paraId="305752BF">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一是制度建设方面，为保证该专项的顺利实施和资金有效使用，该专项涉及的各层级单位均制定了相关管理制度、办法。中央层面，财政部、文化和旅游部制定了《国家非物质文化遗产保护资金管理办法》（财教〔2021〕314号），明确了专项资金的分类及开支范围、申报与管理、监督与检查等内容；财政部制定的《中央对地方专项转移支付管理办法》（财预〔2015〕230号），对专项转移支付资金的设立和调整，预算编制，资金申报、审核和分配，资金下达、拨付和使用，预算绩效管理等内容进行规定。市级层面，我市于2019年6月1日出台了《北京市非物质文化遗产条例》，内容涉及我市非物质文化遗产的调查与保存、代表性项目名录、传承与分类保护、传播与发展等多个方面的重点工作，为我市各类别非遗项目的精准扶持提供了标准和要求；中共北京市委宣传部、北京市文化和旅游局、北京市财政局于2020年7月1日联合印发《北京市非物质文化遗产传承发展工程实施方案》，明确了完善非遗名录制度、开展非遗分类保护、完善非遗区域性整体保护制度、实施传统工艺振兴计划、激发老字号非遗传承发展新活力等重点任务；市文化和旅游局制定有《北京市文化和旅游局资金支出管理办法》（试行）、《北京市文化和旅游局内部控制手册》等财务管理、内控管理制度，对资金的使用进行了严格约束。项目承担单位层面，均制定有单位内部管理制度，如北京市大兴区文化馆制定了《大兴区非物质文化遗产保护专项资金管理办法》内控管理制度，北京一得阁墨业有限责任公司制定有《一得阁墨汁制作技艺非遗专项资金管理》等内控管理制度。这些法规和文件为该项目的规范执行和资金的规范使用提供了制度保障。</w:t>
      </w:r>
    </w:p>
    <w:p w14:paraId="571DB8A0">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二是制度执行方面，各层级单位严格按照上述制度组织开展项目，拨付使用资金，制度执行情况良好。市级层面，市文化和旅游局严格按照《国家非物质文化遗产保护资金管理办法》（财教〔2021〕314号）和文化和旅游部关于开展2024年度非物质文化遗产保护资金申报工作的有关要求组织该专项中各项目的申报、审核、上报工作，将各项目申报情况提请局党组会进行方案审议，审议通过后才可申请上报。获得资金批复后，市文化和旅游局督促非物质文化遗产处及时推进中央转移支付国家级代表性传承人补助经费补助等2个子项按上述文件要求执行，并及时制定代表性项目保护补助经费分配方案，由市财政局将中央下达资金和绩效目标分解批复至各区、各项目承担单位，保证资金及时足额到位。项目承担单位层面，各有关单位严格执行财政资金使用的相关要求，对专项资金实行“专人管理、专门核算、专项使用”，并定期对专项工作实施进度和资金使用情况进行专项检查，加强事前、事中和事后的监督，发现问题，及时纠正。专项工作完成后，各单位按要求开展自评和验收。</w:t>
      </w:r>
    </w:p>
    <w:p w14:paraId="3613C941">
      <w:pPr>
        <w:adjustRightInd w:val="0"/>
        <w:snapToGrid w:val="0"/>
        <w:spacing w:line="360" w:lineRule="auto"/>
        <w:ind w:firstLine="640" w:firstLineChars="200"/>
        <w:rPr>
          <w:rFonts w:hint="eastAsia" w:eastAsia="黑体"/>
          <w:bCs/>
          <w:color w:val="0000FF"/>
          <w:sz w:val="32"/>
          <w:szCs w:val="32"/>
        </w:rPr>
      </w:pPr>
      <w:r>
        <w:rPr>
          <w:rFonts w:hint="eastAsia" w:ascii="仿宋_GB2312" w:hAnsi="仿宋_GB2312" w:cs="仿宋_GB2312"/>
          <w:color w:val="auto"/>
          <w:sz w:val="32"/>
          <w:szCs w:val="32"/>
        </w:rPr>
        <w:t>三是项目执行监管方面，在健全各层级制度体系的基础上，市文化和旅游局对转移支付资金的使用建立了监管机制。对于历年国家非物质文化遗产保护专项转移支付资金，市文化和旅游局一方面根据文化和旅游部的要求，按照逐级申报的原则，组织开展年度国家非物质文化遗产保护资金申报审核工作，确保所申报项目均符合政策支持范围；另一方面，在专项资金拨付到具体项目执行处室（单位）后，市文化和旅游局督促各级管理部门及时跟踪专项资金使用情况，并抽取代表性项目开展调研检查，对于检查发现问题的督促有关单位及时整改落实，确保政策落实到位。</w:t>
      </w:r>
    </w:p>
    <w:p w14:paraId="4EBF1EA8">
      <w:pPr>
        <w:adjustRightInd w:val="0"/>
        <w:snapToGrid w:val="0"/>
        <w:spacing w:line="360" w:lineRule="auto"/>
        <w:ind w:firstLine="640" w:firstLineChars="200"/>
        <w:outlineLvl w:val="0"/>
        <w:rPr>
          <w:rFonts w:eastAsia="黑体"/>
          <w:bCs/>
          <w:color w:val="auto"/>
          <w:sz w:val="32"/>
          <w:szCs w:val="32"/>
        </w:rPr>
      </w:pPr>
      <w:r>
        <w:rPr>
          <w:rFonts w:hint="eastAsia" w:eastAsia="黑体"/>
          <w:bCs/>
          <w:color w:val="auto"/>
          <w:sz w:val="32"/>
          <w:szCs w:val="32"/>
        </w:rPr>
        <w:t>二、</w:t>
      </w:r>
      <w:r>
        <w:rPr>
          <w:rFonts w:eastAsia="黑体"/>
          <w:bCs/>
          <w:color w:val="auto"/>
          <w:sz w:val="32"/>
          <w:szCs w:val="32"/>
        </w:rPr>
        <w:t>绩效目标</w:t>
      </w:r>
      <w:r>
        <w:rPr>
          <w:rFonts w:hint="eastAsia" w:eastAsia="黑体"/>
          <w:bCs/>
          <w:color w:val="auto"/>
          <w:sz w:val="32"/>
          <w:szCs w:val="32"/>
        </w:rPr>
        <w:t>实现情况</w:t>
      </w:r>
    </w:p>
    <w:p w14:paraId="3E46C946">
      <w:pPr>
        <w:adjustRightInd w:val="0"/>
        <w:snapToGrid w:val="0"/>
        <w:spacing w:line="360" w:lineRule="auto"/>
        <w:ind w:firstLine="640" w:firstLineChars="200"/>
        <w:outlineLvl w:val="1"/>
        <w:rPr>
          <w:rFonts w:eastAsia="楷体_GB2312"/>
          <w:color w:val="auto"/>
          <w:sz w:val="32"/>
          <w:szCs w:val="32"/>
        </w:rPr>
      </w:pPr>
      <w:r>
        <w:rPr>
          <w:rFonts w:hint="eastAsia" w:eastAsia="楷体_GB2312"/>
          <w:color w:val="auto"/>
          <w:sz w:val="32"/>
          <w:szCs w:val="32"/>
        </w:rPr>
        <w:t>（一）总体绩效目标完成情况分析</w:t>
      </w:r>
    </w:p>
    <w:p w14:paraId="76503823">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2024年，我市完成中央下达绩效目标情况如下：</w:t>
      </w:r>
    </w:p>
    <w:p w14:paraId="6F6FED39">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1.国家级代表性传承人补助经费</w:t>
      </w:r>
    </w:p>
    <w:p w14:paraId="54C86C0C">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完成87位国家级代表性传承人补助发放，共发放资金182.500000万元。通过发放补助，鼓励传承人开展传习活动、参与非物质文化遗产公益性宣传活动等，培养了后继人才，保障了非物质文化遗产的保护和传播，激励、引导北京市国家级非物质文化遗产永久流传。</w:t>
      </w:r>
    </w:p>
    <w:p w14:paraId="3C4D4D2B">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2.中国非物质文化遗产传承人研培补助经费</w:t>
      </w:r>
    </w:p>
    <w:p w14:paraId="1676F444">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通过委托中央美术学院、北京服装学院、北京舞蹈学院3所首都高校举办2期非遗主题研修班、1期非遗主题培训班，涉及琉璃烧制技艺、京绣、剪纸、京西太平鼓等多个国家级非遗代表性项目，培训京津冀等地非遗传承人70人。培训班帮助非遗传承人提高文化艺术修养，拓宽行业视野，激发创作潜能，拓展应用空间，推动合作交流，解决发展难题。</w:t>
      </w:r>
    </w:p>
    <w:p w14:paraId="25307F3F">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3.代表性项目保护补助费</w:t>
      </w:r>
    </w:p>
    <w:p w14:paraId="0B24AACD">
      <w:pPr>
        <w:adjustRightInd w:val="0"/>
        <w:snapToGrid w:val="0"/>
        <w:spacing w:line="360" w:lineRule="auto"/>
        <w:ind w:firstLine="640" w:firstLineChars="200"/>
        <w:rPr>
          <w:color w:val="auto"/>
          <w:sz w:val="32"/>
          <w:szCs w:val="32"/>
        </w:rPr>
      </w:pPr>
      <w:r>
        <w:rPr>
          <w:rFonts w:hint="eastAsia" w:ascii="仿宋_GB2312" w:hAnsi="仿宋_GB2312" w:cs="仿宋_GB2312"/>
          <w:color w:val="auto"/>
          <w:sz w:val="32"/>
          <w:szCs w:val="32"/>
        </w:rPr>
        <w:t>截至2024年底，共完成15个代表性项目的保护工作，包括对200余件北京补绣作品进行资料收集与整理建档；建立了媒体资产管理系统；开展了北京补绣文化知识讲座、“千载古乐浓情铸·薪火相传永流芳”研讨会；组织了制作北京补绣作品实践活动、青少年社会公益实践活动、紫檀雕刻技艺展演活动、北京灯彩传承人群培训活动、传统插花研习与交流活动、“千载古乐浓情铸·新火相传永流芳”冀中笙管乐交流演出活动、九曲黄河阵灯俗等活动；组织了“寻找工匠”紫檀雕刻技艺非遗传承培训班、智化寺京音乐高级研修班；拍摄了建筑彩绘非遗资料片、琉璃烧制技艺焕然新生系列宣传片；复刻了“面人郎”经典作品；撰写了“面人郎”传承历史书籍；印制了200册六郎庄五虎棍非遗画册；举办了传统插花展；举办了“北京玉雕”文化作品巡展、丫髻山春节庙会展演；创作了以北京中轴线为题材的快板评书作品；制作了银镶花鎏玉宝石牛角刀、银镶玉嵌瓶、乾隆金银绣龙袍等作品。已完成的代表性项目中，涉及传统技艺、传统戏剧、曲艺、民俗等多个门类，对于实现非遗系统性保护、推动非遗创造性转化和创新性发展、加强项目保护和展示传播、弘扬优秀传统文化具有重要意义。</w:t>
      </w:r>
    </w:p>
    <w:p w14:paraId="3881BB7A">
      <w:pPr>
        <w:adjustRightInd w:val="0"/>
        <w:snapToGrid w:val="0"/>
        <w:spacing w:line="360" w:lineRule="auto"/>
        <w:ind w:firstLine="640" w:firstLineChars="200"/>
        <w:outlineLvl w:val="1"/>
        <w:rPr>
          <w:rFonts w:eastAsia="楷体_GB2312"/>
          <w:color w:val="auto"/>
          <w:sz w:val="32"/>
          <w:szCs w:val="32"/>
        </w:rPr>
      </w:pPr>
      <w:r>
        <w:rPr>
          <w:rFonts w:eastAsia="楷体_GB2312"/>
          <w:color w:val="auto"/>
          <w:sz w:val="32"/>
          <w:szCs w:val="32"/>
        </w:rPr>
        <w:t>（</w:t>
      </w:r>
      <w:r>
        <w:rPr>
          <w:rFonts w:hint="eastAsia" w:eastAsia="楷体_GB2312"/>
          <w:color w:val="auto"/>
          <w:sz w:val="32"/>
          <w:szCs w:val="32"/>
        </w:rPr>
        <w:t>二</w:t>
      </w:r>
      <w:r>
        <w:rPr>
          <w:rFonts w:eastAsia="楷体_GB2312"/>
          <w:color w:val="auto"/>
          <w:sz w:val="32"/>
          <w:szCs w:val="32"/>
        </w:rPr>
        <w:t>）绩效指标完成情况分析</w:t>
      </w:r>
    </w:p>
    <w:p w14:paraId="2D340903">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2024年，市文化和旅游局较好完成本专项的绩效指标。各子项绩效指标完成情况如下：</w:t>
      </w:r>
    </w:p>
    <w:p w14:paraId="594F9936">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1.国家级代表性传承人补助经费</w:t>
      </w:r>
    </w:p>
    <w:p w14:paraId="61416266">
      <w:pPr>
        <w:adjustRightInd w:val="0"/>
        <w:snapToGrid w:val="0"/>
        <w:spacing w:line="360" w:lineRule="auto"/>
        <w:ind w:firstLine="640" w:firstLineChars="200"/>
        <w:rPr>
          <w:rFonts w:eastAsia="黑体"/>
          <w:color w:val="auto"/>
          <w:sz w:val="32"/>
          <w:szCs w:val="32"/>
        </w:rPr>
      </w:pPr>
      <w:r>
        <w:rPr>
          <w:rFonts w:hint="eastAsia" w:ascii="仿宋_GB2312" w:hAnsi="仿宋_GB2312" w:cs="仿宋_GB2312"/>
          <w:color w:val="auto"/>
          <w:sz w:val="32"/>
          <w:szCs w:val="32"/>
        </w:rPr>
        <w:t>该项目完成中央下达的全部绩效指标，具体指标完成情况详见下表：</w:t>
      </w:r>
    </w:p>
    <w:p w14:paraId="6CDE70C5">
      <w:pPr>
        <w:adjustRightInd w:val="0"/>
        <w:snapToGrid w:val="0"/>
        <w:spacing w:line="360" w:lineRule="auto"/>
        <w:jc w:val="center"/>
        <w:rPr>
          <w:rFonts w:hint="eastAsia" w:ascii="黑体" w:hAnsi="黑体" w:eastAsia="黑体" w:cs="黑体"/>
          <w:color w:val="auto"/>
          <w:sz w:val="28"/>
          <w:szCs w:val="28"/>
        </w:rPr>
      </w:pPr>
      <w:r>
        <w:rPr>
          <w:rFonts w:hint="eastAsia" w:ascii="黑体" w:hAnsi="黑体" w:eastAsia="黑体" w:cs="黑体"/>
          <w:color w:val="auto"/>
          <w:sz w:val="28"/>
          <w:szCs w:val="28"/>
        </w:rPr>
        <w:t>表1：国家级代表性传承人补助经费绩效指标完成情况</w:t>
      </w:r>
    </w:p>
    <w:tbl>
      <w:tblPr>
        <w:tblStyle w:val="8"/>
        <w:tblW w:w="7916" w:type="dxa"/>
        <w:jc w:val="center"/>
        <w:tblLayout w:type="autofit"/>
        <w:tblCellMar>
          <w:top w:w="0" w:type="dxa"/>
          <w:left w:w="0" w:type="dxa"/>
          <w:bottom w:w="0" w:type="dxa"/>
          <w:right w:w="0" w:type="dxa"/>
        </w:tblCellMar>
      </w:tblPr>
      <w:tblGrid>
        <w:gridCol w:w="891"/>
        <w:gridCol w:w="1219"/>
        <w:gridCol w:w="2913"/>
        <w:gridCol w:w="1373"/>
        <w:gridCol w:w="1520"/>
      </w:tblGrid>
      <w:tr w14:paraId="69AB9F15">
        <w:tblPrEx>
          <w:tblCellMar>
            <w:top w:w="0" w:type="dxa"/>
            <w:left w:w="0" w:type="dxa"/>
            <w:bottom w:w="0" w:type="dxa"/>
            <w:right w:w="0" w:type="dxa"/>
          </w:tblCellMar>
        </w:tblPrEx>
        <w:trPr>
          <w:trHeight w:val="592" w:hRule="atLeast"/>
          <w:tblHeader/>
          <w:jc w:val="center"/>
        </w:trPr>
        <w:tc>
          <w:tcPr>
            <w:tcW w:w="891"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7BD4E1EF">
            <w:pPr>
              <w:widowControl/>
              <w:jc w:val="center"/>
              <w:textAlignment w:val="center"/>
              <w:rPr>
                <w:rFonts w:hint="eastAsia" w:ascii="宋体" w:hAnsi="宋体" w:eastAsia="宋体" w:cs="宋体"/>
                <w:b/>
                <w:sz w:val="20"/>
                <w:szCs w:val="20"/>
              </w:rPr>
            </w:pPr>
            <w:r>
              <w:rPr>
                <w:rFonts w:hint="eastAsia" w:ascii="宋体" w:hAnsi="宋体" w:eastAsia="宋体" w:cs="宋体"/>
                <w:b/>
                <w:color w:val="000000"/>
                <w:kern w:val="0"/>
                <w:sz w:val="20"/>
                <w:szCs w:val="20"/>
                <w:lang w:bidi="ar"/>
              </w:rPr>
              <w:t>一级指标</w:t>
            </w:r>
          </w:p>
        </w:tc>
        <w:tc>
          <w:tcPr>
            <w:tcW w:w="1219"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60C2D8DE">
            <w:pPr>
              <w:widowControl/>
              <w:jc w:val="center"/>
              <w:textAlignment w:val="center"/>
              <w:rPr>
                <w:rFonts w:hint="eastAsia" w:ascii="宋体" w:hAnsi="宋体" w:eastAsia="宋体" w:cs="宋体"/>
                <w:b/>
                <w:sz w:val="20"/>
                <w:szCs w:val="20"/>
              </w:rPr>
            </w:pPr>
            <w:r>
              <w:rPr>
                <w:rFonts w:hint="eastAsia" w:ascii="宋体" w:hAnsi="宋体" w:eastAsia="宋体" w:cs="宋体"/>
                <w:b/>
                <w:color w:val="000000"/>
                <w:kern w:val="0"/>
                <w:sz w:val="20"/>
                <w:szCs w:val="20"/>
                <w:lang w:bidi="ar"/>
              </w:rPr>
              <w:t>二级指标</w:t>
            </w:r>
          </w:p>
        </w:tc>
        <w:tc>
          <w:tcPr>
            <w:tcW w:w="291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1921725B">
            <w:pPr>
              <w:widowControl/>
              <w:jc w:val="center"/>
              <w:textAlignment w:val="center"/>
              <w:rPr>
                <w:rFonts w:hint="eastAsia" w:ascii="宋体" w:hAnsi="宋体" w:eastAsia="宋体" w:cs="宋体"/>
                <w:b/>
                <w:sz w:val="20"/>
                <w:szCs w:val="20"/>
              </w:rPr>
            </w:pPr>
            <w:r>
              <w:rPr>
                <w:rFonts w:hint="eastAsia" w:ascii="宋体" w:hAnsi="宋体" w:eastAsia="宋体" w:cs="宋体"/>
                <w:b/>
                <w:color w:val="000000"/>
                <w:kern w:val="0"/>
                <w:sz w:val="20"/>
                <w:szCs w:val="20"/>
                <w:lang w:bidi="ar"/>
              </w:rPr>
              <w:t>三级指标</w:t>
            </w:r>
          </w:p>
        </w:tc>
        <w:tc>
          <w:tcPr>
            <w:tcW w:w="137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6BFF1A46">
            <w:pPr>
              <w:widowControl/>
              <w:jc w:val="center"/>
              <w:textAlignment w:val="center"/>
              <w:rPr>
                <w:rFonts w:hint="eastAsia" w:ascii="宋体" w:hAnsi="宋体" w:eastAsia="宋体" w:cs="宋体"/>
                <w:b/>
                <w:sz w:val="20"/>
                <w:szCs w:val="20"/>
              </w:rPr>
            </w:pPr>
            <w:r>
              <w:rPr>
                <w:rFonts w:hint="eastAsia" w:ascii="宋体" w:hAnsi="宋体" w:eastAsia="宋体" w:cs="宋体"/>
                <w:b/>
                <w:color w:val="000000"/>
                <w:kern w:val="0"/>
                <w:sz w:val="20"/>
                <w:szCs w:val="20"/>
                <w:lang w:bidi="ar"/>
              </w:rPr>
              <w:t>年度指标值</w:t>
            </w:r>
          </w:p>
        </w:tc>
        <w:tc>
          <w:tcPr>
            <w:tcW w:w="1520"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6C6EAE2D">
            <w:pPr>
              <w:widowControl/>
              <w:jc w:val="center"/>
              <w:textAlignment w:val="center"/>
              <w:rPr>
                <w:rFonts w:hint="eastAsia" w:ascii="宋体" w:hAnsi="宋体" w:eastAsia="宋体" w:cs="宋体"/>
                <w:b/>
                <w:sz w:val="20"/>
                <w:szCs w:val="20"/>
              </w:rPr>
            </w:pPr>
            <w:r>
              <w:rPr>
                <w:rFonts w:hint="eastAsia" w:ascii="宋体" w:hAnsi="宋体" w:eastAsia="宋体" w:cs="宋体"/>
                <w:b/>
                <w:color w:val="000000"/>
                <w:kern w:val="0"/>
                <w:sz w:val="20"/>
                <w:szCs w:val="20"/>
                <w:lang w:bidi="ar"/>
              </w:rPr>
              <w:t>完成值</w:t>
            </w:r>
          </w:p>
        </w:tc>
      </w:tr>
      <w:tr w14:paraId="01538449">
        <w:tblPrEx>
          <w:tblCellMar>
            <w:top w:w="0" w:type="dxa"/>
            <w:left w:w="0" w:type="dxa"/>
            <w:bottom w:w="0" w:type="dxa"/>
            <w:right w:w="0" w:type="dxa"/>
          </w:tblCellMar>
        </w:tblPrEx>
        <w:trPr>
          <w:trHeight w:val="650" w:hRule="atLeast"/>
          <w:jc w:val="center"/>
        </w:trPr>
        <w:tc>
          <w:tcPr>
            <w:tcW w:w="891" w:type="dxa"/>
            <w:vMerge w:val="restart"/>
            <w:tcBorders>
              <w:top w:val="single" w:color="000000" w:sz="4" w:space="0"/>
              <w:left w:val="single" w:color="000000" w:sz="4" w:space="0"/>
              <w:right w:val="single" w:color="000000" w:sz="4" w:space="0"/>
            </w:tcBorders>
            <w:tcMar>
              <w:top w:w="8" w:type="dxa"/>
              <w:left w:w="8" w:type="dxa"/>
              <w:right w:w="8" w:type="dxa"/>
            </w:tcMar>
            <w:vAlign w:val="center"/>
          </w:tcPr>
          <w:p w14:paraId="34201EC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产出指标</w:t>
            </w:r>
          </w:p>
        </w:tc>
        <w:tc>
          <w:tcPr>
            <w:tcW w:w="1219"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14:paraId="546EC48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数量指标</w:t>
            </w:r>
          </w:p>
        </w:tc>
        <w:tc>
          <w:tcPr>
            <w:tcW w:w="291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0C4E6567">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补助人数</w:t>
            </w:r>
          </w:p>
        </w:tc>
        <w:tc>
          <w:tcPr>
            <w:tcW w:w="137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77F74C50">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=87人</w:t>
            </w:r>
          </w:p>
        </w:tc>
        <w:tc>
          <w:tcPr>
            <w:tcW w:w="1520"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2AA67933">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87人</w:t>
            </w:r>
          </w:p>
        </w:tc>
      </w:tr>
      <w:tr w14:paraId="3DC59F50">
        <w:tblPrEx>
          <w:tblCellMar>
            <w:top w:w="0" w:type="dxa"/>
            <w:left w:w="0" w:type="dxa"/>
            <w:bottom w:w="0" w:type="dxa"/>
            <w:right w:w="0" w:type="dxa"/>
          </w:tblCellMar>
        </w:tblPrEx>
        <w:trPr>
          <w:trHeight w:val="672" w:hRule="atLeast"/>
          <w:jc w:val="center"/>
        </w:trPr>
        <w:tc>
          <w:tcPr>
            <w:tcW w:w="891" w:type="dxa"/>
            <w:vMerge w:val="continue"/>
            <w:tcBorders>
              <w:left w:val="single" w:color="000000" w:sz="4" w:space="0"/>
              <w:right w:val="single" w:color="000000" w:sz="4" w:space="0"/>
            </w:tcBorders>
            <w:tcMar>
              <w:top w:w="8" w:type="dxa"/>
              <w:left w:w="8" w:type="dxa"/>
              <w:right w:w="8" w:type="dxa"/>
            </w:tcMar>
            <w:vAlign w:val="center"/>
          </w:tcPr>
          <w:p w14:paraId="115BE3D7">
            <w:pPr>
              <w:widowControl/>
              <w:adjustRightInd w:val="0"/>
              <w:jc w:val="center"/>
              <w:textAlignment w:val="center"/>
              <w:rPr>
                <w:rFonts w:hint="eastAsia" w:ascii="宋体" w:hAnsi="宋体" w:eastAsia="宋体" w:cs="宋体"/>
                <w:kern w:val="0"/>
                <w:sz w:val="20"/>
                <w:szCs w:val="20"/>
                <w:lang w:bidi="ar"/>
              </w:rPr>
            </w:pPr>
          </w:p>
        </w:tc>
        <w:tc>
          <w:tcPr>
            <w:tcW w:w="1219"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4D74498E">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数量指标</w:t>
            </w:r>
          </w:p>
        </w:tc>
        <w:tc>
          <w:tcPr>
            <w:tcW w:w="2913" w:type="dxa"/>
            <w:tcBorders>
              <w:top w:val="single" w:color="000000" w:sz="4" w:space="0"/>
              <w:left w:val="single" w:color="auto" w:sz="4" w:space="0"/>
              <w:bottom w:val="single" w:color="000000" w:sz="4" w:space="0"/>
              <w:right w:val="single" w:color="000000" w:sz="4" w:space="0"/>
            </w:tcBorders>
            <w:tcMar>
              <w:top w:w="8" w:type="dxa"/>
              <w:left w:w="8" w:type="dxa"/>
              <w:right w:w="8" w:type="dxa"/>
            </w:tcMar>
            <w:vAlign w:val="center"/>
          </w:tcPr>
          <w:p w14:paraId="25DA3D68">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补助每人资金</w:t>
            </w:r>
          </w:p>
        </w:tc>
        <w:tc>
          <w:tcPr>
            <w:tcW w:w="137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7D77B4C7">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=2万元</w:t>
            </w:r>
          </w:p>
        </w:tc>
        <w:tc>
          <w:tcPr>
            <w:tcW w:w="1520"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4AF46A4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2万元</w:t>
            </w:r>
          </w:p>
        </w:tc>
      </w:tr>
      <w:tr w14:paraId="10FA78EB">
        <w:tblPrEx>
          <w:tblCellMar>
            <w:top w:w="0" w:type="dxa"/>
            <w:left w:w="0" w:type="dxa"/>
            <w:bottom w:w="0" w:type="dxa"/>
            <w:right w:w="0" w:type="dxa"/>
          </w:tblCellMar>
        </w:tblPrEx>
        <w:trPr>
          <w:trHeight w:val="660" w:hRule="atLeast"/>
          <w:jc w:val="center"/>
        </w:trPr>
        <w:tc>
          <w:tcPr>
            <w:tcW w:w="891" w:type="dxa"/>
            <w:vMerge w:val="continue"/>
            <w:tcBorders>
              <w:left w:val="single" w:color="000000" w:sz="4" w:space="0"/>
              <w:right w:val="single" w:color="000000" w:sz="4" w:space="0"/>
            </w:tcBorders>
            <w:tcMar>
              <w:top w:w="8" w:type="dxa"/>
              <w:left w:w="8" w:type="dxa"/>
              <w:right w:w="8" w:type="dxa"/>
            </w:tcMar>
            <w:vAlign w:val="center"/>
          </w:tcPr>
          <w:p w14:paraId="70372A68">
            <w:pPr>
              <w:widowControl/>
              <w:adjustRightInd w:val="0"/>
              <w:jc w:val="center"/>
              <w:textAlignment w:val="center"/>
              <w:rPr>
                <w:rFonts w:hint="eastAsia" w:ascii="宋体" w:hAnsi="宋体" w:eastAsia="宋体" w:cs="宋体"/>
                <w:kern w:val="0"/>
                <w:sz w:val="20"/>
                <w:szCs w:val="20"/>
                <w:lang w:bidi="ar"/>
              </w:rPr>
            </w:pPr>
          </w:p>
        </w:tc>
        <w:tc>
          <w:tcPr>
            <w:tcW w:w="1219"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2C90A55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质量指标</w:t>
            </w:r>
          </w:p>
        </w:tc>
        <w:tc>
          <w:tcPr>
            <w:tcW w:w="2913" w:type="dxa"/>
            <w:tcBorders>
              <w:top w:val="single" w:color="000000" w:sz="4" w:space="0"/>
              <w:left w:val="single" w:color="auto" w:sz="4" w:space="0"/>
              <w:bottom w:val="single" w:color="000000" w:sz="4" w:space="0"/>
              <w:right w:val="single" w:color="000000" w:sz="4" w:space="0"/>
            </w:tcBorders>
            <w:tcMar>
              <w:top w:w="8" w:type="dxa"/>
              <w:left w:w="8" w:type="dxa"/>
              <w:right w:w="8" w:type="dxa"/>
            </w:tcMar>
            <w:vAlign w:val="center"/>
          </w:tcPr>
          <w:p w14:paraId="50B48657">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补助金额</w:t>
            </w:r>
          </w:p>
        </w:tc>
        <w:tc>
          <w:tcPr>
            <w:tcW w:w="137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76FA6A4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符合标准</w:t>
            </w:r>
          </w:p>
        </w:tc>
        <w:tc>
          <w:tcPr>
            <w:tcW w:w="1520"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34392FCA">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w:t>
            </w:r>
          </w:p>
        </w:tc>
      </w:tr>
      <w:tr w14:paraId="32393416">
        <w:tblPrEx>
          <w:tblCellMar>
            <w:top w:w="0" w:type="dxa"/>
            <w:left w:w="0" w:type="dxa"/>
            <w:bottom w:w="0" w:type="dxa"/>
            <w:right w:w="0" w:type="dxa"/>
          </w:tblCellMar>
        </w:tblPrEx>
        <w:trPr>
          <w:trHeight w:val="662" w:hRule="atLeast"/>
          <w:jc w:val="center"/>
        </w:trPr>
        <w:tc>
          <w:tcPr>
            <w:tcW w:w="891" w:type="dxa"/>
            <w:vMerge w:val="continue"/>
            <w:tcBorders>
              <w:left w:val="single" w:color="000000" w:sz="4" w:space="0"/>
              <w:bottom w:val="single" w:color="auto" w:sz="4" w:space="0"/>
              <w:right w:val="single" w:color="000000" w:sz="4" w:space="0"/>
            </w:tcBorders>
            <w:tcMar>
              <w:top w:w="8" w:type="dxa"/>
              <w:left w:w="8" w:type="dxa"/>
              <w:right w:w="8" w:type="dxa"/>
            </w:tcMar>
            <w:vAlign w:val="center"/>
          </w:tcPr>
          <w:p w14:paraId="0290E120">
            <w:pPr>
              <w:widowControl/>
              <w:adjustRightInd w:val="0"/>
              <w:jc w:val="center"/>
              <w:textAlignment w:val="center"/>
              <w:rPr>
                <w:rFonts w:hint="eastAsia" w:ascii="宋体" w:hAnsi="宋体" w:eastAsia="宋体" w:cs="宋体"/>
                <w:kern w:val="0"/>
                <w:sz w:val="20"/>
                <w:szCs w:val="20"/>
                <w:lang w:bidi="ar"/>
              </w:rPr>
            </w:pPr>
          </w:p>
        </w:tc>
        <w:tc>
          <w:tcPr>
            <w:tcW w:w="1219"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749FC55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时效指标</w:t>
            </w:r>
          </w:p>
        </w:tc>
        <w:tc>
          <w:tcPr>
            <w:tcW w:w="2913" w:type="dxa"/>
            <w:tcBorders>
              <w:top w:val="single" w:color="000000" w:sz="4" w:space="0"/>
              <w:left w:val="single" w:color="auto" w:sz="4" w:space="0"/>
              <w:bottom w:val="single" w:color="000000" w:sz="4" w:space="0"/>
              <w:right w:val="single" w:color="000000" w:sz="4" w:space="0"/>
            </w:tcBorders>
            <w:tcMar>
              <w:top w:w="8" w:type="dxa"/>
              <w:left w:w="8" w:type="dxa"/>
              <w:right w:w="8" w:type="dxa"/>
            </w:tcMar>
            <w:vAlign w:val="center"/>
          </w:tcPr>
          <w:p w14:paraId="385D3D3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项目完成时间</w:t>
            </w:r>
          </w:p>
        </w:tc>
        <w:tc>
          <w:tcPr>
            <w:tcW w:w="1373"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7E867097">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≤12月</w:t>
            </w:r>
          </w:p>
        </w:tc>
        <w:tc>
          <w:tcPr>
            <w:tcW w:w="1520" w:type="dxa"/>
            <w:tcBorders>
              <w:top w:val="single" w:color="000000" w:sz="4" w:space="0"/>
              <w:left w:val="single" w:color="000000" w:sz="4" w:space="0"/>
              <w:bottom w:val="single" w:color="000000" w:sz="4" w:space="0"/>
              <w:right w:val="single" w:color="000000" w:sz="4" w:space="0"/>
            </w:tcBorders>
            <w:tcMar>
              <w:top w:w="8" w:type="dxa"/>
              <w:left w:w="8" w:type="dxa"/>
              <w:right w:w="8" w:type="dxa"/>
            </w:tcMar>
            <w:vAlign w:val="center"/>
          </w:tcPr>
          <w:p w14:paraId="27C3F4E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12月</w:t>
            </w:r>
          </w:p>
        </w:tc>
      </w:tr>
      <w:tr w14:paraId="07ACF6BE">
        <w:tblPrEx>
          <w:tblCellMar>
            <w:top w:w="0" w:type="dxa"/>
            <w:left w:w="0" w:type="dxa"/>
            <w:bottom w:w="0" w:type="dxa"/>
            <w:right w:w="0" w:type="dxa"/>
          </w:tblCellMar>
        </w:tblPrEx>
        <w:trPr>
          <w:trHeight w:val="686" w:hRule="atLeast"/>
          <w:jc w:val="center"/>
        </w:trPr>
        <w:tc>
          <w:tcPr>
            <w:tcW w:w="891"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4C9A8CC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成本指标</w:t>
            </w:r>
          </w:p>
        </w:tc>
        <w:tc>
          <w:tcPr>
            <w:tcW w:w="1219"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0B20127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2913" w:type="dxa"/>
            <w:tcBorders>
              <w:top w:val="single" w:color="000000" w:sz="4" w:space="0"/>
              <w:left w:val="single" w:color="auto" w:sz="4" w:space="0"/>
              <w:bottom w:val="single" w:color="auto" w:sz="4" w:space="0"/>
              <w:right w:val="single" w:color="000000" w:sz="4" w:space="0"/>
            </w:tcBorders>
            <w:tcMar>
              <w:top w:w="8" w:type="dxa"/>
              <w:left w:w="8" w:type="dxa"/>
              <w:right w:w="8" w:type="dxa"/>
            </w:tcMar>
            <w:vAlign w:val="center"/>
          </w:tcPr>
          <w:p w14:paraId="39A6A173">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项目预算控制数</w:t>
            </w:r>
          </w:p>
        </w:tc>
        <w:tc>
          <w:tcPr>
            <w:tcW w:w="1373"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14:paraId="5B0C1FB3">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≤182.50万元</w:t>
            </w:r>
          </w:p>
        </w:tc>
        <w:tc>
          <w:tcPr>
            <w:tcW w:w="1520" w:type="dxa"/>
            <w:tcBorders>
              <w:top w:val="single" w:color="000000" w:sz="4" w:space="0"/>
              <w:left w:val="single" w:color="000000" w:sz="4" w:space="0"/>
              <w:bottom w:val="single" w:color="auto" w:sz="4" w:space="0"/>
              <w:right w:val="single" w:color="000000" w:sz="4" w:space="0"/>
            </w:tcBorders>
            <w:tcMar>
              <w:top w:w="8" w:type="dxa"/>
              <w:left w:w="8" w:type="dxa"/>
              <w:right w:w="8" w:type="dxa"/>
            </w:tcMar>
            <w:vAlign w:val="center"/>
          </w:tcPr>
          <w:p w14:paraId="567F1CF3">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182.50万元</w:t>
            </w:r>
          </w:p>
        </w:tc>
      </w:tr>
      <w:tr w14:paraId="495889CC">
        <w:tblPrEx>
          <w:tblCellMar>
            <w:top w:w="0" w:type="dxa"/>
            <w:left w:w="0" w:type="dxa"/>
            <w:bottom w:w="0" w:type="dxa"/>
            <w:right w:w="0" w:type="dxa"/>
          </w:tblCellMar>
        </w:tblPrEx>
        <w:trPr>
          <w:trHeight w:val="510" w:hRule="atLeast"/>
          <w:jc w:val="center"/>
        </w:trPr>
        <w:tc>
          <w:tcPr>
            <w:tcW w:w="891"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65628CF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效益指标</w:t>
            </w:r>
          </w:p>
        </w:tc>
        <w:tc>
          <w:tcPr>
            <w:tcW w:w="1219"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4661A45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社会效益</w:t>
            </w:r>
            <w:r>
              <w:rPr>
                <w:rFonts w:hint="eastAsia" w:ascii="宋体" w:hAnsi="宋体" w:eastAsia="宋体" w:cs="宋体"/>
                <w:kern w:val="0"/>
                <w:sz w:val="20"/>
                <w:szCs w:val="20"/>
                <w:lang w:bidi="ar"/>
              </w:rPr>
              <w:br w:type="textWrapping"/>
            </w:r>
            <w:r>
              <w:rPr>
                <w:rFonts w:hint="eastAsia" w:ascii="宋体" w:hAnsi="宋体" w:eastAsia="宋体" w:cs="宋体"/>
                <w:kern w:val="0"/>
                <w:sz w:val="20"/>
                <w:szCs w:val="20"/>
                <w:lang w:bidi="ar"/>
              </w:rPr>
              <w:t>指标</w:t>
            </w:r>
          </w:p>
        </w:tc>
        <w:tc>
          <w:tcPr>
            <w:tcW w:w="2913"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4AD67A4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国家级非遗传承人的传承能力</w:t>
            </w:r>
          </w:p>
        </w:tc>
        <w:tc>
          <w:tcPr>
            <w:tcW w:w="1373"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7AF7E91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得到加强</w:t>
            </w:r>
          </w:p>
        </w:tc>
        <w:tc>
          <w:tcPr>
            <w:tcW w:w="1520" w:type="dxa"/>
            <w:tcBorders>
              <w:top w:val="single" w:color="auto" w:sz="4" w:space="0"/>
              <w:left w:val="single" w:color="auto" w:sz="4" w:space="0"/>
              <w:bottom w:val="single" w:color="auto" w:sz="4" w:space="0"/>
              <w:right w:val="single" w:color="auto" w:sz="4" w:space="0"/>
            </w:tcBorders>
            <w:tcMar>
              <w:top w:w="8" w:type="dxa"/>
              <w:left w:w="8" w:type="dxa"/>
              <w:right w:w="8" w:type="dxa"/>
            </w:tcMar>
            <w:vAlign w:val="center"/>
          </w:tcPr>
          <w:p w14:paraId="118E143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w:t>
            </w:r>
          </w:p>
        </w:tc>
      </w:tr>
    </w:tbl>
    <w:p w14:paraId="72258105">
      <w:pPr>
        <w:adjustRightInd w:val="0"/>
        <w:snapToGrid w:val="0"/>
        <w:spacing w:line="360" w:lineRule="auto"/>
        <w:rPr>
          <w:color w:val="0000FF"/>
          <w:sz w:val="32"/>
          <w:szCs w:val="32"/>
        </w:rPr>
      </w:pPr>
    </w:p>
    <w:p w14:paraId="5BA8F9EA">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2.中国非物质文化遗产传承人研培补助经费</w:t>
      </w:r>
    </w:p>
    <w:p w14:paraId="2C42E4CE">
      <w:pPr>
        <w:adjustRightInd w:val="0"/>
        <w:snapToGrid w:val="0"/>
        <w:spacing w:line="360" w:lineRule="auto"/>
        <w:ind w:firstLine="640" w:firstLineChars="200"/>
        <w:rPr>
          <w:rFonts w:ascii="仿宋_GB2312" w:hAnsi="仿宋_GB2312" w:cs="仿宋_GB2312"/>
          <w:color w:val="auto"/>
          <w:sz w:val="32"/>
        </w:rPr>
      </w:pPr>
      <w:r>
        <w:rPr>
          <w:rFonts w:hint="eastAsia" w:ascii="仿宋_GB2312" w:hAnsi="仿宋_GB2312" w:cs="仿宋_GB2312"/>
          <w:color w:val="auto"/>
          <w:sz w:val="32"/>
          <w:szCs w:val="32"/>
          <w:lang w:val="en"/>
        </w:rPr>
        <w:t>该项目圆满完成中央下达的全部绩效指标，具体指标完成情况详见下表</w:t>
      </w:r>
      <w:r>
        <w:rPr>
          <w:rFonts w:hint="eastAsia" w:ascii="仿宋_GB2312" w:hAnsi="仿宋_GB2312" w:cs="仿宋_GB2312"/>
          <w:color w:val="auto"/>
          <w:sz w:val="32"/>
        </w:rPr>
        <w:t>：</w:t>
      </w:r>
    </w:p>
    <w:p w14:paraId="6BDF0662">
      <w:pPr>
        <w:adjustRightInd w:val="0"/>
        <w:snapToGrid w:val="0"/>
        <w:spacing w:line="360" w:lineRule="auto"/>
        <w:jc w:val="center"/>
        <w:rPr>
          <w:rFonts w:ascii="黑体" w:hAnsi="黑体" w:eastAsia="黑体" w:cs="黑体"/>
          <w:color w:val="auto"/>
          <w:sz w:val="28"/>
          <w:szCs w:val="28"/>
        </w:rPr>
      </w:pPr>
      <w:r>
        <w:rPr>
          <w:rFonts w:hint="eastAsia" w:ascii="黑体" w:hAnsi="黑体" w:eastAsia="黑体" w:cs="黑体"/>
          <w:color w:val="auto"/>
          <w:sz w:val="28"/>
          <w:szCs w:val="28"/>
        </w:rPr>
        <w:t>表2：中国非物质文化遗产传承人研培补助经费</w:t>
      </w:r>
      <w:r>
        <w:rPr>
          <w:rFonts w:hint="eastAsia" w:ascii="黑体" w:hAnsi="黑体" w:eastAsia="黑体" w:cs="黑体"/>
          <w:color w:val="auto"/>
          <w:sz w:val="28"/>
          <w:szCs w:val="28"/>
          <w:lang w:val="en-US" w:eastAsia="zh-CN"/>
        </w:rPr>
        <w:t>绩效</w:t>
      </w:r>
      <w:r>
        <w:rPr>
          <w:rFonts w:hint="eastAsia" w:ascii="黑体" w:hAnsi="黑体" w:eastAsia="黑体" w:cs="黑体"/>
          <w:color w:val="auto"/>
          <w:sz w:val="28"/>
          <w:szCs w:val="28"/>
        </w:rPr>
        <w:t>指标完成情况</w:t>
      </w:r>
    </w:p>
    <w:tbl>
      <w:tblPr>
        <w:tblStyle w:val="8"/>
        <w:tblW w:w="8211" w:type="dxa"/>
        <w:jc w:val="center"/>
        <w:tblLayout w:type="fixed"/>
        <w:tblCellMar>
          <w:top w:w="0" w:type="dxa"/>
          <w:left w:w="0" w:type="dxa"/>
          <w:bottom w:w="0" w:type="dxa"/>
          <w:right w:w="0" w:type="dxa"/>
        </w:tblCellMar>
      </w:tblPr>
      <w:tblGrid>
        <w:gridCol w:w="1148"/>
        <w:gridCol w:w="1635"/>
        <w:gridCol w:w="1882"/>
        <w:gridCol w:w="1577"/>
        <w:gridCol w:w="1969"/>
      </w:tblGrid>
      <w:tr w14:paraId="3F61C7DD">
        <w:tblPrEx>
          <w:tblCellMar>
            <w:top w:w="0" w:type="dxa"/>
            <w:left w:w="0" w:type="dxa"/>
            <w:bottom w:w="0" w:type="dxa"/>
            <w:right w:w="0" w:type="dxa"/>
          </w:tblCellMar>
        </w:tblPrEx>
        <w:trPr>
          <w:trHeight w:val="600" w:hRule="atLeast"/>
          <w:tblHeader/>
          <w:jc w:val="center"/>
        </w:trPr>
        <w:tc>
          <w:tcPr>
            <w:tcW w:w="1148"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190E060F">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一级指标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CD595F9">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二级指标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54F7AB8">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三级指标</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270B1AB">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年度指标值</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858382B">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完成值</w:t>
            </w:r>
          </w:p>
        </w:tc>
      </w:tr>
      <w:tr w14:paraId="4EFE4938">
        <w:tblPrEx>
          <w:tblCellMar>
            <w:top w:w="0" w:type="dxa"/>
            <w:left w:w="0" w:type="dxa"/>
            <w:bottom w:w="0" w:type="dxa"/>
            <w:right w:w="0" w:type="dxa"/>
          </w:tblCellMar>
        </w:tblPrEx>
        <w:trPr>
          <w:trHeight w:val="90" w:hRule="atLeast"/>
          <w:jc w:val="center"/>
        </w:trPr>
        <w:tc>
          <w:tcPr>
            <w:tcW w:w="1148" w:type="dxa"/>
            <w:vMerge w:val="restart"/>
            <w:tcBorders>
              <w:top w:val="single" w:color="auto" w:sz="4" w:space="0"/>
              <w:left w:val="single" w:color="auto" w:sz="4" w:space="0"/>
              <w:right w:val="single" w:color="auto" w:sz="4" w:space="0"/>
            </w:tcBorders>
            <w:shd w:val="clear" w:color="auto" w:fill="auto"/>
            <w:noWrap/>
            <w:tcMar>
              <w:top w:w="8" w:type="dxa"/>
              <w:left w:w="8" w:type="dxa"/>
              <w:right w:w="8" w:type="dxa"/>
            </w:tcMar>
            <w:vAlign w:val="center"/>
          </w:tcPr>
          <w:p w14:paraId="36B3EF62">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产出指标</w:t>
            </w:r>
          </w:p>
        </w:tc>
        <w:tc>
          <w:tcPr>
            <w:tcW w:w="1635"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2859427E">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数量指标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5904B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非遗传承人研修培训班次</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4FA176B">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≥2班次</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B988CD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3班次</w:t>
            </w:r>
          </w:p>
        </w:tc>
      </w:tr>
      <w:tr w14:paraId="31F19068">
        <w:tblPrEx>
          <w:tblCellMar>
            <w:top w:w="0" w:type="dxa"/>
            <w:left w:w="0" w:type="dxa"/>
            <w:bottom w:w="0" w:type="dxa"/>
            <w:right w:w="0" w:type="dxa"/>
          </w:tblCellMar>
        </w:tblPrEx>
        <w:trPr>
          <w:trHeight w:val="630" w:hRule="atLeast"/>
          <w:jc w:val="center"/>
        </w:trPr>
        <w:tc>
          <w:tcPr>
            <w:tcW w:w="1148" w:type="dxa"/>
            <w:vMerge w:val="continue"/>
            <w:tcBorders>
              <w:left w:val="single" w:color="auto" w:sz="4" w:space="0"/>
              <w:right w:val="single" w:color="auto" w:sz="4" w:space="0"/>
            </w:tcBorders>
            <w:shd w:val="clear" w:color="auto" w:fill="auto"/>
            <w:noWrap/>
            <w:tcMar>
              <w:top w:w="8" w:type="dxa"/>
              <w:left w:w="8" w:type="dxa"/>
              <w:right w:w="8" w:type="dxa"/>
            </w:tcMar>
            <w:vAlign w:val="center"/>
          </w:tcPr>
          <w:p w14:paraId="0D04B97D">
            <w:pPr>
              <w:widowControl/>
              <w:adjustRightInd w:val="0"/>
              <w:jc w:val="center"/>
              <w:textAlignment w:val="center"/>
              <w:rPr>
                <w:rFonts w:hint="eastAsia" w:ascii="宋体" w:hAnsi="宋体" w:eastAsia="宋体" w:cs="宋体"/>
                <w:kern w:val="0"/>
                <w:sz w:val="20"/>
                <w:szCs w:val="20"/>
                <w:lang w:bidi="ar"/>
              </w:rPr>
            </w:pPr>
          </w:p>
        </w:tc>
        <w:tc>
          <w:tcPr>
            <w:tcW w:w="1635"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3F3A9DB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质量指标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338653B">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非遗传承人研修培训合格率</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38A2E18">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≥90%</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F5BEB4B">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99%</w:t>
            </w:r>
          </w:p>
        </w:tc>
      </w:tr>
      <w:tr w14:paraId="4F37C83A">
        <w:tblPrEx>
          <w:tblCellMar>
            <w:top w:w="0" w:type="dxa"/>
            <w:left w:w="0" w:type="dxa"/>
            <w:bottom w:w="0" w:type="dxa"/>
            <w:right w:w="0" w:type="dxa"/>
          </w:tblCellMar>
        </w:tblPrEx>
        <w:trPr>
          <w:trHeight w:val="742" w:hRule="atLeast"/>
          <w:jc w:val="center"/>
        </w:trPr>
        <w:tc>
          <w:tcPr>
            <w:tcW w:w="1148" w:type="dxa"/>
            <w:vMerge w:val="continue"/>
            <w:tcBorders>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6CD39ECD">
            <w:pPr>
              <w:widowControl/>
              <w:adjustRightInd w:val="0"/>
              <w:jc w:val="center"/>
              <w:textAlignment w:val="center"/>
              <w:rPr>
                <w:rFonts w:hint="eastAsia" w:ascii="宋体" w:hAnsi="宋体" w:eastAsia="宋体" w:cs="宋体"/>
                <w:kern w:val="0"/>
                <w:sz w:val="20"/>
                <w:szCs w:val="20"/>
                <w:lang w:val="en-US" w:eastAsia="zh-CN" w:bidi="ar"/>
              </w:rPr>
            </w:pPr>
          </w:p>
        </w:tc>
        <w:tc>
          <w:tcPr>
            <w:tcW w:w="1635"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1546C9EB">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时效指标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EF2DDF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非遗传承人研修培训班结业时间</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FE785F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12月</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DC93E5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12月</w:t>
            </w:r>
          </w:p>
        </w:tc>
      </w:tr>
      <w:tr w14:paraId="2997FC32">
        <w:tblPrEx>
          <w:tblCellMar>
            <w:top w:w="0" w:type="dxa"/>
            <w:left w:w="0" w:type="dxa"/>
            <w:bottom w:w="0" w:type="dxa"/>
            <w:right w:w="0" w:type="dxa"/>
          </w:tblCellMar>
        </w:tblPrEx>
        <w:trPr>
          <w:trHeight w:val="584" w:hRule="atLeast"/>
          <w:jc w:val="center"/>
        </w:trPr>
        <w:tc>
          <w:tcPr>
            <w:tcW w:w="1148" w:type="dxa"/>
            <w:tcBorders>
              <w:top w:val="single" w:color="auto" w:sz="4" w:space="0"/>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607997A6">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成本指标</w:t>
            </w:r>
          </w:p>
        </w:tc>
        <w:tc>
          <w:tcPr>
            <w:tcW w:w="1635"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1093BC86">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A2CAA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项目预算控制数</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18FA17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≤170万元</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615F8E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130万元</w:t>
            </w:r>
          </w:p>
        </w:tc>
      </w:tr>
      <w:tr w14:paraId="7AFA4F25">
        <w:tblPrEx>
          <w:tblCellMar>
            <w:top w:w="0" w:type="dxa"/>
            <w:left w:w="0" w:type="dxa"/>
            <w:bottom w:w="0" w:type="dxa"/>
            <w:right w:w="0" w:type="dxa"/>
          </w:tblCellMar>
        </w:tblPrEx>
        <w:trPr>
          <w:trHeight w:val="1612" w:hRule="atLeast"/>
          <w:jc w:val="center"/>
        </w:trPr>
        <w:tc>
          <w:tcPr>
            <w:tcW w:w="1148" w:type="dxa"/>
            <w:tcBorders>
              <w:top w:val="single" w:color="auto" w:sz="4" w:space="0"/>
              <w:left w:val="single" w:color="000000" w:sz="4" w:space="0"/>
              <w:right w:val="single" w:color="000000" w:sz="4" w:space="0"/>
            </w:tcBorders>
            <w:shd w:val="clear" w:color="auto" w:fill="auto"/>
            <w:noWrap/>
            <w:tcMar>
              <w:top w:w="8" w:type="dxa"/>
              <w:left w:w="8" w:type="dxa"/>
              <w:right w:w="8" w:type="dxa"/>
            </w:tcMar>
            <w:vAlign w:val="center"/>
          </w:tcPr>
          <w:p w14:paraId="4B529F52">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效益指标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84C70F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社会效益</w:t>
            </w:r>
          </w:p>
          <w:p w14:paraId="40F99E6E">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019295E">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帮助传承人增进对中华优秀传统文化的认识，坚定文化自信，提高专业技术能力和保护传承水平。</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02A3F87">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优</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98130BC">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w:t>
            </w:r>
          </w:p>
        </w:tc>
      </w:tr>
      <w:tr w14:paraId="19035D42">
        <w:tblPrEx>
          <w:tblCellMar>
            <w:top w:w="0" w:type="dxa"/>
            <w:left w:w="0" w:type="dxa"/>
            <w:bottom w:w="0" w:type="dxa"/>
            <w:right w:w="0" w:type="dxa"/>
          </w:tblCellMar>
        </w:tblPrEx>
        <w:trPr>
          <w:trHeight w:val="600" w:hRule="atLeast"/>
          <w:jc w:val="center"/>
        </w:trPr>
        <w:tc>
          <w:tcPr>
            <w:tcW w:w="114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AEB0AA4">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满意度指标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37AF5D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服务对象</w:t>
            </w:r>
          </w:p>
          <w:p w14:paraId="05FEF610">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满意度指标</w:t>
            </w:r>
          </w:p>
        </w:tc>
        <w:tc>
          <w:tcPr>
            <w:tcW w:w="188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229F2D8">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参加研修培训的非遗传承人群满意度</w:t>
            </w:r>
          </w:p>
        </w:tc>
        <w:tc>
          <w:tcPr>
            <w:tcW w:w="157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46659A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≥85%</w:t>
            </w:r>
          </w:p>
        </w:tc>
        <w:tc>
          <w:tcPr>
            <w:tcW w:w="1969"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145338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w:t>
            </w:r>
          </w:p>
        </w:tc>
      </w:tr>
    </w:tbl>
    <w:p w14:paraId="0C5DCF91">
      <w:pPr>
        <w:adjustRightInd w:val="0"/>
        <w:snapToGrid w:val="0"/>
        <w:spacing w:line="360" w:lineRule="auto"/>
        <w:rPr>
          <w:rFonts w:ascii="仿宋_GB2312" w:hAnsi="仿宋_GB2312" w:cs="仿宋_GB2312"/>
          <w:color w:val="0000FF"/>
          <w:sz w:val="32"/>
          <w:szCs w:val="32"/>
        </w:rPr>
      </w:pPr>
    </w:p>
    <w:p w14:paraId="46A58094">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3.代表性项目保护补助费</w:t>
      </w:r>
    </w:p>
    <w:p w14:paraId="424E669C">
      <w:pPr>
        <w:adjustRightInd w:val="0"/>
        <w:snapToGrid w:val="0"/>
        <w:spacing w:line="360" w:lineRule="auto"/>
        <w:ind w:left="150" w:leftChars="50"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该项目完成中央下达的全部绩效指标，具体指标完成情况详见下表：</w:t>
      </w:r>
    </w:p>
    <w:p w14:paraId="5FC1F2CD">
      <w:pPr>
        <w:adjustRightInd w:val="0"/>
        <w:snapToGrid w:val="0"/>
        <w:spacing w:line="360" w:lineRule="auto"/>
        <w:jc w:val="center"/>
        <w:rPr>
          <w:rFonts w:ascii="黑体" w:hAnsi="黑体" w:eastAsia="黑体" w:cs="黑体"/>
          <w:color w:val="auto"/>
          <w:sz w:val="28"/>
          <w:szCs w:val="28"/>
        </w:rPr>
      </w:pPr>
      <w:r>
        <w:rPr>
          <w:rFonts w:hint="eastAsia" w:ascii="黑体" w:hAnsi="黑体" w:eastAsia="黑体" w:cs="黑体"/>
          <w:color w:val="auto"/>
          <w:sz w:val="28"/>
          <w:szCs w:val="28"/>
        </w:rPr>
        <w:t>表3：代表性项目保护补助费绩效指标完成情况</w:t>
      </w:r>
    </w:p>
    <w:tbl>
      <w:tblPr>
        <w:tblStyle w:val="8"/>
        <w:tblW w:w="52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7"/>
        <w:gridCol w:w="1481"/>
        <w:gridCol w:w="2779"/>
        <w:gridCol w:w="1605"/>
        <w:gridCol w:w="1829"/>
      </w:tblGrid>
      <w:tr w14:paraId="0E40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38" w:type="pct"/>
            <w:shd w:val="clear" w:color="auto" w:fill="auto"/>
            <w:noWrap/>
            <w:tcMar>
              <w:top w:w="8" w:type="dxa"/>
              <w:left w:w="8" w:type="dxa"/>
              <w:right w:w="8" w:type="dxa"/>
            </w:tcMar>
            <w:vAlign w:val="center"/>
          </w:tcPr>
          <w:p w14:paraId="27FE6C73">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一级指标</w:t>
            </w:r>
          </w:p>
        </w:tc>
        <w:tc>
          <w:tcPr>
            <w:tcW w:w="839" w:type="pct"/>
            <w:shd w:val="clear" w:color="auto" w:fill="auto"/>
            <w:noWrap/>
            <w:tcMar>
              <w:top w:w="8" w:type="dxa"/>
              <w:left w:w="8" w:type="dxa"/>
              <w:right w:w="8" w:type="dxa"/>
            </w:tcMar>
            <w:vAlign w:val="center"/>
          </w:tcPr>
          <w:p w14:paraId="52BEE564">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二级指标</w:t>
            </w:r>
          </w:p>
        </w:tc>
        <w:tc>
          <w:tcPr>
            <w:tcW w:w="1575" w:type="pct"/>
            <w:shd w:val="clear" w:color="auto" w:fill="auto"/>
            <w:noWrap/>
            <w:tcMar>
              <w:top w:w="8" w:type="dxa"/>
              <w:left w:w="8" w:type="dxa"/>
              <w:right w:w="8" w:type="dxa"/>
            </w:tcMar>
            <w:vAlign w:val="center"/>
          </w:tcPr>
          <w:p w14:paraId="096B3E96">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三级指标</w:t>
            </w:r>
          </w:p>
        </w:tc>
        <w:tc>
          <w:tcPr>
            <w:tcW w:w="909" w:type="pct"/>
            <w:shd w:val="clear" w:color="auto" w:fill="auto"/>
            <w:noWrap/>
            <w:tcMar>
              <w:top w:w="8" w:type="dxa"/>
              <w:left w:w="8" w:type="dxa"/>
              <w:right w:w="8" w:type="dxa"/>
            </w:tcMar>
            <w:vAlign w:val="center"/>
          </w:tcPr>
          <w:p w14:paraId="365D8502">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年度指标值</w:t>
            </w:r>
          </w:p>
        </w:tc>
        <w:tc>
          <w:tcPr>
            <w:tcW w:w="1036" w:type="pct"/>
            <w:shd w:val="clear" w:color="auto" w:fill="auto"/>
            <w:noWrap/>
            <w:tcMar>
              <w:top w:w="8" w:type="dxa"/>
              <w:left w:w="8" w:type="dxa"/>
              <w:right w:w="8" w:type="dxa"/>
            </w:tcMar>
            <w:vAlign w:val="center"/>
          </w:tcPr>
          <w:p w14:paraId="2248EC7E">
            <w:pPr>
              <w:widowControl/>
              <w:adjustRightInd w:val="0"/>
              <w:snapToGrid w:val="0"/>
              <w:jc w:val="center"/>
              <w:textAlignment w:val="center"/>
              <w:rPr>
                <w:rFonts w:hint="eastAsia" w:ascii="宋体" w:hAnsi="宋体" w:eastAsia="宋体" w:cs="宋体"/>
                <w:b/>
                <w:sz w:val="20"/>
                <w:szCs w:val="20"/>
              </w:rPr>
            </w:pPr>
            <w:r>
              <w:rPr>
                <w:rFonts w:hint="eastAsia" w:ascii="宋体" w:hAnsi="宋体" w:eastAsia="宋体" w:cs="宋体"/>
                <w:b/>
                <w:kern w:val="0"/>
                <w:sz w:val="20"/>
                <w:szCs w:val="20"/>
                <w:lang w:bidi="ar"/>
              </w:rPr>
              <w:t>全年实际完成值</w:t>
            </w:r>
          </w:p>
        </w:tc>
      </w:tr>
      <w:tr w14:paraId="2939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 w:hRule="atLeast"/>
          <w:jc w:val="center"/>
        </w:trPr>
        <w:tc>
          <w:tcPr>
            <w:tcW w:w="638" w:type="pct"/>
            <w:vMerge w:val="restart"/>
            <w:shd w:val="clear" w:color="auto" w:fill="auto"/>
            <w:noWrap/>
            <w:tcMar>
              <w:top w:w="8" w:type="dxa"/>
              <w:left w:w="8" w:type="dxa"/>
              <w:right w:w="8" w:type="dxa"/>
            </w:tcMar>
            <w:vAlign w:val="center"/>
          </w:tcPr>
          <w:p w14:paraId="5F0E5D0E">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产出指标</w:t>
            </w:r>
          </w:p>
          <w:p w14:paraId="77E46130">
            <w:pPr>
              <w:widowControl/>
              <w:adjustRightInd w:val="0"/>
              <w:jc w:val="center"/>
              <w:textAlignment w:val="center"/>
              <w:rPr>
                <w:rFonts w:hint="eastAsia" w:ascii="宋体" w:hAnsi="宋体" w:eastAsia="宋体" w:cs="宋体"/>
                <w:kern w:val="0"/>
                <w:sz w:val="20"/>
                <w:szCs w:val="20"/>
                <w:lang w:bidi="ar"/>
              </w:rPr>
            </w:pPr>
          </w:p>
        </w:tc>
        <w:tc>
          <w:tcPr>
            <w:tcW w:w="839" w:type="pct"/>
            <w:shd w:val="clear" w:color="auto" w:fill="auto"/>
            <w:noWrap/>
            <w:tcMar>
              <w:top w:w="8" w:type="dxa"/>
              <w:left w:w="8" w:type="dxa"/>
              <w:right w:w="8" w:type="dxa"/>
            </w:tcMar>
            <w:vAlign w:val="center"/>
          </w:tcPr>
          <w:p w14:paraId="36960223">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数量指标</w:t>
            </w:r>
          </w:p>
        </w:tc>
        <w:tc>
          <w:tcPr>
            <w:tcW w:w="1575" w:type="pct"/>
            <w:shd w:val="clear" w:color="auto" w:fill="auto"/>
            <w:noWrap/>
            <w:tcMar>
              <w:top w:w="8" w:type="dxa"/>
              <w:left w:w="8" w:type="dxa"/>
              <w:right w:w="8" w:type="dxa"/>
            </w:tcMar>
            <w:vAlign w:val="center"/>
          </w:tcPr>
          <w:p w14:paraId="4BB5DC0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代表性项目完成数量</w:t>
            </w:r>
          </w:p>
        </w:tc>
        <w:tc>
          <w:tcPr>
            <w:tcW w:w="909" w:type="pct"/>
            <w:shd w:val="clear" w:color="auto" w:fill="auto"/>
            <w:noWrap/>
            <w:tcMar>
              <w:top w:w="8" w:type="dxa"/>
              <w:left w:w="8" w:type="dxa"/>
              <w:right w:w="8" w:type="dxa"/>
            </w:tcMar>
            <w:vAlign w:val="center"/>
          </w:tcPr>
          <w:p w14:paraId="1C10C25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w:t>
            </w:r>
            <w:r>
              <w:rPr>
                <w:rFonts w:hint="eastAsia" w:ascii="宋体" w:hAnsi="宋体" w:eastAsia="宋体" w:cs="宋体"/>
                <w:kern w:val="0"/>
                <w:sz w:val="20"/>
                <w:szCs w:val="20"/>
                <w:lang w:val="en-US" w:eastAsia="zh-CN" w:bidi="ar"/>
              </w:rPr>
              <w:t>15</w:t>
            </w:r>
            <w:r>
              <w:rPr>
                <w:rFonts w:hint="eastAsia" w:ascii="宋体" w:hAnsi="宋体" w:eastAsia="宋体" w:cs="宋体"/>
                <w:kern w:val="0"/>
                <w:sz w:val="20"/>
                <w:szCs w:val="20"/>
                <w:lang w:bidi="ar"/>
              </w:rPr>
              <w:t>个</w:t>
            </w:r>
          </w:p>
        </w:tc>
        <w:tc>
          <w:tcPr>
            <w:tcW w:w="1036" w:type="pct"/>
            <w:shd w:val="clear" w:color="auto" w:fill="auto"/>
            <w:noWrap/>
            <w:tcMar>
              <w:top w:w="8" w:type="dxa"/>
              <w:left w:w="8" w:type="dxa"/>
              <w:right w:w="8" w:type="dxa"/>
            </w:tcMar>
            <w:vAlign w:val="center"/>
          </w:tcPr>
          <w:p w14:paraId="6809A8C3">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w:t>
            </w:r>
            <w:r>
              <w:rPr>
                <w:rFonts w:hint="eastAsia" w:ascii="宋体" w:hAnsi="宋体" w:eastAsia="宋体" w:cs="宋体"/>
                <w:kern w:val="0"/>
                <w:sz w:val="20"/>
                <w:szCs w:val="20"/>
                <w:lang w:val="en-US" w:eastAsia="zh-CN" w:bidi="ar"/>
              </w:rPr>
              <w:t>5</w:t>
            </w:r>
            <w:r>
              <w:rPr>
                <w:rFonts w:hint="eastAsia" w:ascii="宋体" w:hAnsi="宋体" w:eastAsia="宋体" w:cs="宋体"/>
                <w:kern w:val="0"/>
                <w:sz w:val="20"/>
                <w:szCs w:val="20"/>
                <w:lang w:bidi="ar"/>
              </w:rPr>
              <w:t>个</w:t>
            </w:r>
          </w:p>
        </w:tc>
      </w:tr>
      <w:tr w14:paraId="3463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jc w:val="center"/>
        </w:trPr>
        <w:tc>
          <w:tcPr>
            <w:tcW w:w="638" w:type="pct"/>
            <w:vMerge w:val="continue"/>
            <w:shd w:val="clear" w:color="auto" w:fill="auto"/>
            <w:noWrap/>
            <w:tcMar>
              <w:top w:w="8" w:type="dxa"/>
              <w:left w:w="8" w:type="dxa"/>
              <w:right w:w="8" w:type="dxa"/>
            </w:tcMar>
            <w:vAlign w:val="center"/>
          </w:tcPr>
          <w:p w14:paraId="1BB63FF7">
            <w:pPr>
              <w:widowControl/>
              <w:adjustRightInd w:val="0"/>
              <w:jc w:val="center"/>
              <w:textAlignment w:val="center"/>
              <w:rPr>
                <w:rFonts w:hint="eastAsia" w:ascii="宋体" w:hAnsi="宋体" w:eastAsia="宋体" w:cs="宋体"/>
                <w:kern w:val="0"/>
                <w:sz w:val="20"/>
                <w:szCs w:val="20"/>
                <w:lang w:bidi="ar"/>
              </w:rPr>
            </w:pPr>
          </w:p>
        </w:tc>
        <w:tc>
          <w:tcPr>
            <w:tcW w:w="839" w:type="pct"/>
            <w:shd w:val="clear" w:color="auto" w:fill="auto"/>
            <w:noWrap/>
            <w:tcMar>
              <w:top w:w="8" w:type="dxa"/>
              <w:left w:w="8" w:type="dxa"/>
              <w:right w:w="8" w:type="dxa"/>
            </w:tcMar>
            <w:vAlign w:val="center"/>
          </w:tcPr>
          <w:p w14:paraId="6B0702D8">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质量指标</w:t>
            </w:r>
          </w:p>
        </w:tc>
        <w:tc>
          <w:tcPr>
            <w:tcW w:w="1575" w:type="pct"/>
            <w:shd w:val="clear" w:color="auto" w:fill="auto"/>
            <w:noWrap/>
            <w:tcMar>
              <w:top w:w="8" w:type="dxa"/>
              <w:left w:w="8" w:type="dxa"/>
              <w:right w:w="8" w:type="dxa"/>
            </w:tcMar>
            <w:vAlign w:val="center"/>
          </w:tcPr>
          <w:p w14:paraId="62C23AEC">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项目绩效自评完成率</w:t>
            </w:r>
          </w:p>
        </w:tc>
        <w:tc>
          <w:tcPr>
            <w:tcW w:w="909" w:type="pct"/>
            <w:shd w:val="clear" w:color="auto" w:fill="auto"/>
            <w:noWrap/>
            <w:tcMar>
              <w:top w:w="8" w:type="dxa"/>
              <w:left w:w="8" w:type="dxa"/>
              <w:right w:w="8" w:type="dxa"/>
            </w:tcMar>
            <w:vAlign w:val="center"/>
          </w:tcPr>
          <w:p w14:paraId="6D05E17F">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≥90%</w:t>
            </w:r>
          </w:p>
        </w:tc>
        <w:tc>
          <w:tcPr>
            <w:tcW w:w="1036" w:type="pct"/>
            <w:shd w:val="clear" w:color="auto" w:fill="auto"/>
            <w:noWrap/>
            <w:tcMar>
              <w:top w:w="8" w:type="dxa"/>
              <w:left w:w="8" w:type="dxa"/>
              <w:right w:w="8" w:type="dxa"/>
            </w:tcMar>
            <w:vAlign w:val="center"/>
          </w:tcPr>
          <w:p w14:paraId="35F567E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w:t>
            </w:r>
          </w:p>
        </w:tc>
      </w:tr>
      <w:tr w14:paraId="767A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638" w:type="pct"/>
            <w:vMerge w:val="continue"/>
            <w:shd w:val="clear" w:color="auto" w:fill="auto"/>
            <w:noWrap/>
            <w:tcMar>
              <w:top w:w="8" w:type="dxa"/>
              <w:left w:w="8" w:type="dxa"/>
              <w:right w:w="8" w:type="dxa"/>
            </w:tcMar>
            <w:vAlign w:val="center"/>
          </w:tcPr>
          <w:p w14:paraId="5C830FE8">
            <w:pPr>
              <w:widowControl/>
              <w:adjustRightInd w:val="0"/>
              <w:jc w:val="center"/>
              <w:textAlignment w:val="center"/>
              <w:rPr>
                <w:rFonts w:hint="eastAsia" w:ascii="宋体" w:hAnsi="宋体" w:eastAsia="宋体" w:cs="宋体"/>
                <w:kern w:val="0"/>
                <w:sz w:val="20"/>
                <w:szCs w:val="20"/>
                <w:lang w:bidi="ar"/>
              </w:rPr>
            </w:pPr>
          </w:p>
        </w:tc>
        <w:tc>
          <w:tcPr>
            <w:tcW w:w="839" w:type="pct"/>
            <w:shd w:val="clear" w:color="auto" w:fill="auto"/>
            <w:noWrap/>
            <w:tcMar>
              <w:top w:w="8" w:type="dxa"/>
              <w:left w:w="8" w:type="dxa"/>
              <w:right w:w="8" w:type="dxa"/>
            </w:tcMar>
            <w:vAlign w:val="center"/>
          </w:tcPr>
          <w:p w14:paraId="55BB44F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时效指标</w:t>
            </w:r>
          </w:p>
        </w:tc>
        <w:tc>
          <w:tcPr>
            <w:tcW w:w="1575" w:type="pct"/>
            <w:shd w:val="clear" w:color="auto" w:fill="auto"/>
            <w:noWrap/>
            <w:tcMar>
              <w:top w:w="8" w:type="dxa"/>
              <w:left w:w="8" w:type="dxa"/>
              <w:right w:w="8" w:type="dxa"/>
            </w:tcMar>
            <w:vAlign w:val="center"/>
          </w:tcPr>
          <w:p w14:paraId="7722253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资金拨付时间</w:t>
            </w:r>
          </w:p>
        </w:tc>
        <w:tc>
          <w:tcPr>
            <w:tcW w:w="909" w:type="pct"/>
            <w:shd w:val="clear" w:color="auto" w:fill="auto"/>
            <w:noWrap/>
            <w:tcMar>
              <w:top w:w="8" w:type="dxa"/>
              <w:left w:w="8" w:type="dxa"/>
              <w:right w:w="8" w:type="dxa"/>
            </w:tcMar>
            <w:vAlign w:val="center"/>
          </w:tcPr>
          <w:p w14:paraId="12C1FF06">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≤12月</w:t>
            </w:r>
          </w:p>
        </w:tc>
        <w:tc>
          <w:tcPr>
            <w:tcW w:w="1036" w:type="pct"/>
            <w:shd w:val="clear" w:color="auto" w:fill="auto"/>
            <w:noWrap/>
            <w:tcMar>
              <w:top w:w="8" w:type="dxa"/>
              <w:left w:w="8" w:type="dxa"/>
              <w:right w:w="8" w:type="dxa"/>
            </w:tcMar>
            <w:vAlign w:val="center"/>
          </w:tcPr>
          <w:p w14:paraId="07BA866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12月</w:t>
            </w:r>
          </w:p>
        </w:tc>
      </w:tr>
      <w:tr w14:paraId="1419B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638" w:type="pct"/>
            <w:shd w:val="clear" w:color="auto" w:fill="auto"/>
            <w:noWrap/>
            <w:tcMar>
              <w:top w:w="8" w:type="dxa"/>
              <w:left w:w="8" w:type="dxa"/>
              <w:right w:w="8" w:type="dxa"/>
            </w:tcMar>
            <w:vAlign w:val="center"/>
          </w:tcPr>
          <w:p w14:paraId="13D79201">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成本指标</w:t>
            </w:r>
          </w:p>
        </w:tc>
        <w:tc>
          <w:tcPr>
            <w:tcW w:w="839" w:type="pct"/>
            <w:shd w:val="clear" w:color="auto" w:fill="auto"/>
            <w:noWrap/>
            <w:tcMar>
              <w:top w:w="8" w:type="dxa"/>
              <w:left w:w="8" w:type="dxa"/>
              <w:right w:w="8" w:type="dxa"/>
            </w:tcMar>
            <w:vAlign w:val="center"/>
          </w:tcPr>
          <w:p w14:paraId="70953E8E">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1575" w:type="pct"/>
            <w:shd w:val="clear" w:color="auto" w:fill="auto"/>
            <w:noWrap/>
            <w:tcMar>
              <w:top w:w="8" w:type="dxa"/>
              <w:left w:w="8" w:type="dxa"/>
              <w:right w:w="8" w:type="dxa"/>
            </w:tcMar>
            <w:vAlign w:val="center"/>
          </w:tcPr>
          <w:p w14:paraId="237CD840">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项目预算控制数</w:t>
            </w:r>
          </w:p>
        </w:tc>
        <w:tc>
          <w:tcPr>
            <w:tcW w:w="909" w:type="pct"/>
            <w:shd w:val="clear" w:color="auto" w:fill="auto"/>
            <w:noWrap/>
            <w:tcMar>
              <w:top w:w="8" w:type="dxa"/>
              <w:left w:w="8" w:type="dxa"/>
              <w:right w:w="8" w:type="dxa"/>
            </w:tcMar>
            <w:vAlign w:val="center"/>
          </w:tcPr>
          <w:p w14:paraId="6D9F4E6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≤917.9182万元</w:t>
            </w:r>
          </w:p>
        </w:tc>
        <w:tc>
          <w:tcPr>
            <w:tcW w:w="1036" w:type="pct"/>
            <w:shd w:val="clear" w:color="auto" w:fill="auto"/>
            <w:noWrap/>
            <w:tcMar>
              <w:top w:w="8" w:type="dxa"/>
              <w:left w:w="8" w:type="dxa"/>
              <w:right w:w="8" w:type="dxa"/>
            </w:tcMar>
            <w:vAlign w:val="center"/>
          </w:tcPr>
          <w:p w14:paraId="531814D0">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741.07555万元</w:t>
            </w:r>
          </w:p>
        </w:tc>
      </w:tr>
      <w:tr w14:paraId="0DC95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638" w:type="pct"/>
            <w:vMerge w:val="restart"/>
            <w:shd w:val="clear" w:color="auto" w:fill="auto"/>
            <w:noWrap/>
            <w:tcMar>
              <w:top w:w="8" w:type="dxa"/>
              <w:left w:w="8" w:type="dxa"/>
              <w:right w:w="8" w:type="dxa"/>
            </w:tcMar>
            <w:vAlign w:val="center"/>
          </w:tcPr>
          <w:p w14:paraId="0D15883B">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效益指标</w:t>
            </w:r>
          </w:p>
        </w:tc>
        <w:tc>
          <w:tcPr>
            <w:tcW w:w="839" w:type="pct"/>
            <w:vMerge w:val="restart"/>
            <w:shd w:val="clear" w:color="auto" w:fill="auto"/>
            <w:noWrap/>
            <w:tcMar>
              <w:top w:w="8" w:type="dxa"/>
              <w:left w:w="8" w:type="dxa"/>
              <w:right w:w="8" w:type="dxa"/>
            </w:tcMar>
            <w:vAlign w:val="center"/>
          </w:tcPr>
          <w:p w14:paraId="46F3D0D6">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社会效益指标</w:t>
            </w:r>
          </w:p>
        </w:tc>
        <w:tc>
          <w:tcPr>
            <w:tcW w:w="1575" w:type="pct"/>
            <w:shd w:val="clear" w:color="auto" w:fill="auto"/>
            <w:noWrap/>
            <w:tcMar>
              <w:top w:w="8" w:type="dxa"/>
              <w:left w:w="8" w:type="dxa"/>
              <w:right w:w="8" w:type="dxa"/>
            </w:tcMar>
            <w:vAlign w:val="center"/>
          </w:tcPr>
          <w:p w14:paraId="3E694C2A">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对提升非遗社会关注度的影响（持续增加）</w:t>
            </w:r>
          </w:p>
        </w:tc>
        <w:tc>
          <w:tcPr>
            <w:tcW w:w="909" w:type="pct"/>
            <w:shd w:val="clear" w:color="auto" w:fill="auto"/>
            <w:noWrap/>
            <w:tcMar>
              <w:top w:w="8" w:type="dxa"/>
              <w:left w:w="8" w:type="dxa"/>
              <w:right w:w="8" w:type="dxa"/>
            </w:tcMar>
            <w:vAlign w:val="center"/>
          </w:tcPr>
          <w:p w14:paraId="77720374">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良</w:t>
            </w:r>
          </w:p>
        </w:tc>
        <w:tc>
          <w:tcPr>
            <w:tcW w:w="1036" w:type="pct"/>
            <w:shd w:val="clear" w:color="auto" w:fill="auto"/>
            <w:noWrap/>
            <w:tcMar>
              <w:top w:w="8" w:type="dxa"/>
              <w:left w:w="8" w:type="dxa"/>
              <w:right w:w="8" w:type="dxa"/>
            </w:tcMar>
            <w:vAlign w:val="center"/>
          </w:tcPr>
          <w:p w14:paraId="2D1E8A2D">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r>
      <w:tr w14:paraId="3C3E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638" w:type="pct"/>
            <w:vMerge w:val="continue"/>
            <w:shd w:val="clear" w:color="auto" w:fill="auto"/>
            <w:noWrap/>
            <w:tcMar>
              <w:top w:w="8" w:type="dxa"/>
              <w:left w:w="8" w:type="dxa"/>
              <w:right w:w="8" w:type="dxa"/>
            </w:tcMar>
            <w:vAlign w:val="center"/>
          </w:tcPr>
          <w:p w14:paraId="3A637DC7">
            <w:pPr>
              <w:widowControl/>
              <w:adjustRightInd w:val="0"/>
              <w:jc w:val="center"/>
              <w:textAlignment w:val="center"/>
              <w:rPr>
                <w:rFonts w:hint="eastAsia" w:ascii="宋体" w:hAnsi="宋体" w:eastAsia="宋体" w:cs="宋体"/>
                <w:kern w:val="0"/>
                <w:sz w:val="20"/>
                <w:szCs w:val="20"/>
                <w:lang w:bidi="ar"/>
              </w:rPr>
            </w:pPr>
          </w:p>
        </w:tc>
        <w:tc>
          <w:tcPr>
            <w:tcW w:w="839" w:type="pct"/>
            <w:vMerge w:val="continue"/>
            <w:shd w:val="clear" w:color="auto" w:fill="auto"/>
            <w:noWrap/>
            <w:tcMar>
              <w:top w:w="8" w:type="dxa"/>
              <w:left w:w="8" w:type="dxa"/>
              <w:right w:w="8" w:type="dxa"/>
            </w:tcMar>
            <w:vAlign w:val="center"/>
          </w:tcPr>
          <w:p w14:paraId="7623B9D0">
            <w:pPr>
              <w:widowControl/>
              <w:adjustRightInd w:val="0"/>
              <w:jc w:val="center"/>
              <w:textAlignment w:val="center"/>
              <w:rPr>
                <w:rFonts w:hint="eastAsia" w:ascii="宋体" w:hAnsi="宋体" w:eastAsia="宋体" w:cs="宋体"/>
                <w:kern w:val="0"/>
                <w:sz w:val="20"/>
                <w:szCs w:val="20"/>
                <w:lang w:bidi="ar"/>
              </w:rPr>
            </w:pPr>
          </w:p>
        </w:tc>
        <w:tc>
          <w:tcPr>
            <w:tcW w:w="1575" w:type="pct"/>
            <w:shd w:val="clear" w:color="auto" w:fill="auto"/>
            <w:noWrap/>
            <w:tcMar>
              <w:top w:w="8" w:type="dxa"/>
              <w:left w:w="8" w:type="dxa"/>
              <w:right w:w="8" w:type="dxa"/>
            </w:tcMar>
            <w:vAlign w:val="center"/>
          </w:tcPr>
          <w:p w14:paraId="492AA930">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对增强非遗保护传承氛围的影响（持续增加）</w:t>
            </w:r>
          </w:p>
        </w:tc>
        <w:tc>
          <w:tcPr>
            <w:tcW w:w="909" w:type="pct"/>
            <w:shd w:val="clear" w:color="auto" w:fill="auto"/>
            <w:noWrap/>
            <w:tcMar>
              <w:top w:w="8" w:type="dxa"/>
              <w:left w:w="8" w:type="dxa"/>
              <w:right w:w="8" w:type="dxa"/>
            </w:tcMar>
            <w:vAlign w:val="center"/>
          </w:tcPr>
          <w:p w14:paraId="58ED29D7">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良</w:t>
            </w:r>
          </w:p>
        </w:tc>
        <w:tc>
          <w:tcPr>
            <w:tcW w:w="1036" w:type="pct"/>
            <w:shd w:val="clear" w:color="auto" w:fill="auto"/>
            <w:noWrap/>
            <w:tcMar>
              <w:top w:w="8" w:type="dxa"/>
              <w:left w:w="8" w:type="dxa"/>
              <w:right w:w="8" w:type="dxa"/>
            </w:tcMar>
            <w:vAlign w:val="center"/>
          </w:tcPr>
          <w:p w14:paraId="15CC9820">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r>
      <w:tr w14:paraId="2D5B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jc w:val="center"/>
        </w:trPr>
        <w:tc>
          <w:tcPr>
            <w:tcW w:w="638" w:type="pct"/>
            <w:shd w:val="clear" w:color="auto" w:fill="auto"/>
            <w:noWrap/>
            <w:tcMar>
              <w:top w:w="8" w:type="dxa"/>
              <w:left w:w="8" w:type="dxa"/>
              <w:right w:w="8" w:type="dxa"/>
            </w:tcMar>
            <w:vAlign w:val="center"/>
          </w:tcPr>
          <w:p w14:paraId="70138904">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满意度指标</w:t>
            </w:r>
          </w:p>
        </w:tc>
        <w:tc>
          <w:tcPr>
            <w:tcW w:w="839" w:type="pct"/>
            <w:shd w:val="clear" w:color="auto" w:fill="auto"/>
            <w:noWrap/>
            <w:tcMar>
              <w:top w:w="8" w:type="dxa"/>
              <w:left w:w="8" w:type="dxa"/>
              <w:right w:w="8" w:type="dxa"/>
            </w:tcMar>
            <w:vAlign w:val="center"/>
          </w:tcPr>
          <w:p w14:paraId="7B41B479">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服务对象满意度指标</w:t>
            </w:r>
          </w:p>
        </w:tc>
        <w:tc>
          <w:tcPr>
            <w:tcW w:w="1575" w:type="pct"/>
            <w:shd w:val="clear" w:color="auto" w:fill="auto"/>
            <w:noWrap/>
            <w:tcMar>
              <w:top w:w="8" w:type="dxa"/>
              <w:left w:w="8" w:type="dxa"/>
              <w:right w:w="8" w:type="dxa"/>
            </w:tcMar>
            <w:vAlign w:val="center"/>
          </w:tcPr>
          <w:p w14:paraId="36FFB6A2">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项目保护单位满意度</w:t>
            </w:r>
          </w:p>
        </w:tc>
        <w:tc>
          <w:tcPr>
            <w:tcW w:w="909" w:type="pct"/>
            <w:shd w:val="clear" w:color="auto" w:fill="auto"/>
            <w:noWrap/>
            <w:tcMar>
              <w:top w:w="8" w:type="dxa"/>
              <w:left w:w="8" w:type="dxa"/>
              <w:right w:w="8" w:type="dxa"/>
            </w:tcMar>
            <w:vAlign w:val="center"/>
          </w:tcPr>
          <w:p w14:paraId="42843666">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≥85%</w:t>
            </w:r>
          </w:p>
        </w:tc>
        <w:tc>
          <w:tcPr>
            <w:tcW w:w="1036" w:type="pct"/>
            <w:shd w:val="clear" w:color="auto" w:fill="auto"/>
            <w:noWrap/>
            <w:tcMar>
              <w:top w:w="8" w:type="dxa"/>
              <w:left w:w="8" w:type="dxa"/>
              <w:right w:w="8" w:type="dxa"/>
            </w:tcMar>
            <w:vAlign w:val="center"/>
          </w:tcPr>
          <w:p w14:paraId="5392C825">
            <w:pPr>
              <w:widowControl/>
              <w:adjustRightInd w:val="0"/>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满意</w:t>
            </w:r>
          </w:p>
        </w:tc>
      </w:tr>
    </w:tbl>
    <w:p w14:paraId="594C9C35">
      <w:pPr>
        <w:adjustRightInd w:val="0"/>
        <w:snapToGrid w:val="0"/>
        <w:spacing w:line="360" w:lineRule="auto"/>
        <w:rPr>
          <w:rFonts w:eastAsia="黑体"/>
          <w:bCs/>
          <w:color w:val="0000FF"/>
          <w:sz w:val="32"/>
          <w:szCs w:val="32"/>
        </w:rPr>
      </w:pPr>
    </w:p>
    <w:p w14:paraId="7A18534B">
      <w:pPr>
        <w:adjustRightInd w:val="0"/>
        <w:snapToGrid w:val="0"/>
        <w:spacing w:line="360" w:lineRule="auto"/>
        <w:ind w:firstLine="640" w:firstLineChars="200"/>
        <w:outlineLvl w:val="0"/>
        <w:rPr>
          <w:rFonts w:eastAsia="黑体"/>
          <w:bCs/>
          <w:color w:val="auto"/>
          <w:sz w:val="32"/>
          <w:szCs w:val="32"/>
        </w:rPr>
      </w:pPr>
      <w:r>
        <w:rPr>
          <w:rFonts w:eastAsia="黑体"/>
          <w:bCs/>
          <w:color w:val="auto"/>
          <w:sz w:val="32"/>
          <w:szCs w:val="32"/>
        </w:rPr>
        <w:t>三、</w:t>
      </w:r>
      <w:r>
        <w:rPr>
          <w:rFonts w:hint="eastAsia" w:eastAsia="黑体"/>
          <w:bCs/>
          <w:color w:val="auto"/>
          <w:sz w:val="32"/>
          <w:szCs w:val="32"/>
        </w:rPr>
        <w:t>绩效自评结论</w:t>
      </w:r>
    </w:p>
    <w:p w14:paraId="04E9D228">
      <w:pPr>
        <w:adjustRightInd w:val="0"/>
        <w:snapToGrid w:val="0"/>
        <w:spacing w:line="360" w:lineRule="auto"/>
        <w:ind w:firstLine="640" w:firstLineChars="200"/>
        <w:rPr>
          <w:rFonts w:ascii="仿宋_GB2312" w:hAnsi="仿宋_GB2312" w:cs="仿宋_GB2312"/>
          <w:color w:val="0000FF"/>
          <w:sz w:val="32"/>
          <w:szCs w:val="32"/>
        </w:rPr>
      </w:pPr>
      <w:r>
        <w:rPr>
          <w:rFonts w:hint="eastAsia" w:ascii="仿宋_GB2312" w:hAnsi="仿宋_GB2312" w:cs="仿宋_GB2312"/>
          <w:color w:val="auto"/>
          <w:sz w:val="32"/>
          <w:szCs w:val="32"/>
        </w:rPr>
        <w:t>该项目完成了国家级代表性传承人补助发放、2期非遗主题研修班、1期非遗主题培训班、保护</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个代表性项目。通过项目实施，一方面加强了国家级非物质文化遗产代表性传承人的保护</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另一方面，对于实现非遗系统性保护、推动非遗创造性转化和创新性发展、加强项目保护和展示传播、弘扬优秀传统文化具有</w:t>
      </w:r>
      <w:bookmarkStart w:id="0" w:name="_GoBack"/>
      <w:bookmarkEnd w:id="0"/>
      <w:r>
        <w:rPr>
          <w:rFonts w:hint="eastAsia" w:ascii="仿宋_GB2312" w:hAnsi="仿宋_GB2312" w:cs="仿宋_GB2312"/>
          <w:color w:val="auto"/>
          <w:sz w:val="32"/>
          <w:szCs w:val="32"/>
        </w:rPr>
        <w:t>重要意义</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项目已完成的工作较好的实现预期目标，绩效自评总体结论“良好”。</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B9818E8">
        <w:pPr>
          <w:pStyle w:val="5"/>
          <w:jc w:val="center"/>
        </w:pPr>
        <w:r>
          <w:fldChar w:fldCharType="begin"/>
        </w:r>
        <w:r>
          <w:instrText xml:space="preserve">PAGE   \* MERGEFORMAT</w:instrText>
        </w:r>
        <w:r>
          <w:fldChar w:fldCharType="separate"/>
        </w:r>
        <w:r>
          <w:rPr>
            <w:lang w:val="zh-CN"/>
          </w:rPr>
          <w:t>2</w:t>
        </w:r>
        <w:r>
          <w:fldChar w:fldCharType="end"/>
        </w:r>
      </w:p>
    </w:sdtContent>
  </w:sdt>
  <w:p w14:paraId="7CE98D7A">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50"/>
  <w:drawingGridVerticalSpacing w:val="58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ZDQ3YmM4OWZhMDc0M2U3OThlNmFjZGNhNmQ5NWMifQ=="/>
    <w:docVar w:name="KSO_WPS_MARK_KEY" w:val="a5553321-28b4-4e26-9187-42c2c17f3c63"/>
  </w:docVars>
  <w:rsids>
    <w:rsidRoot w:val="00F57F82"/>
    <w:rsid w:val="000101E1"/>
    <w:rsid w:val="00010B35"/>
    <w:rsid w:val="00015489"/>
    <w:rsid w:val="00016A62"/>
    <w:rsid w:val="00032320"/>
    <w:rsid w:val="0004175A"/>
    <w:rsid w:val="000624DF"/>
    <w:rsid w:val="00062FC6"/>
    <w:rsid w:val="00064E9D"/>
    <w:rsid w:val="00066753"/>
    <w:rsid w:val="00067F23"/>
    <w:rsid w:val="000732DA"/>
    <w:rsid w:val="00073471"/>
    <w:rsid w:val="00075CDC"/>
    <w:rsid w:val="0008313E"/>
    <w:rsid w:val="000A1881"/>
    <w:rsid w:val="000A1ED0"/>
    <w:rsid w:val="000A237E"/>
    <w:rsid w:val="000A3006"/>
    <w:rsid w:val="000A55CF"/>
    <w:rsid w:val="000B1615"/>
    <w:rsid w:val="000B1E8F"/>
    <w:rsid w:val="000B6964"/>
    <w:rsid w:val="000C2AC3"/>
    <w:rsid w:val="000C423C"/>
    <w:rsid w:val="000D486B"/>
    <w:rsid w:val="000D5351"/>
    <w:rsid w:val="000D7FDD"/>
    <w:rsid w:val="000E02BB"/>
    <w:rsid w:val="00103D16"/>
    <w:rsid w:val="001113CB"/>
    <w:rsid w:val="00111638"/>
    <w:rsid w:val="00111928"/>
    <w:rsid w:val="00112DD8"/>
    <w:rsid w:val="0012041C"/>
    <w:rsid w:val="00122845"/>
    <w:rsid w:val="0013654C"/>
    <w:rsid w:val="00136851"/>
    <w:rsid w:val="00147212"/>
    <w:rsid w:val="00163E9D"/>
    <w:rsid w:val="00164AE3"/>
    <w:rsid w:val="00164D84"/>
    <w:rsid w:val="00173016"/>
    <w:rsid w:val="0017509C"/>
    <w:rsid w:val="001808CA"/>
    <w:rsid w:val="00181A7A"/>
    <w:rsid w:val="0018655A"/>
    <w:rsid w:val="001940B1"/>
    <w:rsid w:val="001A4E46"/>
    <w:rsid w:val="001A5A46"/>
    <w:rsid w:val="001B04FF"/>
    <w:rsid w:val="001B3B08"/>
    <w:rsid w:val="001B5DAA"/>
    <w:rsid w:val="001C740C"/>
    <w:rsid w:val="001E03FE"/>
    <w:rsid w:val="001E4017"/>
    <w:rsid w:val="002002A4"/>
    <w:rsid w:val="00206D4D"/>
    <w:rsid w:val="002123E8"/>
    <w:rsid w:val="002152AF"/>
    <w:rsid w:val="00226904"/>
    <w:rsid w:val="0023549F"/>
    <w:rsid w:val="00235654"/>
    <w:rsid w:val="0024050A"/>
    <w:rsid w:val="00244E17"/>
    <w:rsid w:val="00250053"/>
    <w:rsid w:val="00253B26"/>
    <w:rsid w:val="002808F1"/>
    <w:rsid w:val="00283C89"/>
    <w:rsid w:val="0029044A"/>
    <w:rsid w:val="0029569C"/>
    <w:rsid w:val="002974C7"/>
    <w:rsid w:val="002A5FA7"/>
    <w:rsid w:val="002A6114"/>
    <w:rsid w:val="002A7125"/>
    <w:rsid w:val="002B3EEF"/>
    <w:rsid w:val="002B54E4"/>
    <w:rsid w:val="002C35E5"/>
    <w:rsid w:val="002D01AB"/>
    <w:rsid w:val="002D3AEF"/>
    <w:rsid w:val="002D6976"/>
    <w:rsid w:val="002E4F22"/>
    <w:rsid w:val="002E5562"/>
    <w:rsid w:val="002F4392"/>
    <w:rsid w:val="002F6705"/>
    <w:rsid w:val="00301FC0"/>
    <w:rsid w:val="0030211D"/>
    <w:rsid w:val="00331F94"/>
    <w:rsid w:val="00336A16"/>
    <w:rsid w:val="00360168"/>
    <w:rsid w:val="003636E7"/>
    <w:rsid w:val="003663A3"/>
    <w:rsid w:val="00374B94"/>
    <w:rsid w:val="00387DD5"/>
    <w:rsid w:val="003A039F"/>
    <w:rsid w:val="003A262C"/>
    <w:rsid w:val="003A3230"/>
    <w:rsid w:val="003A7F2F"/>
    <w:rsid w:val="003B0980"/>
    <w:rsid w:val="003B4CF8"/>
    <w:rsid w:val="003C5B2A"/>
    <w:rsid w:val="003C6374"/>
    <w:rsid w:val="003D2CB9"/>
    <w:rsid w:val="003E55BE"/>
    <w:rsid w:val="003E5A32"/>
    <w:rsid w:val="003F2918"/>
    <w:rsid w:val="003F6263"/>
    <w:rsid w:val="00411BAD"/>
    <w:rsid w:val="00412477"/>
    <w:rsid w:val="00413697"/>
    <w:rsid w:val="00413F12"/>
    <w:rsid w:val="00414E20"/>
    <w:rsid w:val="004244A3"/>
    <w:rsid w:val="00437AF2"/>
    <w:rsid w:val="0045343A"/>
    <w:rsid w:val="00455C8C"/>
    <w:rsid w:val="00456159"/>
    <w:rsid w:val="00456CE3"/>
    <w:rsid w:val="004620A8"/>
    <w:rsid w:val="0046387B"/>
    <w:rsid w:val="00464B2F"/>
    <w:rsid w:val="0046648B"/>
    <w:rsid w:val="00472F43"/>
    <w:rsid w:val="00476D82"/>
    <w:rsid w:val="004818A6"/>
    <w:rsid w:val="00485A47"/>
    <w:rsid w:val="0048699A"/>
    <w:rsid w:val="00493012"/>
    <w:rsid w:val="00494082"/>
    <w:rsid w:val="00494540"/>
    <w:rsid w:val="0049630D"/>
    <w:rsid w:val="00497FA4"/>
    <w:rsid w:val="004B7D7F"/>
    <w:rsid w:val="004C41EF"/>
    <w:rsid w:val="004C71AC"/>
    <w:rsid w:val="004D2137"/>
    <w:rsid w:val="004F5FC5"/>
    <w:rsid w:val="004F7162"/>
    <w:rsid w:val="00500B08"/>
    <w:rsid w:val="00500E33"/>
    <w:rsid w:val="0050306F"/>
    <w:rsid w:val="00507F15"/>
    <w:rsid w:val="00512D23"/>
    <w:rsid w:val="00514F7E"/>
    <w:rsid w:val="00520743"/>
    <w:rsid w:val="00554213"/>
    <w:rsid w:val="00555E55"/>
    <w:rsid w:val="00556C5E"/>
    <w:rsid w:val="00572B03"/>
    <w:rsid w:val="00591674"/>
    <w:rsid w:val="00597CB8"/>
    <w:rsid w:val="005C30A7"/>
    <w:rsid w:val="005C5D58"/>
    <w:rsid w:val="005D1514"/>
    <w:rsid w:val="005D27BD"/>
    <w:rsid w:val="005D7CC3"/>
    <w:rsid w:val="005E09EC"/>
    <w:rsid w:val="005E17CD"/>
    <w:rsid w:val="005E7A7D"/>
    <w:rsid w:val="006036EE"/>
    <w:rsid w:val="00615436"/>
    <w:rsid w:val="00620CE1"/>
    <w:rsid w:val="006218A1"/>
    <w:rsid w:val="0064292D"/>
    <w:rsid w:val="006447EB"/>
    <w:rsid w:val="0065466B"/>
    <w:rsid w:val="006577C0"/>
    <w:rsid w:val="006634A1"/>
    <w:rsid w:val="006637F9"/>
    <w:rsid w:val="00674863"/>
    <w:rsid w:val="0068082A"/>
    <w:rsid w:val="00682A10"/>
    <w:rsid w:val="006948E3"/>
    <w:rsid w:val="00696100"/>
    <w:rsid w:val="006A30E4"/>
    <w:rsid w:val="006A61F2"/>
    <w:rsid w:val="006A74BF"/>
    <w:rsid w:val="006A7E5B"/>
    <w:rsid w:val="006C190B"/>
    <w:rsid w:val="006C1CEE"/>
    <w:rsid w:val="006C31B0"/>
    <w:rsid w:val="006C526E"/>
    <w:rsid w:val="006C65D6"/>
    <w:rsid w:val="006C6FEF"/>
    <w:rsid w:val="006D5A86"/>
    <w:rsid w:val="006E5553"/>
    <w:rsid w:val="006F2A1C"/>
    <w:rsid w:val="00707C2E"/>
    <w:rsid w:val="00711032"/>
    <w:rsid w:val="00722A7D"/>
    <w:rsid w:val="0072393D"/>
    <w:rsid w:val="00724402"/>
    <w:rsid w:val="00724A6B"/>
    <w:rsid w:val="00730556"/>
    <w:rsid w:val="0073331B"/>
    <w:rsid w:val="00733C2D"/>
    <w:rsid w:val="00733CE8"/>
    <w:rsid w:val="00756C7F"/>
    <w:rsid w:val="0076211D"/>
    <w:rsid w:val="007671A2"/>
    <w:rsid w:val="00781359"/>
    <w:rsid w:val="00793264"/>
    <w:rsid w:val="007A5AEE"/>
    <w:rsid w:val="007C124F"/>
    <w:rsid w:val="007C27E3"/>
    <w:rsid w:val="007C6B85"/>
    <w:rsid w:val="007D20B1"/>
    <w:rsid w:val="007D7E6E"/>
    <w:rsid w:val="007F1269"/>
    <w:rsid w:val="007F1BBA"/>
    <w:rsid w:val="007F2AD2"/>
    <w:rsid w:val="00814B5C"/>
    <w:rsid w:val="00843CEE"/>
    <w:rsid w:val="00850797"/>
    <w:rsid w:val="00851D69"/>
    <w:rsid w:val="00851F51"/>
    <w:rsid w:val="0085389C"/>
    <w:rsid w:val="00853FC4"/>
    <w:rsid w:val="008554F6"/>
    <w:rsid w:val="00857575"/>
    <w:rsid w:val="00860691"/>
    <w:rsid w:val="00865781"/>
    <w:rsid w:val="008720F1"/>
    <w:rsid w:val="00882EFA"/>
    <w:rsid w:val="008A7851"/>
    <w:rsid w:val="008B2F56"/>
    <w:rsid w:val="008B798B"/>
    <w:rsid w:val="008C51DC"/>
    <w:rsid w:val="008C7A67"/>
    <w:rsid w:val="008F0996"/>
    <w:rsid w:val="00903791"/>
    <w:rsid w:val="00907606"/>
    <w:rsid w:val="009114B0"/>
    <w:rsid w:val="00936D34"/>
    <w:rsid w:val="0094194B"/>
    <w:rsid w:val="00941BF5"/>
    <w:rsid w:val="009436C4"/>
    <w:rsid w:val="00947A75"/>
    <w:rsid w:val="00956105"/>
    <w:rsid w:val="009600BD"/>
    <w:rsid w:val="00961C83"/>
    <w:rsid w:val="009820B9"/>
    <w:rsid w:val="00983EA6"/>
    <w:rsid w:val="0099075C"/>
    <w:rsid w:val="0099117E"/>
    <w:rsid w:val="00991D84"/>
    <w:rsid w:val="009922BC"/>
    <w:rsid w:val="00994CB8"/>
    <w:rsid w:val="009973A1"/>
    <w:rsid w:val="009C1B8E"/>
    <w:rsid w:val="009D0771"/>
    <w:rsid w:val="009D088D"/>
    <w:rsid w:val="009D137E"/>
    <w:rsid w:val="009E0D8C"/>
    <w:rsid w:val="009E2C8D"/>
    <w:rsid w:val="009E49CD"/>
    <w:rsid w:val="009E6A0B"/>
    <w:rsid w:val="009E6E82"/>
    <w:rsid w:val="009F1CBF"/>
    <w:rsid w:val="00A02AF3"/>
    <w:rsid w:val="00A16D6E"/>
    <w:rsid w:val="00A21020"/>
    <w:rsid w:val="00A24D35"/>
    <w:rsid w:val="00A25077"/>
    <w:rsid w:val="00A33878"/>
    <w:rsid w:val="00A431E0"/>
    <w:rsid w:val="00A54A56"/>
    <w:rsid w:val="00A610CC"/>
    <w:rsid w:val="00A8737E"/>
    <w:rsid w:val="00AA19AF"/>
    <w:rsid w:val="00AA5F0B"/>
    <w:rsid w:val="00AB0483"/>
    <w:rsid w:val="00AC6BEF"/>
    <w:rsid w:val="00AD1FDC"/>
    <w:rsid w:val="00AD6B01"/>
    <w:rsid w:val="00AE368D"/>
    <w:rsid w:val="00B03C9F"/>
    <w:rsid w:val="00B05B7A"/>
    <w:rsid w:val="00B62B1C"/>
    <w:rsid w:val="00B642A0"/>
    <w:rsid w:val="00B64A71"/>
    <w:rsid w:val="00B719A5"/>
    <w:rsid w:val="00B801F7"/>
    <w:rsid w:val="00B83660"/>
    <w:rsid w:val="00BB16DC"/>
    <w:rsid w:val="00BC20E6"/>
    <w:rsid w:val="00BC6882"/>
    <w:rsid w:val="00BD3FE0"/>
    <w:rsid w:val="00BE123F"/>
    <w:rsid w:val="00BE26BE"/>
    <w:rsid w:val="00BE3896"/>
    <w:rsid w:val="00BE58CF"/>
    <w:rsid w:val="00BE6D5E"/>
    <w:rsid w:val="00C11D9E"/>
    <w:rsid w:val="00C131A8"/>
    <w:rsid w:val="00C16451"/>
    <w:rsid w:val="00C22D36"/>
    <w:rsid w:val="00C3352C"/>
    <w:rsid w:val="00C51602"/>
    <w:rsid w:val="00C61D50"/>
    <w:rsid w:val="00C64453"/>
    <w:rsid w:val="00C660C3"/>
    <w:rsid w:val="00C678A6"/>
    <w:rsid w:val="00C7063A"/>
    <w:rsid w:val="00C87959"/>
    <w:rsid w:val="00CA29A4"/>
    <w:rsid w:val="00CA5578"/>
    <w:rsid w:val="00CA5890"/>
    <w:rsid w:val="00CA7DAA"/>
    <w:rsid w:val="00CB25B3"/>
    <w:rsid w:val="00CC6CEC"/>
    <w:rsid w:val="00CD2F80"/>
    <w:rsid w:val="00CD4B5E"/>
    <w:rsid w:val="00CD6D53"/>
    <w:rsid w:val="00CF080E"/>
    <w:rsid w:val="00D03CCB"/>
    <w:rsid w:val="00D04826"/>
    <w:rsid w:val="00D2167B"/>
    <w:rsid w:val="00D25D16"/>
    <w:rsid w:val="00D2666D"/>
    <w:rsid w:val="00D27BE3"/>
    <w:rsid w:val="00D3007B"/>
    <w:rsid w:val="00D36076"/>
    <w:rsid w:val="00D37E04"/>
    <w:rsid w:val="00D44CA9"/>
    <w:rsid w:val="00D63908"/>
    <w:rsid w:val="00D65668"/>
    <w:rsid w:val="00D65C7F"/>
    <w:rsid w:val="00D677AE"/>
    <w:rsid w:val="00D741C6"/>
    <w:rsid w:val="00D7450D"/>
    <w:rsid w:val="00D76468"/>
    <w:rsid w:val="00D83F5A"/>
    <w:rsid w:val="00D86513"/>
    <w:rsid w:val="00D8718A"/>
    <w:rsid w:val="00D93453"/>
    <w:rsid w:val="00D944A1"/>
    <w:rsid w:val="00D94857"/>
    <w:rsid w:val="00D96575"/>
    <w:rsid w:val="00DB14B4"/>
    <w:rsid w:val="00DB2A42"/>
    <w:rsid w:val="00DC019C"/>
    <w:rsid w:val="00DC0A8F"/>
    <w:rsid w:val="00DC524D"/>
    <w:rsid w:val="00DD287F"/>
    <w:rsid w:val="00DE3E40"/>
    <w:rsid w:val="00DE7ECE"/>
    <w:rsid w:val="00DF0BB9"/>
    <w:rsid w:val="00E05A71"/>
    <w:rsid w:val="00E071D6"/>
    <w:rsid w:val="00E11991"/>
    <w:rsid w:val="00E14675"/>
    <w:rsid w:val="00E32188"/>
    <w:rsid w:val="00E60AAE"/>
    <w:rsid w:val="00E640A4"/>
    <w:rsid w:val="00E67D1F"/>
    <w:rsid w:val="00E85587"/>
    <w:rsid w:val="00E928CF"/>
    <w:rsid w:val="00EA391D"/>
    <w:rsid w:val="00EA74DC"/>
    <w:rsid w:val="00EC5536"/>
    <w:rsid w:val="00EC5587"/>
    <w:rsid w:val="00EC5F69"/>
    <w:rsid w:val="00ED2CB0"/>
    <w:rsid w:val="00ED3E0F"/>
    <w:rsid w:val="00ED6891"/>
    <w:rsid w:val="00ED7A9D"/>
    <w:rsid w:val="00F015E4"/>
    <w:rsid w:val="00F20E60"/>
    <w:rsid w:val="00F27B58"/>
    <w:rsid w:val="00F27E43"/>
    <w:rsid w:val="00F374CE"/>
    <w:rsid w:val="00F4337E"/>
    <w:rsid w:val="00F45CB5"/>
    <w:rsid w:val="00F57F82"/>
    <w:rsid w:val="00F74AFC"/>
    <w:rsid w:val="00F75224"/>
    <w:rsid w:val="00F818EC"/>
    <w:rsid w:val="00F81A8F"/>
    <w:rsid w:val="00F91EAE"/>
    <w:rsid w:val="00FA086C"/>
    <w:rsid w:val="00FA2093"/>
    <w:rsid w:val="00FA357A"/>
    <w:rsid w:val="00FB12E3"/>
    <w:rsid w:val="00FB3BEB"/>
    <w:rsid w:val="00FC32CE"/>
    <w:rsid w:val="00FD09F8"/>
    <w:rsid w:val="00FE5173"/>
    <w:rsid w:val="00FF141C"/>
    <w:rsid w:val="00FF4ED1"/>
    <w:rsid w:val="02237D12"/>
    <w:rsid w:val="037D0BC8"/>
    <w:rsid w:val="041D4082"/>
    <w:rsid w:val="064E2339"/>
    <w:rsid w:val="06D71574"/>
    <w:rsid w:val="079E5EC0"/>
    <w:rsid w:val="07EF23B7"/>
    <w:rsid w:val="081F1718"/>
    <w:rsid w:val="0845082D"/>
    <w:rsid w:val="087E5956"/>
    <w:rsid w:val="097A6BE4"/>
    <w:rsid w:val="09E965F2"/>
    <w:rsid w:val="09F76FE8"/>
    <w:rsid w:val="0A853B80"/>
    <w:rsid w:val="0A9A48E1"/>
    <w:rsid w:val="0ABA3938"/>
    <w:rsid w:val="0CAC765C"/>
    <w:rsid w:val="0CFA58DD"/>
    <w:rsid w:val="0E423849"/>
    <w:rsid w:val="0E5A79F5"/>
    <w:rsid w:val="0EBC469B"/>
    <w:rsid w:val="0EF577A6"/>
    <w:rsid w:val="0EF85A3B"/>
    <w:rsid w:val="0FD14323"/>
    <w:rsid w:val="1006702D"/>
    <w:rsid w:val="11CD5ED8"/>
    <w:rsid w:val="127E0D17"/>
    <w:rsid w:val="12D860D2"/>
    <w:rsid w:val="139840D3"/>
    <w:rsid w:val="143E091F"/>
    <w:rsid w:val="146758C9"/>
    <w:rsid w:val="14865FC8"/>
    <w:rsid w:val="150C2DB0"/>
    <w:rsid w:val="161C2540"/>
    <w:rsid w:val="16576AC4"/>
    <w:rsid w:val="16BF3A4E"/>
    <w:rsid w:val="17AD4166"/>
    <w:rsid w:val="180126BC"/>
    <w:rsid w:val="18940C43"/>
    <w:rsid w:val="18D05C87"/>
    <w:rsid w:val="18D7672B"/>
    <w:rsid w:val="18DB6514"/>
    <w:rsid w:val="198A335B"/>
    <w:rsid w:val="1A710BD5"/>
    <w:rsid w:val="1AC13B66"/>
    <w:rsid w:val="1C9D6874"/>
    <w:rsid w:val="1CFD6D77"/>
    <w:rsid w:val="1E761F05"/>
    <w:rsid w:val="1EF95808"/>
    <w:rsid w:val="1F0164C9"/>
    <w:rsid w:val="1F6005E2"/>
    <w:rsid w:val="1F7BE1E6"/>
    <w:rsid w:val="1FC7205C"/>
    <w:rsid w:val="20281DCE"/>
    <w:rsid w:val="209F6925"/>
    <w:rsid w:val="213D2C71"/>
    <w:rsid w:val="215A2EF7"/>
    <w:rsid w:val="21ED28CB"/>
    <w:rsid w:val="22827332"/>
    <w:rsid w:val="228B3D05"/>
    <w:rsid w:val="229044FC"/>
    <w:rsid w:val="23530152"/>
    <w:rsid w:val="235D5E28"/>
    <w:rsid w:val="239F1AF9"/>
    <w:rsid w:val="23B03CD2"/>
    <w:rsid w:val="241D4B57"/>
    <w:rsid w:val="25D901E3"/>
    <w:rsid w:val="260D4BA0"/>
    <w:rsid w:val="27CF6693"/>
    <w:rsid w:val="284E74F8"/>
    <w:rsid w:val="288251D1"/>
    <w:rsid w:val="28CB533C"/>
    <w:rsid w:val="28DE5484"/>
    <w:rsid w:val="29EB46E1"/>
    <w:rsid w:val="2ADB48E8"/>
    <w:rsid w:val="2B097212"/>
    <w:rsid w:val="2C2B2710"/>
    <w:rsid w:val="2CC44B30"/>
    <w:rsid w:val="2CEC7110"/>
    <w:rsid w:val="2E647C32"/>
    <w:rsid w:val="2ECB0EE8"/>
    <w:rsid w:val="2F466D67"/>
    <w:rsid w:val="2FD578BC"/>
    <w:rsid w:val="2FEF6194"/>
    <w:rsid w:val="2FF17B89"/>
    <w:rsid w:val="30F97D11"/>
    <w:rsid w:val="31A12181"/>
    <w:rsid w:val="32CE196F"/>
    <w:rsid w:val="34636A45"/>
    <w:rsid w:val="348826AB"/>
    <w:rsid w:val="34F66698"/>
    <w:rsid w:val="36687282"/>
    <w:rsid w:val="36D908B9"/>
    <w:rsid w:val="37C07C35"/>
    <w:rsid w:val="37E63713"/>
    <w:rsid w:val="383721ED"/>
    <w:rsid w:val="38391D33"/>
    <w:rsid w:val="389763DF"/>
    <w:rsid w:val="38B43141"/>
    <w:rsid w:val="38D03A70"/>
    <w:rsid w:val="38EF7AD8"/>
    <w:rsid w:val="3B2E4670"/>
    <w:rsid w:val="3B963817"/>
    <w:rsid w:val="3BA165CC"/>
    <w:rsid w:val="3C551456"/>
    <w:rsid w:val="3D630EB9"/>
    <w:rsid w:val="3E1672E6"/>
    <w:rsid w:val="3EB9C2BB"/>
    <w:rsid w:val="3F532569"/>
    <w:rsid w:val="403A5172"/>
    <w:rsid w:val="40AE2E50"/>
    <w:rsid w:val="415F08D8"/>
    <w:rsid w:val="42943C2C"/>
    <w:rsid w:val="439E4250"/>
    <w:rsid w:val="44054343"/>
    <w:rsid w:val="44E2230F"/>
    <w:rsid w:val="46535859"/>
    <w:rsid w:val="46C16799"/>
    <w:rsid w:val="47194F06"/>
    <w:rsid w:val="48B51347"/>
    <w:rsid w:val="491B45FA"/>
    <w:rsid w:val="49A5283A"/>
    <w:rsid w:val="4A55216A"/>
    <w:rsid w:val="4B2D4C29"/>
    <w:rsid w:val="4BDE34DE"/>
    <w:rsid w:val="4C4D4EA2"/>
    <w:rsid w:val="4CAA3C15"/>
    <w:rsid w:val="4EC648F8"/>
    <w:rsid w:val="4F221E57"/>
    <w:rsid w:val="4F48637F"/>
    <w:rsid w:val="4FC82E13"/>
    <w:rsid w:val="4FE0696A"/>
    <w:rsid w:val="50500EC9"/>
    <w:rsid w:val="50AA764C"/>
    <w:rsid w:val="51056328"/>
    <w:rsid w:val="52492625"/>
    <w:rsid w:val="53DF07A2"/>
    <w:rsid w:val="546F8569"/>
    <w:rsid w:val="551C5266"/>
    <w:rsid w:val="55673508"/>
    <w:rsid w:val="559A2991"/>
    <w:rsid w:val="56E90855"/>
    <w:rsid w:val="58412DE3"/>
    <w:rsid w:val="58725109"/>
    <w:rsid w:val="58A55BC7"/>
    <w:rsid w:val="58F702C5"/>
    <w:rsid w:val="58F95D46"/>
    <w:rsid w:val="59595A6F"/>
    <w:rsid w:val="59680B4B"/>
    <w:rsid w:val="599330CA"/>
    <w:rsid w:val="59FD5688"/>
    <w:rsid w:val="5A704715"/>
    <w:rsid w:val="5A75410B"/>
    <w:rsid w:val="5A7FCB1F"/>
    <w:rsid w:val="5B3700EC"/>
    <w:rsid w:val="5C3E512C"/>
    <w:rsid w:val="5F163E7A"/>
    <w:rsid w:val="5F201922"/>
    <w:rsid w:val="5FEAF7C9"/>
    <w:rsid w:val="609B79C0"/>
    <w:rsid w:val="60D5009F"/>
    <w:rsid w:val="621E1717"/>
    <w:rsid w:val="6324062F"/>
    <w:rsid w:val="64AC2E11"/>
    <w:rsid w:val="64CF5FCA"/>
    <w:rsid w:val="652C3B7D"/>
    <w:rsid w:val="65833ACD"/>
    <w:rsid w:val="660721C9"/>
    <w:rsid w:val="661E6C75"/>
    <w:rsid w:val="66375145"/>
    <w:rsid w:val="665907E3"/>
    <w:rsid w:val="67814D0B"/>
    <w:rsid w:val="67F75FF5"/>
    <w:rsid w:val="681D4831"/>
    <w:rsid w:val="689F6D04"/>
    <w:rsid w:val="68A07289"/>
    <w:rsid w:val="692E4B19"/>
    <w:rsid w:val="69513EF7"/>
    <w:rsid w:val="698F556D"/>
    <w:rsid w:val="69BD6D96"/>
    <w:rsid w:val="6AB80C9A"/>
    <w:rsid w:val="6B1B1686"/>
    <w:rsid w:val="6BC46B8D"/>
    <w:rsid w:val="6BF3256F"/>
    <w:rsid w:val="6C2A23C2"/>
    <w:rsid w:val="6CBC4C40"/>
    <w:rsid w:val="6CE7018A"/>
    <w:rsid w:val="6CFF4328"/>
    <w:rsid w:val="6DF46797"/>
    <w:rsid w:val="6E3E3F2D"/>
    <w:rsid w:val="6F1876D7"/>
    <w:rsid w:val="6FAD74D8"/>
    <w:rsid w:val="709F50A4"/>
    <w:rsid w:val="715B2F02"/>
    <w:rsid w:val="71687B1D"/>
    <w:rsid w:val="729A070B"/>
    <w:rsid w:val="72C206C0"/>
    <w:rsid w:val="736961F3"/>
    <w:rsid w:val="73914DF9"/>
    <w:rsid w:val="73B52DC9"/>
    <w:rsid w:val="745B7100"/>
    <w:rsid w:val="754B5D05"/>
    <w:rsid w:val="763573FA"/>
    <w:rsid w:val="76A548F2"/>
    <w:rsid w:val="76C5085E"/>
    <w:rsid w:val="7765772E"/>
    <w:rsid w:val="776F5E62"/>
    <w:rsid w:val="77867685"/>
    <w:rsid w:val="780D398B"/>
    <w:rsid w:val="781F36B6"/>
    <w:rsid w:val="790627AD"/>
    <w:rsid w:val="79097CB9"/>
    <w:rsid w:val="79DC2E94"/>
    <w:rsid w:val="7A796361"/>
    <w:rsid w:val="7ADC59FA"/>
    <w:rsid w:val="7AFF2FC3"/>
    <w:rsid w:val="7B502578"/>
    <w:rsid w:val="7BF6B4C5"/>
    <w:rsid w:val="7DD57EBA"/>
    <w:rsid w:val="7DD73B89"/>
    <w:rsid w:val="7DDD794F"/>
    <w:rsid w:val="7E8C637F"/>
    <w:rsid w:val="7F8B6F65"/>
    <w:rsid w:val="7FA11016"/>
    <w:rsid w:val="7FDE47D5"/>
    <w:rsid w:val="94BFC172"/>
    <w:rsid w:val="9BFA614C"/>
    <w:rsid w:val="9DCF1665"/>
    <w:rsid w:val="BFBF52D7"/>
    <w:rsid w:val="DF6E82F1"/>
    <w:rsid w:val="F24E8983"/>
    <w:rsid w:val="F7FBEBBF"/>
    <w:rsid w:val="FDB538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qFormat/>
    <w:uiPriority w:val="0"/>
    <w:pPr>
      <w:jc w:val="left"/>
    </w:pPr>
  </w:style>
  <w:style w:type="paragraph" w:styleId="3">
    <w:name w:val="Block Text"/>
    <w:basedOn w:val="1"/>
    <w:autoRedefine/>
    <w:unhideWhenUsed/>
    <w:qFormat/>
    <w:uiPriority w:val="99"/>
    <w:pPr>
      <w:spacing w:after="120"/>
      <w:ind w:left="1440" w:leftChars="700" w:right="1440" w:rightChars="700"/>
    </w:pPr>
  </w:style>
  <w:style w:type="paragraph" w:styleId="4">
    <w:name w:val="Balloon Text"/>
    <w:basedOn w:val="1"/>
    <w:link w:val="15"/>
    <w:autoRedefine/>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autoRedefine/>
    <w:semiHidden/>
    <w:unhideWhenUsed/>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character" w:styleId="12">
    <w:name w:val="annotation reference"/>
    <w:autoRedefine/>
    <w:qFormat/>
    <w:uiPriority w:val="99"/>
    <w:rPr>
      <w:sz w:val="21"/>
      <w:szCs w:val="21"/>
    </w:rPr>
  </w:style>
  <w:style w:type="character" w:customStyle="1" w:styleId="13">
    <w:name w:val="页脚 字符"/>
    <w:basedOn w:val="10"/>
    <w:link w:val="5"/>
    <w:qFormat/>
    <w:uiPriority w:val="99"/>
    <w:rPr>
      <w:rFonts w:eastAsia="仿宋_GB2312"/>
      <w:kern w:val="2"/>
      <w:sz w:val="18"/>
      <w:szCs w:val="18"/>
    </w:rPr>
  </w:style>
  <w:style w:type="character" w:customStyle="1" w:styleId="14">
    <w:name w:val="页眉 字符"/>
    <w:basedOn w:val="10"/>
    <w:link w:val="6"/>
    <w:qFormat/>
    <w:uiPriority w:val="0"/>
    <w:rPr>
      <w:rFonts w:eastAsia="仿宋_GB2312"/>
      <w:kern w:val="2"/>
      <w:sz w:val="18"/>
      <w:szCs w:val="18"/>
    </w:rPr>
  </w:style>
  <w:style w:type="character" w:customStyle="1" w:styleId="15">
    <w:name w:val="批注框文本 字符"/>
    <w:basedOn w:val="10"/>
    <w:link w:val="4"/>
    <w:autoRedefine/>
    <w:qFormat/>
    <w:uiPriority w:val="0"/>
    <w:rPr>
      <w:rFonts w:eastAsia="仿宋_GB2312"/>
      <w:kern w:val="2"/>
      <w:sz w:val="18"/>
      <w:szCs w:val="18"/>
    </w:rPr>
  </w:style>
  <w:style w:type="paragraph" w:customStyle="1" w:styleId="16">
    <w:name w:val="修订1"/>
    <w:autoRedefine/>
    <w:hidden/>
    <w:semiHidden/>
    <w:qFormat/>
    <w:uiPriority w:val="99"/>
    <w:rPr>
      <w:rFonts w:ascii="Times New Roman" w:hAnsi="Times New Roman" w:eastAsia="仿宋_GB2312" w:cs="Times New Roman"/>
      <w:kern w:val="2"/>
      <w:sz w:val="30"/>
      <w:szCs w:val="24"/>
      <w:lang w:val="en-US" w:eastAsia="zh-CN" w:bidi="ar-SA"/>
    </w:rPr>
  </w:style>
  <w:style w:type="character" w:customStyle="1" w:styleId="17">
    <w:name w:val="批注文字 字符"/>
    <w:basedOn w:val="10"/>
    <w:link w:val="2"/>
    <w:autoRedefine/>
    <w:qFormat/>
    <w:uiPriority w:val="0"/>
    <w:rPr>
      <w:rFonts w:eastAsia="仿宋_GB2312"/>
      <w:kern w:val="2"/>
      <w:sz w:val="30"/>
      <w:szCs w:val="24"/>
    </w:rPr>
  </w:style>
  <w:style w:type="character" w:customStyle="1" w:styleId="18">
    <w:name w:val="批注主题 字符"/>
    <w:basedOn w:val="17"/>
    <w:link w:val="7"/>
    <w:autoRedefine/>
    <w:semiHidden/>
    <w:qFormat/>
    <w:uiPriority w:val="0"/>
    <w:rPr>
      <w:rFonts w:eastAsia="仿宋_GB2312"/>
      <w:b/>
      <w:bCs/>
      <w:kern w:val="2"/>
      <w:sz w:val="30"/>
      <w:szCs w:val="24"/>
    </w:rPr>
  </w:style>
  <w:style w:type="paragraph" w:customStyle="1" w:styleId="19">
    <w:name w:val="修订2"/>
    <w:autoRedefine/>
    <w:hidden/>
    <w:semiHidden/>
    <w:qFormat/>
    <w:uiPriority w:val="99"/>
    <w:rPr>
      <w:rFonts w:ascii="Times New Roman" w:hAnsi="Times New Roman" w:eastAsia="仿宋_GB2312" w:cs="Times New Roman"/>
      <w:kern w:val="2"/>
      <w:sz w:val="30"/>
      <w:szCs w:val="24"/>
      <w:lang w:val="en-US" w:eastAsia="zh-CN" w:bidi="ar-SA"/>
    </w:rPr>
  </w:style>
  <w:style w:type="character" w:customStyle="1" w:styleId="20">
    <w:name w:val="font41"/>
    <w:basedOn w:val="10"/>
    <w:qFormat/>
    <w:uiPriority w:val="0"/>
    <w:rPr>
      <w:rFonts w:hint="eastAsia" w:ascii="宋体" w:hAnsi="宋体" w:eastAsia="宋体" w:cs="宋体"/>
      <w:b/>
      <w:bCs/>
      <w:color w:val="FF0000"/>
      <w:sz w:val="20"/>
      <w:szCs w:val="20"/>
      <w:u w:val="none"/>
    </w:rPr>
  </w:style>
  <w:style w:type="paragraph" w:customStyle="1" w:styleId="21">
    <w:name w:val="修订3"/>
    <w:hidden/>
    <w:semiHidden/>
    <w:qFormat/>
    <w:uiPriority w:val="99"/>
    <w:rPr>
      <w:rFonts w:ascii="Times New Roman" w:hAnsi="Times New Roman" w:eastAsia="仿宋_GB2312" w:cs="Times New Roman"/>
      <w:kern w:val="2"/>
      <w:sz w:val="30"/>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5476</Words>
  <Characters>5885</Characters>
  <Lines>47</Lines>
  <Paragraphs>13</Paragraphs>
  <TotalTime>0</TotalTime>
  <ScaleCrop>false</ScaleCrop>
  <LinksUpToDate>false</LinksUpToDate>
  <CharactersWithSpaces>5890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2019-02-14T06:26:00Z</dcterms:created>
  <dc:creator>lhn</dc:creator>
  <cp:lastModifiedBy>蜡笔小星</cp:lastModifiedBy>
  <cp:lastPrinted>2021-02-03T12:58:00Z</cp:lastPrinted>
  <dcterms:modified xsi:type="dcterms:W3CDTF">2025-08-22T08:07:35Z</dcterms:modified>
  <dc:title>财政支出绩效评价报告</dc:title>
  <cp:revision>307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6054E9AF59B64A4EBF3EF2491B94C1FA_13</vt:lpwstr>
  </property>
  <property fmtid="{D5CDD505-2E9C-101B-9397-08002B2CF9AE}" pid="4" name="KSOTemplateDocerSaveRecord">
    <vt:lpwstr>eyJoZGlkIjoiZjQ3M2Q4NjJmZDE1MmJlZjZkYjE1ZmViNzFiOWY4OTYiLCJ1c2VySWQiOiI2NTk5OTM4OTAifQ==</vt:lpwstr>
  </property>
</Properties>
</file>