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A20CB">
      <w:pPr>
        <w:keepNext w:val="0"/>
        <w:keepLines w:val="0"/>
        <w:pageBreakBefore w:val="0"/>
        <w:widowControl w:val="0"/>
        <w:kinsoku/>
        <w:wordWrap/>
        <w:overflowPunct/>
        <w:topLinePunct w:val="0"/>
        <w:autoSpaceDE/>
        <w:autoSpaceDN/>
        <w:bidi w:val="0"/>
        <w:adjustRightInd w:val="0"/>
        <w:snapToGrid w:val="0"/>
        <w:spacing w:line="20" w:lineRule="exact"/>
        <w:jc w:val="both"/>
        <w:textAlignment w:val="auto"/>
        <w:rPr>
          <w:rFonts w:ascii="黑体" w:hAnsi="宋体" w:eastAsia="黑体" w:cs="黑体"/>
          <w:color w:val="000000"/>
          <w:sz w:val="48"/>
          <w:szCs w:val="48"/>
        </w:rPr>
      </w:pPr>
    </w:p>
    <w:p w14:paraId="17154569">
      <w:pPr>
        <w:jc w:val="center"/>
        <w:rPr>
          <w:rFonts w:ascii="华文中宋" w:hAnsi="华文中宋" w:eastAsia="华文中宋" w:cs="华文中宋"/>
          <w:bCs/>
          <w:sz w:val="36"/>
          <w:szCs w:val="44"/>
        </w:rPr>
      </w:pPr>
      <w:r>
        <w:rPr>
          <w:rFonts w:hint="eastAsia" w:ascii="华文中宋" w:hAnsi="华文中宋" w:eastAsia="华文中宋" w:cs="华文中宋"/>
          <w:bCs/>
          <w:sz w:val="36"/>
          <w:szCs w:val="44"/>
        </w:rPr>
        <w:t>202</w:t>
      </w:r>
      <w:r>
        <w:rPr>
          <w:rFonts w:hint="eastAsia" w:ascii="华文中宋" w:hAnsi="华文中宋" w:eastAsia="华文中宋" w:cs="华文中宋"/>
          <w:bCs/>
          <w:sz w:val="36"/>
          <w:szCs w:val="44"/>
          <w:lang w:val="en-US" w:eastAsia="zh-CN"/>
        </w:rPr>
        <w:t>4</w:t>
      </w:r>
      <w:r>
        <w:rPr>
          <w:rFonts w:hint="eastAsia" w:ascii="华文中宋" w:hAnsi="华文中宋" w:eastAsia="华文中宋" w:cs="华文中宋"/>
          <w:bCs/>
          <w:sz w:val="36"/>
          <w:szCs w:val="44"/>
        </w:rPr>
        <w:t>年度中央对北京公共文化服务体系建设补助资金转移支付预算执行情况绩效自评报告</w:t>
      </w:r>
    </w:p>
    <w:p w14:paraId="51403BD7"/>
    <w:p w14:paraId="51B31074">
      <w:pPr>
        <w:adjustRightInd w:val="0"/>
        <w:snapToGrid w:val="0"/>
        <w:spacing w:line="360" w:lineRule="auto"/>
        <w:ind w:firstLine="640" w:firstLineChars="200"/>
        <w:outlineLvl w:val="0"/>
        <w:rPr>
          <w:rFonts w:eastAsia="黑体"/>
          <w:bCs/>
          <w:sz w:val="32"/>
          <w:szCs w:val="32"/>
        </w:rPr>
      </w:pPr>
      <w:r>
        <w:rPr>
          <w:rFonts w:eastAsia="黑体"/>
          <w:bCs/>
          <w:sz w:val="32"/>
          <w:szCs w:val="32"/>
        </w:rPr>
        <w:t>一、</w:t>
      </w:r>
      <w:r>
        <w:rPr>
          <w:rFonts w:hint="eastAsia" w:eastAsia="黑体"/>
          <w:bCs/>
          <w:sz w:val="32"/>
          <w:szCs w:val="32"/>
        </w:rPr>
        <w:t>转移支付基本</w:t>
      </w:r>
      <w:r>
        <w:rPr>
          <w:rFonts w:eastAsia="黑体"/>
          <w:bCs/>
          <w:sz w:val="32"/>
          <w:szCs w:val="32"/>
        </w:rPr>
        <w:t>情况</w:t>
      </w:r>
    </w:p>
    <w:p w14:paraId="6668BBCC">
      <w:pPr>
        <w:adjustRightInd w:val="0"/>
        <w:snapToGrid w:val="0"/>
        <w:spacing w:line="360" w:lineRule="auto"/>
        <w:ind w:firstLine="640" w:firstLineChars="200"/>
        <w:outlineLvl w:val="1"/>
        <w:rPr>
          <w:rFonts w:eastAsia="楷体_GB2312"/>
          <w:sz w:val="32"/>
          <w:szCs w:val="32"/>
        </w:rPr>
      </w:pPr>
      <w:r>
        <w:rPr>
          <w:rFonts w:eastAsia="楷体_GB2312"/>
          <w:sz w:val="32"/>
          <w:szCs w:val="32"/>
        </w:rPr>
        <w:t>（一）</w:t>
      </w:r>
      <w:r>
        <w:rPr>
          <w:rFonts w:hint="eastAsia" w:eastAsia="楷体_GB2312"/>
          <w:sz w:val="32"/>
          <w:szCs w:val="32"/>
        </w:rPr>
        <w:t>地方公共文化服务体系建设补助资金转移支付概况</w:t>
      </w:r>
    </w:p>
    <w:p w14:paraId="49DC1C40">
      <w:pPr>
        <w:adjustRightInd w:val="0"/>
        <w:snapToGrid w:val="0"/>
        <w:spacing w:line="360" w:lineRule="auto"/>
        <w:ind w:firstLine="640" w:firstLineChars="200"/>
        <w:rPr>
          <w:rFonts w:hint="eastAsia" w:ascii="仿宋_GB2312" w:hAnsi="仿宋_GB2312" w:eastAsia="仿宋_GB2312" w:cs="仿宋_GB2312"/>
          <w:sz w:val="32"/>
          <w:szCs w:val="32"/>
          <w:lang w:eastAsia="zh-CN"/>
        </w:rPr>
      </w:pPr>
      <w:r>
        <w:rPr>
          <w:rFonts w:hint="eastAsia" w:ascii="仿宋_GB2312" w:hAnsi="仿宋_GB2312" w:cs="仿宋_GB2312"/>
          <w:sz w:val="32"/>
          <w:szCs w:val="32"/>
          <w:lang w:eastAsia="zh-CN"/>
        </w:rPr>
        <w:t>2024年，中央补助资金下达市文化和旅游局预算共2944.000000万元，其中中央补助北京市濒危剧种公益性演出项目50.000000万元，首都图书馆图书购置项目1800.000000万元，首都图书馆购置数字资源项目300.000000万元，全国智慧图书馆体系建设项目245.000000万元，公共文化云建设项目549.000000万元。</w:t>
      </w:r>
    </w:p>
    <w:p w14:paraId="56D01434">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中央下达我局202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年中央支持地方公共文化服务体系建</w:t>
      </w:r>
    </w:p>
    <w:p w14:paraId="15A15BCD">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1.中央补助北京市濒危剧种公益性演出项目</w:t>
      </w:r>
    </w:p>
    <w:p w14:paraId="029E8A7A">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为贯彻落实关于剧种保护的相关指示精神和国务院办公厅《关于支持戏曲传承发展的若干政策》（国办发〔2015〕52号），进一步加强北京曲剧的传承力度，切实改善北京曲剧的生存发展状况，使北京曲剧剧种有人演、有人传、有人看，2024年计划完成100场公益性演出（免费或低票价演出），演出剧目选择观众喜闻乐见的北京曲剧传统剧目。通过这一项目实施，推广北京曲剧的受众群体，锻炼曲剧人的艺术造诣，展示北京曲剧的独特魅力。</w:t>
      </w:r>
    </w:p>
    <w:p w14:paraId="0ACEF052">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2.首都图书馆图书购置项目</w:t>
      </w:r>
    </w:p>
    <w:p w14:paraId="7BAB4DF6">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购置中外文图书、古籍、报刊、视听资料和地方文献，扩充图书馆馆藏，维护馆藏的全面性、系统性、连续性和可持续性，为图书馆开展服务提供文献保障，满足读者多样化的阅读需求，吸引读者走进图书馆、利用图书馆。</w:t>
      </w:r>
    </w:p>
    <w:p w14:paraId="4F6FF361">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3.首都图书馆购置数字资源项目</w:t>
      </w:r>
    </w:p>
    <w:p w14:paraId="6F6ED072">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支付首都图书馆数字资源购置项目2023年阶段款尾款；2024年采购电子期刊、电子报纸、电子图书、多媒体、少儿资源、考试资源、进口资源、古籍、移动资源等34种数字资源，并完成首付款支付工作。</w:t>
      </w:r>
    </w:p>
    <w:p w14:paraId="56F2EA18">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4.全国智慧图书馆体系建设项目</w:t>
      </w:r>
    </w:p>
    <w:p w14:paraId="4FE9CFB5">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北京市智慧图书馆体系建设通过完成基础数字资源建设7万筒子叶，进一步丰富古籍数字化资源。</w:t>
      </w:r>
    </w:p>
    <w:p w14:paraId="48C69D66">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5.公共文化云建设项目</w:t>
      </w:r>
    </w:p>
    <w:p w14:paraId="2A968404">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开展全民艺术普及相关直录播25场次;开展区域和地方性群众文化活动5场;开展学才艺课程建设80门课(每门课不少于6个章节);采集场馆及其活动信息5000条;开展北京数字文化馆赶大集专区建设1个;建设或优化艺术普及数字资源时长7小时，进一步加强首都公共数字文化建设，提升全民艺术普及数字化服务水平。</w:t>
      </w:r>
    </w:p>
    <w:p w14:paraId="293251E4">
      <w:pPr>
        <w:adjustRightInd w:val="0"/>
        <w:snapToGrid w:val="0"/>
        <w:spacing w:line="360" w:lineRule="auto"/>
        <w:ind w:firstLine="640" w:firstLineChars="200"/>
        <w:outlineLvl w:val="1"/>
        <w:rPr>
          <w:rFonts w:hint="default" w:eastAsia="楷体_GB2312"/>
          <w:color w:val="auto"/>
          <w:sz w:val="32"/>
          <w:szCs w:val="32"/>
          <w:lang w:val="en-US" w:eastAsia="zh-CN"/>
        </w:rPr>
      </w:pPr>
      <w:bookmarkStart w:id="0" w:name="_Toc8120"/>
      <w:bookmarkStart w:id="1" w:name="_Toc19881"/>
      <w:r>
        <w:rPr>
          <w:rFonts w:eastAsia="楷体_GB2312"/>
          <w:color w:val="auto"/>
          <w:sz w:val="32"/>
          <w:szCs w:val="32"/>
        </w:rPr>
        <w:t>（二）</w:t>
      </w:r>
      <w:bookmarkEnd w:id="0"/>
      <w:bookmarkEnd w:id="1"/>
      <w:r>
        <w:rPr>
          <w:rFonts w:hint="eastAsia" w:eastAsia="楷体_GB2312"/>
          <w:color w:val="auto"/>
          <w:sz w:val="32"/>
          <w:szCs w:val="32"/>
          <w:lang w:val="en-US" w:eastAsia="zh-CN"/>
        </w:rPr>
        <w:t>资金投入情况分析</w:t>
      </w:r>
    </w:p>
    <w:p w14:paraId="4437B1F5">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1.资金投入情况</w:t>
      </w:r>
    </w:p>
    <w:p w14:paraId="4BE24695">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2024年，公共文化服务体系建设项目共投入资金3741.772900万元，其中：中央补助资金2944.000000万元，占投入总资金的78.68%；地方投入资金797.772900万元，占投入总资金的21.32%。截至2024年底，实际支出3538.035600万元，执行率94.56%，其中：中央转移支付资金支出2745.265200万元，执行率93.25%；地方资金支出792.770400万元，执行率99.37%。</w:t>
      </w:r>
    </w:p>
    <w:p w14:paraId="7E451191">
      <w:pPr>
        <w:adjustRightInd w:val="0"/>
        <w:snapToGrid w:val="0"/>
        <w:spacing w:line="360" w:lineRule="auto"/>
        <w:ind w:firstLine="640" w:firstLineChars="200"/>
        <w:rPr>
          <w:color w:val="auto"/>
        </w:rPr>
      </w:pPr>
      <w:r>
        <w:rPr>
          <w:rFonts w:hint="eastAsia" w:ascii="仿宋_GB2312" w:hAnsi="仿宋_GB2312" w:cs="仿宋_GB2312"/>
          <w:color w:val="auto"/>
          <w:sz w:val="32"/>
          <w:szCs w:val="32"/>
        </w:rPr>
        <w:t>2.资金执行情况</w:t>
      </w:r>
    </w:p>
    <w:p w14:paraId="3F9E5F6D">
      <w:pPr>
        <w:adjustRightInd w:val="0"/>
        <w:snapToGrid w:val="0"/>
        <w:spacing w:line="360" w:lineRule="auto"/>
        <w:ind w:firstLine="640" w:firstLineChars="200"/>
        <w:rPr>
          <w:rFonts w:hint="eastAsia" w:ascii="仿宋_GB2312" w:hAnsi="仿宋_GB2312" w:cs="仿宋_GB2312"/>
          <w:color w:val="auto"/>
          <w:sz w:val="32"/>
          <w:szCs w:val="32"/>
        </w:rPr>
      </w:pPr>
      <w:bookmarkStart w:id="2" w:name="_Toc32187"/>
      <w:bookmarkStart w:id="3" w:name="_Toc26241"/>
      <w:r>
        <w:rPr>
          <w:rFonts w:hint="eastAsia" w:ascii="仿宋_GB2312" w:hAnsi="仿宋_GB2312" w:cs="仿宋_GB2312"/>
          <w:color w:val="auto"/>
          <w:sz w:val="32"/>
          <w:szCs w:val="32"/>
        </w:rPr>
        <w:t>（1）中央补助北京市濒危剧种公益性演出项目共投入资金50.000000万元，实际支出50.000000万元，全部为中央财政资金，执行率100.00%。</w:t>
      </w:r>
    </w:p>
    <w:p w14:paraId="39BF9CA2">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首都图书馆图书购置项目共投入资金1827.000800万元，实际支出1825.845000万元，执行率99.94%，其中：中央转移支付资金1800.000000万元，支出1798.844200万元，执行率99.94%；地方资金27.000800万元，支出27.000800万元，执行率100.00%。</w:t>
      </w:r>
    </w:p>
    <w:p w14:paraId="06E8C9FF">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3）首都图书馆购置数字资源项目共投入资金1061.972100万元，实际支出1056.969600万元，执行率99.53%，其中：中央转移支付资金300.000000万元，支出300.000000万元，执行率100.00%；地方资金761.972100万元，支出756.969600万元，执行率99.34%。</w:t>
      </w:r>
    </w:p>
    <w:p w14:paraId="2B99F8A1">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4）全国智慧图书馆体系建设项目共投入资金245.000000万元，实际支出193.840000万元，全部为中央财政资金，执行率79.12%，剩余资金中招标结余11.400000万元，39.760000万元为首都图书馆合同尾款，待国家古籍保护中心验收通过后</w:t>
      </w:r>
      <w:r>
        <w:rPr>
          <w:rFonts w:hint="eastAsia" w:ascii="仿宋_GB2312" w:hAnsi="仿宋_GB2312" w:cs="仿宋_GB2312"/>
          <w:color w:val="auto"/>
          <w:sz w:val="32"/>
          <w:szCs w:val="32"/>
          <w:lang w:val="en-US" w:eastAsia="zh-CN"/>
        </w:rPr>
        <w:t>支付尾款</w:t>
      </w:r>
      <w:r>
        <w:rPr>
          <w:rFonts w:hint="eastAsia" w:ascii="仿宋_GB2312" w:hAnsi="仿宋_GB2312" w:cs="仿宋_GB2312"/>
          <w:color w:val="auto"/>
          <w:sz w:val="32"/>
          <w:szCs w:val="32"/>
        </w:rPr>
        <w:t>。</w:t>
      </w:r>
    </w:p>
    <w:p w14:paraId="4CE40CC8">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5）公共文化云建设项目共投入资金557.800000万元，支出411.381000万元，执行率73.75%，剩余资金中130.479000万元为北京市文化馆合同尾款，待文旅部验收后支付；4.740000万元为招标结余；11.200000万元为房山区文化活动中心暂未到位资金。其中：中央转移支付资金549.000000万元，支出402.581000万元，执行率73.33%；地方资金8.800000万元，支出8.800000万元，执行率100.00%。</w:t>
      </w:r>
    </w:p>
    <w:p w14:paraId="59CBFA28">
      <w:pPr>
        <w:adjustRightInd w:val="0"/>
        <w:snapToGrid w:val="0"/>
        <w:spacing w:line="360" w:lineRule="auto"/>
        <w:ind w:firstLine="640" w:firstLineChars="200"/>
        <w:outlineLvl w:val="1"/>
        <w:rPr>
          <w:rFonts w:ascii="楷体_GB2312" w:hAnsi="楷体_GB2312" w:eastAsia="楷体_GB2312" w:cs="楷体_GB2312"/>
          <w:color w:val="auto"/>
          <w:sz w:val="32"/>
          <w:szCs w:val="32"/>
        </w:rPr>
      </w:pPr>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三</w:t>
      </w:r>
      <w:r>
        <w:rPr>
          <w:rFonts w:hint="eastAsia" w:ascii="楷体_GB2312" w:hAnsi="楷体_GB2312" w:eastAsia="楷体_GB2312" w:cs="楷体_GB2312"/>
          <w:color w:val="auto"/>
          <w:sz w:val="32"/>
          <w:szCs w:val="32"/>
        </w:rPr>
        <w:t>）资金管理情况分析</w:t>
      </w:r>
      <w:bookmarkEnd w:id="2"/>
      <w:bookmarkEnd w:id="3"/>
    </w:p>
    <w:p w14:paraId="3DB90883">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制度建设方面，按照《中央补助地方公共文化服务体系建设专项资金管理办法》（财教〔2015〕527号）要求，该专项涉及的各层级单位制定了相关管理办法，具体情况如下：</w:t>
      </w:r>
    </w:p>
    <w:p w14:paraId="7E886C6B">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一是市级主管部门层面，在业务管理方面，</w:t>
      </w:r>
      <w:r>
        <w:rPr>
          <w:rFonts w:hint="eastAsia" w:ascii="仿宋_GB2312" w:hAnsi="仿宋_GB2312" w:cs="仿宋_GB2312"/>
          <w:color w:val="auto"/>
          <w:sz w:val="32"/>
          <w:szCs w:val="32"/>
          <w:lang w:eastAsia="zh-CN"/>
        </w:rPr>
        <w:t>市文化和旅游局</w:t>
      </w:r>
      <w:r>
        <w:rPr>
          <w:rFonts w:hint="eastAsia" w:ascii="仿宋_GB2312" w:hAnsi="仿宋_GB2312" w:cs="仿宋_GB2312"/>
          <w:color w:val="auto"/>
          <w:sz w:val="32"/>
          <w:szCs w:val="32"/>
        </w:rPr>
        <w:t>牵头制定了《2024年北京市濒危剧种公益性演出项目实施方案》，明确了扶持剧种范围、实施计划、项目管理等内容；制定了《首都图书馆图书购置实施方案》，明确了图书购置的数量、质量和验收标准；制定了《首都图书馆购置数字资源实施方案》，明确了购置数字资源的时间进度、组织机构保障、人员保障、技术保障等内容；制定了《北京市2024年全国智慧图书馆体系建设项目资源建设方案》，明确了项目建设内容及工作方向、工作机制及工作要求、任务指标及经费测算、建设任务及任务分解、建设要求及标准、项目验收及提交测算等内容；制定了《2024年公共文化云建设方案》，明确了项目建设目标、建设标准、成果提交等内容。在财务管理方面，为保证资金安全、有效使用，</w:t>
      </w:r>
      <w:r>
        <w:rPr>
          <w:rFonts w:hint="eastAsia" w:ascii="仿宋_GB2312" w:hAnsi="仿宋_GB2312" w:cs="仿宋_GB2312"/>
          <w:color w:val="auto"/>
          <w:sz w:val="32"/>
          <w:szCs w:val="32"/>
          <w:lang w:eastAsia="zh-CN"/>
        </w:rPr>
        <w:t>市文化和旅游局</w:t>
      </w:r>
      <w:r>
        <w:rPr>
          <w:rFonts w:hint="eastAsia" w:ascii="仿宋_GB2312" w:hAnsi="仿宋_GB2312" w:cs="仿宋_GB2312"/>
          <w:color w:val="auto"/>
          <w:sz w:val="32"/>
          <w:szCs w:val="32"/>
        </w:rPr>
        <w:t>严格按照《北京市文化和旅游局财务管理办法（试行）》《北京市文化和旅游局资金支出管理办法（试行）》等制度使用、管理项目资金，并严格按规定在收到资金后的30日内将资金逐级拨付至实施单位。</w:t>
      </w:r>
    </w:p>
    <w:p w14:paraId="52B4351D">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二是各实施单位层面，各子项目涉及的各层级实施单位均制定了相关业务、财务管理制度，为项目规范有效实施提供了制度保障。如北京市曲剧团严格按照《北京市曲剧团有限责任公司财务预算管理办法》《北京市曲剧团有限责任公司过渡期合同审核财务报销审批管理办法》等制度核算和使用补助资金。首都图书馆制定了《首都图书馆财务管理办法》、《首都图书馆合同管理办法》（首图内发〔2020〕30号附件）等管理办法，对首都图书馆的日常财务管理、合同管理、项目经费使用和监管等内容进行了明确规定，规范了该项目的预算编制、预算执行和监管。此外，首都图书馆还制定了《首都图书馆馆藏发展政策》《首都图书馆文献资产管理办法》《首都图书馆中文图书采访条例》《首都图书馆少儿图书采访条例》《北京地方文献采访工作条例》《首都图书馆中外文报刊入藏标准及范围》《首都图书馆数字资源采访条例》《首都图书馆外购数据库验收流程》等业务管理办法，进一步明确了各类图书文献资产及数字资源的入藏要求、采选范围等内容。北京市文化馆制定了《北京市文化馆内部控制规范手册》《北京市文化馆内部控制制度汇编》等制度，对北京市文化馆的日常财务管理、采购管理、合同管理、项目经费使用和监管等内容进行了明确规定，规范了该项目的预算编制、预算执行和监管。西城区图书馆为保证资金安全、有效使用，对“古籍文献专题数据库建设项目经费”严格执行“三重一大”决策制度，同时遵守《北京市西城区图书馆财务管理暂行办法》管理办法。通州区文化馆完善制定了《北京市通州区文化馆财务管理制度》、《北京市通州区文化馆财务内控制度》等相关制度，健全馆内资金管理制度，并严格落实。</w:t>
      </w:r>
    </w:p>
    <w:p w14:paraId="66667745">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监管措施制定和落实方面，在健全各层级制度体系的基础上，</w:t>
      </w:r>
      <w:r>
        <w:rPr>
          <w:rFonts w:hint="eastAsia" w:ascii="仿宋_GB2312" w:hAnsi="仿宋_GB2312" w:cs="仿宋_GB2312"/>
          <w:color w:val="auto"/>
          <w:sz w:val="32"/>
          <w:szCs w:val="32"/>
          <w:lang w:eastAsia="zh-CN"/>
        </w:rPr>
        <w:t>市文化和旅游局</w:t>
      </w:r>
      <w:r>
        <w:rPr>
          <w:rFonts w:hint="eastAsia" w:ascii="仿宋_GB2312" w:hAnsi="仿宋_GB2312" w:cs="仿宋_GB2312"/>
          <w:color w:val="auto"/>
          <w:sz w:val="32"/>
          <w:szCs w:val="32"/>
        </w:rPr>
        <w:t>对转移支付资金的使用建立了监管机制，包括建立绩效管理制度、确定绩效目标、对项目执行过程进行跟踪监管等。项目结束后，</w:t>
      </w:r>
      <w:r>
        <w:rPr>
          <w:rFonts w:hint="eastAsia" w:ascii="仿宋_GB2312" w:hAnsi="仿宋_GB2312" w:cs="仿宋_GB2312"/>
          <w:color w:val="auto"/>
          <w:sz w:val="32"/>
          <w:szCs w:val="32"/>
          <w:lang w:eastAsia="zh-CN"/>
        </w:rPr>
        <w:t>市文化和旅游局</w:t>
      </w:r>
      <w:r>
        <w:rPr>
          <w:rFonts w:hint="eastAsia" w:ascii="仿宋_GB2312" w:hAnsi="仿宋_GB2312" w:cs="仿宋_GB2312"/>
          <w:color w:val="auto"/>
          <w:sz w:val="32"/>
          <w:szCs w:val="32"/>
        </w:rPr>
        <w:t>要求各层级实施单位对年度工作完成情况和资金使用情况进行总结，全面分析绩效目标完成情况和资金使用效益。</w:t>
      </w:r>
    </w:p>
    <w:p w14:paraId="582C46C8">
      <w:pPr>
        <w:pStyle w:val="7"/>
        <w:adjustRightInd w:val="0"/>
        <w:snapToGrid w:val="0"/>
        <w:spacing w:line="360" w:lineRule="auto"/>
        <w:ind w:left="0" w:firstLine="640" w:firstLineChars="200"/>
        <w:contextualSpacing w:val="0"/>
        <w:outlineLvl w:val="0"/>
        <w:rPr>
          <w:rFonts w:ascii="黑体" w:hAnsi="黑体" w:eastAsia="黑体" w:cs="黑体"/>
          <w:color w:val="auto"/>
          <w:sz w:val="32"/>
          <w:szCs w:val="32"/>
        </w:rPr>
      </w:pPr>
      <w:r>
        <w:rPr>
          <w:rFonts w:hint="eastAsia" w:ascii="黑体" w:hAnsi="黑体" w:eastAsia="黑体" w:cs="黑体"/>
          <w:color w:val="auto"/>
          <w:sz w:val="32"/>
          <w:szCs w:val="32"/>
        </w:rPr>
        <w:t>二、绩效目标实现情况</w:t>
      </w:r>
    </w:p>
    <w:p w14:paraId="56C7CB0A">
      <w:pPr>
        <w:adjustRightInd w:val="0"/>
        <w:snapToGrid w:val="0"/>
        <w:spacing w:line="360" w:lineRule="auto"/>
        <w:ind w:firstLine="640" w:firstLineChars="200"/>
        <w:outlineLvl w:val="1"/>
        <w:rPr>
          <w:color w:val="auto"/>
        </w:rPr>
      </w:pPr>
      <w:r>
        <w:rPr>
          <w:rFonts w:hint="eastAsia" w:ascii="楷体_GB2312" w:hAnsi="楷体_GB2312" w:eastAsia="楷体_GB2312" w:cs="楷体_GB2312"/>
          <w:color w:val="auto"/>
          <w:sz w:val="32"/>
          <w:szCs w:val="32"/>
        </w:rPr>
        <w:t>（一）总体绩效目标完成情况分析</w:t>
      </w:r>
    </w:p>
    <w:p w14:paraId="28582064">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年，我市完成中央下达绩效目标情况如下：</w:t>
      </w:r>
    </w:p>
    <w:p w14:paraId="23F0C705">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1.中央补助北京市濒危剧种公益性演出项目</w:t>
      </w:r>
    </w:p>
    <w:p w14:paraId="670FDF42">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共计完成演出100场，其中公益演出19场，低票价演出81场；经典传统剧目占比81%，新创剧目占比19%。演出剧目包括《茶馆》《黄叶红楼》《龙须沟》《少年天子》《骆驼祥子》《四世同堂》《烟壶》《正红旗下》等北京曲剧传统剧目，受到观众广泛欢迎。演出剧目惠及东城、西城、朝阳、海淀、通州、昌平、大兴、怀柔8个区，惠及观众30663人次，平均上座率85%，圆满完成年度演出计划。</w:t>
      </w:r>
    </w:p>
    <w:p w14:paraId="66F4DC03">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2.首都图书馆图书购置项目</w:t>
      </w:r>
    </w:p>
    <w:p w14:paraId="5AA954A7">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购置各类文献25.4666万册件，馆藏文献数量得到了扩充，达成了进一步维护馆藏的全面性、系统性、连续性和可持续性，为图书馆开展服务提供文献保障，满足读者多样化阅读需求，吸引读者走进图书馆、利用图书馆的目标。</w:t>
      </w:r>
    </w:p>
    <w:p w14:paraId="2D216449">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3.首都图书馆购置数字资源项目</w:t>
      </w:r>
    </w:p>
    <w:p w14:paraId="75110149">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实际完成31包、共含34个数据库的招标采购，并于10月完成全部数据库的合同签订及首款支付工作，12月完成了2023年首都图书馆数字资源购置项目全部阶段款及尾款支付工作。</w:t>
      </w:r>
    </w:p>
    <w:p w14:paraId="286B3346">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4.全国智慧图书馆体系建设项目</w:t>
      </w:r>
    </w:p>
    <w:p w14:paraId="339AD1AF">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完成了基础数字资源建设71840筒子叶，进一步丰富了古籍数字化资源。其中：首都图书馆完成加工了馆藏古籍67种，1148册，60069筒子叶，所有元数据均已上交至国家图书馆资源联合建设中心；西城区图书馆加工馆藏古籍14种，128册，11771筒子叶，古籍数字化和知识标引数据错误率综合为0.75‰，符合本次项目建设的质量要求。</w:t>
      </w:r>
    </w:p>
    <w:p w14:paraId="556AE477">
      <w:pPr>
        <w:adjustRightInd w:val="0"/>
        <w:snapToGrid w:val="0"/>
        <w:spacing w:line="360" w:lineRule="auto"/>
        <w:ind w:firstLine="640" w:firstLineChars="200"/>
        <w:rPr>
          <w:rFonts w:hint="eastAsia" w:ascii="仿宋_GB2312" w:hAnsi="仿宋_GB2312" w:cs="仿宋_GB2312"/>
          <w:color w:val="auto"/>
          <w:sz w:val="32"/>
          <w:szCs w:val="32"/>
        </w:rPr>
      </w:pPr>
      <w:r>
        <w:rPr>
          <w:rFonts w:hint="eastAsia" w:ascii="仿宋_GB2312" w:hAnsi="仿宋_GB2312" w:cs="仿宋_GB2312"/>
          <w:color w:val="auto"/>
          <w:sz w:val="32"/>
          <w:szCs w:val="32"/>
        </w:rPr>
        <w:t>5.公共文化云建设项目</w:t>
      </w:r>
    </w:p>
    <w:p w14:paraId="63B43E64">
      <w:pPr>
        <w:adjustRightInd w:val="0"/>
        <w:snapToGrid w:val="0"/>
        <w:spacing w:line="360" w:lineRule="auto"/>
        <w:ind w:firstLine="640" w:firstLineChars="200"/>
        <w:rPr>
          <w:rFonts w:hint="eastAsia" w:ascii="楷体_GB2312" w:hAnsi="楷体_GB2312" w:eastAsia="楷体_GB2312" w:cs="楷体_GB2312"/>
          <w:color w:val="0000FF"/>
          <w:sz w:val="32"/>
          <w:szCs w:val="32"/>
        </w:rPr>
      </w:pPr>
      <w:r>
        <w:rPr>
          <w:rFonts w:hint="eastAsia" w:ascii="仿宋_GB2312" w:hAnsi="仿宋_GB2312" w:cs="仿宋_GB2312"/>
          <w:color w:val="auto"/>
          <w:sz w:val="32"/>
          <w:szCs w:val="32"/>
        </w:rPr>
        <w:t>全市开展了全民艺术普及相关直录播25场次;开展了区域和地方性群众文化活动5场;开展了学才艺课程建设80门课(每门课不少于6个章节);采集了场馆及其活动信息5223条;开展了北京数字文化馆赶大集专区建设1个;优化加工艺术普及数字资源时长7小时18分32秒，进一步加强了首都公共数字文化建设，提升了全民艺术普及数字化服务水平。</w:t>
      </w:r>
    </w:p>
    <w:p w14:paraId="19430D14">
      <w:pPr>
        <w:adjustRightInd w:val="0"/>
        <w:snapToGrid w:val="0"/>
        <w:spacing w:line="360" w:lineRule="auto"/>
        <w:ind w:firstLine="640" w:firstLineChars="200"/>
        <w:outlineLvl w:val="1"/>
        <w:rPr>
          <w:rFonts w:ascii="楷体_GB2312" w:hAnsi="楷体_GB2312" w:eastAsia="楷体_GB2312" w:cs="楷体_GB2312"/>
          <w:color w:val="auto"/>
          <w:sz w:val="32"/>
          <w:szCs w:val="32"/>
          <w:highlight w:val="yellow"/>
        </w:rPr>
      </w:pPr>
      <w:bookmarkStart w:id="4" w:name="_Toc8901"/>
      <w:bookmarkStart w:id="5" w:name="_Toc30986"/>
      <w:r>
        <w:rPr>
          <w:rFonts w:hint="eastAsia" w:ascii="楷体_GB2312" w:hAnsi="楷体_GB2312" w:eastAsia="楷体_GB2312" w:cs="楷体_GB2312"/>
          <w:color w:val="auto"/>
          <w:sz w:val="32"/>
          <w:szCs w:val="32"/>
        </w:rPr>
        <w:t>（</w:t>
      </w:r>
      <w:r>
        <w:rPr>
          <w:rFonts w:hint="eastAsia" w:ascii="楷体_GB2312" w:hAnsi="楷体_GB2312" w:eastAsia="楷体_GB2312" w:cs="楷体_GB2312"/>
          <w:color w:val="auto"/>
          <w:sz w:val="32"/>
          <w:szCs w:val="32"/>
          <w:lang w:val="en-US" w:eastAsia="zh-CN"/>
        </w:rPr>
        <w:t>二</w:t>
      </w:r>
      <w:r>
        <w:rPr>
          <w:rFonts w:hint="eastAsia" w:ascii="楷体_GB2312" w:hAnsi="楷体_GB2312" w:eastAsia="楷体_GB2312" w:cs="楷体_GB2312"/>
          <w:color w:val="auto"/>
          <w:sz w:val="32"/>
          <w:szCs w:val="32"/>
        </w:rPr>
        <w:t>）绩效指标完成情况分析</w:t>
      </w:r>
      <w:bookmarkEnd w:id="4"/>
      <w:bookmarkEnd w:id="5"/>
    </w:p>
    <w:p w14:paraId="73824C65">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年，我局较好完成本专项各项目的绩效指标。各项指标完成情况如下：</w:t>
      </w:r>
    </w:p>
    <w:p w14:paraId="7E424579">
      <w:pPr>
        <w:adjustRightInd w:val="0"/>
        <w:snapToGrid w:val="0"/>
        <w:spacing w:line="360" w:lineRule="auto"/>
        <w:ind w:firstLine="640" w:firstLineChars="200"/>
        <w:rPr>
          <w:rFonts w:hint="eastAsia" w:ascii="仿宋_GB2312" w:hAnsi="仿宋_GB2312" w:cs="仿宋_GB2312"/>
          <w:bCs/>
          <w:color w:val="auto"/>
          <w:sz w:val="32"/>
          <w:szCs w:val="32"/>
        </w:rPr>
      </w:pPr>
      <w:r>
        <w:rPr>
          <w:rFonts w:hint="eastAsia" w:ascii="仿宋_GB2312" w:hAnsi="仿宋_GB2312" w:cs="仿宋_GB2312"/>
          <w:bCs/>
          <w:color w:val="auto"/>
          <w:sz w:val="32"/>
          <w:szCs w:val="32"/>
        </w:rPr>
        <w:t>1.中央补助北京市濒危剧种公益性演出项目</w:t>
      </w:r>
    </w:p>
    <w:p w14:paraId="4E715EDF">
      <w:pPr>
        <w:adjustRightInd w:val="0"/>
        <w:snapToGrid w:val="0"/>
        <w:spacing w:line="360" w:lineRule="auto"/>
        <w:ind w:firstLine="640" w:firstLineChars="200"/>
        <w:rPr>
          <w:rFonts w:ascii="黑体" w:hAnsi="黑体" w:eastAsia="黑体" w:cs="黑体"/>
          <w:color w:val="auto"/>
          <w:sz w:val="28"/>
          <w:szCs w:val="28"/>
        </w:rPr>
      </w:pP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年，该项目各项指标均达到计划标准。</w:t>
      </w:r>
      <w:r>
        <w:rPr>
          <w:rFonts w:hint="eastAsia" w:ascii="仿宋_GB2312" w:hAnsi="仿宋_GB2312" w:cs="仿宋_GB2312"/>
          <w:bCs/>
          <w:color w:val="auto"/>
          <w:sz w:val="32"/>
          <w:szCs w:val="32"/>
        </w:rPr>
        <w:t xml:space="preserve">各项指标完成情况详见下表： </w:t>
      </w:r>
    </w:p>
    <w:p w14:paraId="74EA3789">
      <w:pPr>
        <w:adjustRightInd w:val="0"/>
        <w:snapToGrid w:val="0"/>
        <w:spacing w:line="360" w:lineRule="auto"/>
        <w:jc w:val="center"/>
        <w:rPr>
          <w:rFonts w:hint="eastAsia" w:ascii="黑体" w:hAnsi="黑体" w:eastAsia="黑体" w:cs="黑体"/>
          <w:color w:val="auto"/>
          <w:sz w:val="28"/>
          <w:szCs w:val="28"/>
        </w:rPr>
      </w:pPr>
      <w:r>
        <w:rPr>
          <w:rFonts w:hint="eastAsia" w:ascii="黑体" w:hAnsi="黑体" w:eastAsia="黑体" w:cs="黑体"/>
          <w:color w:val="auto"/>
          <w:sz w:val="28"/>
          <w:szCs w:val="28"/>
        </w:rPr>
        <w:t>表</w:t>
      </w:r>
      <w:r>
        <w:rPr>
          <w:rFonts w:hint="eastAsia" w:ascii="黑体" w:hAnsi="黑体" w:eastAsia="黑体" w:cs="黑体"/>
          <w:color w:val="auto"/>
          <w:sz w:val="28"/>
          <w:szCs w:val="28"/>
          <w:lang w:val="en-US" w:eastAsia="zh-CN"/>
        </w:rPr>
        <w:t>1</w:t>
      </w:r>
      <w:r>
        <w:rPr>
          <w:rFonts w:hint="eastAsia" w:ascii="黑体" w:hAnsi="黑体" w:eastAsia="黑体" w:cs="黑体"/>
          <w:color w:val="auto"/>
          <w:sz w:val="28"/>
          <w:szCs w:val="28"/>
        </w:rPr>
        <w:t>：中央补助北京市濒危剧种公益性演出项目</w:t>
      </w:r>
    </w:p>
    <w:p w14:paraId="5454B0D1">
      <w:pPr>
        <w:adjustRightInd w:val="0"/>
        <w:snapToGrid w:val="0"/>
        <w:spacing w:line="360" w:lineRule="auto"/>
        <w:jc w:val="center"/>
        <w:rPr>
          <w:rFonts w:hint="eastAsia" w:ascii="黑体" w:hAnsi="黑体" w:eastAsia="黑体" w:cs="黑体"/>
          <w:color w:val="auto"/>
          <w:sz w:val="28"/>
          <w:szCs w:val="28"/>
        </w:rPr>
      </w:pPr>
      <w:r>
        <w:rPr>
          <w:rFonts w:hint="eastAsia" w:ascii="黑体" w:hAnsi="黑体" w:eastAsia="黑体" w:cs="黑体"/>
          <w:color w:val="auto"/>
          <w:sz w:val="28"/>
          <w:szCs w:val="28"/>
        </w:rPr>
        <w:t>202</w:t>
      </w:r>
      <w:r>
        <w:rPr>
          <w:rFonts w:hint="eastAsia" w:ascii="黑体" w:hAnsi="黑体" w:eastAsia="黑体" w:cs="黑体"/>
          <w:color w:val="auto"/>
          <w:sz w:val="28"/>
          <w:szCs w:val="28"/>
          <w:lang w:val="en-US" w:eastAsia="zh-CN"/>
        </w:rPr>
        <w:t>4</w:t>
      </w:r>
      <w:r>
        <w:rPr>
          <w:rFonts w:hint="eastAsia" w:ascii="黑体" w:hAnsi="黑体" w:eastAsia="黑体" w:cs="黑体"/>
          <w:color w:val="auto"/>
          <w:sz w:val="28"/>
          <w:szCs w:val="28"/>
        </w:rPr>
        <w:t>年度绩效指完成情况表</w:t>
      </w:r>
    </w:p>
    <w:p w14:paraId="6F286F4C">
      <w:pPr>
        <w:pStyle w:val="2"/>
        <w:rPr>
          <w:rFonts w:hint="eastAsia" w:ascii="黑体" w:hAnsi="黑体" w:eastAsia="黑体" w:cs="黑体"/>
          <w:color w:val="auto"/>
          <w:sz w:val="28"/>
          <w:szCs w:val="28"/>
        </w:rPr>
      </w:pPr>
    </w:p>
    <w:p w14:paraId="11BD49AD"/>
    <w:tbl>
      <w:tblPr>
        <w:tblStyle w:val="9"/>
        <w:tblW w:w="8984" w:type="dxa"/>
        <w:jc w:val="center"/>
        <w:tblLayout w:type="fixed"/>
        <w:tblCellMar>
          <w:top w:w="0" w:type="dxa"/>
          <w:left w:w="108" w:type="dxa"/>
          <w:bottom w:w="0" w:type="dxa"/>
          <w:right w:w="108" w:type="dxa"/>
        </w:tblCellMar>
      </w:tblPr>
      <w:tblGrid>
        <w:gridCol w:w="1178"/>
        <w:gridCol w:w="1455"/>
        <w:gridCol w:w="2262"/>
        <w:gridCol w:w="1971"/>
        <w:gridCol w:w="2118"/>
      </w:tblGrid>
      <w:tr w14:paraId="66FFA6F8">
        <w:tblPrEx>
          <w:tblCellMar>
            <w:top w:w="0" w:type="dxa"/>
            <w:left w:w="108" w:type="dxa"/>
            <w:bottom w:w="0" w:type="dxa"/>
            <w:right w:w="108" w:type="dxa"/>
          </w:tblCellMar>
        </w:tblPrEx>
        <w:trPr>
          <w:trHeight w:val="754" w:hRule="atLeast"/>
          <w:tblHeader/>
          <w:jc w:val="center"/>
        </w:trPr>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65D12">
            <w:pPr>
              <w:widowControl/>
              <w:jc w:val="center"/>
              <w:textAlignment w:val="center"/>
              <w:rPr>
                <w:rFonts w:hint="eastAsia"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一级指标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AB68A">
            <w:pPr>
              <w:widowControl/>
              <w:jc w:val="center"/>
              <w:textAlignment w:val="center"/>
              <w:rPr>
                <w:rFonts w:hint="eastAsia"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62AFC">
            <w:pPr>
              <w:widowControl/>
              <w:jc w:val="center"/>
              <w:textAlignment w:val="center"/>
              <w:rPr>
                <w:rFonts w:hint="eastAsia"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三级指标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F5053">
            <w:pPr>
              <w:widowControl/>
              <w:jc w:val="center"/>
              <w:textAlignment w:val="center"/>
              <w:rPr>
                <w:rFonts w:hint="eastAsia"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年度指标值</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AD0DA">
            <w:pPr>
              <w:widowControl/>
              <w:jc w:val="center"/>
              <w:textAlignment w:val="center"/>
              <w:rPr>
                <w:rFonts w:hint="eastAsia" w:ascii="宋体" w:hAnsi="宋体" w:eastAsia="宋体" w:cs="宋体"/>
                <w:b/>
                <w:bCs/>
                <w:color w:val="000000"/>
                <w:sz w:val="20"/>
                <w:szCs w:val="20"/>
                <w:highlight w:val="none"/>
              </w:rPr>
            </w:pPr>
            <w:r>
              <w:rPr>
                <w:rFonts w:hint="eastAsia" w:ascii="宋体" w:hAnsi="宋体" w:eastAsia="宋体" w:cs="宋体"/>
                <w:b/>
                <w:bCs/>
                <w:color w:val="000000"/>
                <w:kern w:val="0"/>
                <w:sz w:val="20"/>
                <w:szCs w:val="20"/>
                <w:highlight w:val="none"/>
                <w:lang w:bidi="ar"/>
              </w:rPr>
              <w:t>全年实际完成值</w:t>
            </w:r>
          </w:p>
        </w:tc>
      </w:tr>
      <w:tr w14:paraId="1A922B15">
        <w:tblPrEx>
          <w:tblCellMar>
            <w:top w:w="0" w:type="dxa"/>
            <w:left w:w="108" w:type="dxa"/>
            <w:bottom w:w="0" w:type="dxa"/>
            <w:right w:w="108" w:type="dxa"/>
          </w:tblCellMar>
        </w:tblPrEx>
        <w:trPr>
          <w:trHeight w:val="226" w:hRule="atLeast"/>
          <w:jc w:val="center"/>
        </w:trPr>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52FA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产</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出</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指</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FBDD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262" w:type="dxa"/>
            <w:tcBorders>
              <w:top w:val="single" w:color="000000" w:sz="4" w:space="0"/>
              <w:left w:val="single" w:color="000000" w:sz="4" w:space="0"/>
              <w:bottom w:val="single" w:color="000000" w:sz="4" w:space="0"/>
              <w:right w:val="nil"/>
            </w:tcBorders>
            <w:shd w:val="clear" w:color="auto" w:fill="auto"/>
            <w:vAlign w:val="center"/>
          </w:tcPr>
          <w:p w14:paraId="5EF8B80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演出剧目</w:t>
            </w:r>
          </w:p>
        </w:tc>
        <w:tc>
          <w:tcPr>
            <w:tcW w:w="1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36BB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≥4部</w:t>
            </w:r>
          </w:p>
        </w:tc>
        <w:tc>
          <w:tcPr>
            <w:tcW w:w="2118" w:type="dxa"/>
            <w:tcBorders>
              <w:top w:val="single" w:color="000000" w:sz="4" w:space="0"/>
              <w:left w:val="nil"/>
              <w:bottom w:val="single" w:color="000000" w:sz="4" w:space="0"/>
              <w:right w:val="single" w:color="000000" w:sz="4" w:space="0"/>
            </w:tcBorders>
            <w:shd w:val="clear" w:color="auto" w:fill="auto"/>
            <w:vAlign w:val="center"/>
          </w:tcPr>
          <w:p w14:paraId="22269AF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14部</w:t>
            </w:r>
          </w:p>
        </w:tc>
      </w:tr>
      <w:tr w14:paraId="375BB7D4">
        <w:tblPrEx>
          <w:tblCellMar>
            <w:top w:w="0" w:type="dxa"/>
            <w:left w:w="108" w:type="dxa"/>
            <w:bottom w:w="0" w:type="dxa"/>
            <w:right w:w="108" w:type="dxa"/>
          </w:tblCellMar>
        </w:tblPrEx>
        <w:trPr>
          <w:trHeight w:val="297" w:hRule="atLeast"/>
          <w:jc w:val="center"/>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31D19">
            <w:pPr>
              <w:jc w:val="center"/>
              <w:rPr>
                <w:rFonts w:hint="eastAsia" w:ascii="宋体" w:hAnsi="宋体" w:eastAsia="宋体" w:cs="宋体"/>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5AA7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262" w:type="dxa"/>
            <w:tcBorders>
              <w:top w:val="nil"/>
              <w:left w:val="single" w:color="000000" w:sz="4" w:space="0"/>
              <w:bottom w:val="single" w:color="000000" w:sz="4" w:space="0"/>
              <w:right w:val="nil"/>
            </w:tcBorders>
            <w:shd w:val="clear" w:color="auto" w:fill="auto"/>
            <w:vAlign w:val="center"/>
          </w:tcPr>
          <w:p w14:paraId="48A0843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演出场次</w:t>
            </w:r>
          </w:p>
        </w:tc>
        <w:tc>
          <w:tcPr>
            <w:tcW w:w="1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B3A8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≥100场</w:t>
            </w:r>
          </w:p>
        </w:tc>
        <w:tc>
          <w:tcPr>
            <w:tcW w:w="2118" w:type="dxa"/>
            <w:tcBorders>
              <w:top w:val="nil"/>
              <w:left w:val="nil"/>
              <w:bottom w:val="single" w:color="000000" w:sz="4" w:space="0"/>
              <w:right w:val="single" w:color="000000" w:sz="4" w:space="0"/>
            </w:tcBorders>
            <w:shd w:val="clear" w:color="auto" w:fill="auto"/>
            <w:vAlign w:val="center"/>
          </w:tcPr>
          <w:p w14:paraId="59EED9A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100场</w:t>
            </w:r>
          </w:p>
        </w:tc>
      </w:tr>
      <w:tr w14:paraId="5D98DB97">
        <w:tblPrEx>
          <w:tblCellMar>
            <w:top w:w="0" w:type="dxa"/>
            <w:left w:w="108" w:type="dxa"/>
            <w:bottom w:w="0" w:type="dxa"/>
            <w:right w:w="108" w:type="dxa"/>
          </w:tblCellMar>
        </w:tblPrEx>
        <w:trPr>
          <w:trHeight w:val="255" w:hRule="atLeast"/>
          <w:jc w:val="center"/>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E42ECD">
            <w:pPr>
              <w:jc w:val="center"/>
              <w:rPr>
                <w:rFonts w:hint="eastAsia" w:ascii="宋体" w:hAnsi="宋体" w:eastAsia="宋体" w:cs="宋体"/>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B0C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1153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上座率</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6D9B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≥70%</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5CF6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85%</w:t>
            </w:r>
          </w:p>
        </w:tc>
      </w:tr>
      <w:tr w14:paraId="2896FD77">
        <w:tblPrEx>
          <w:tblCellMar>
            <w:top w:w="0" w:type="dxa"/>
            <w:left w:w="108" w:type="dxa"/>
            <w:bottom w:w="0" w:type="dxa"/>
            <w:right w:w="108" w:type="dxa"/>
          </w:tblCellMar>
        </w:tblPrEx>
        <w:trPr>
          <w:trHeight w:val="195" w:hRule="atLeast"/>
          <w:jc w:val="center"/>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D16D1">
            <w:pPr>
              <w:jc w:val="center"/>
              <w:rPr>
                <w:rFonts w:hint="eastAsia" w:ascii="宋体" w:hAnsi="宋体" w:eastAsia="宋体" w:cs="宋体"/>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4278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2FA8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通过验收</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CD7A">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通过</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A4D89">
            <w:pPr>
              <w:widowControl/>
              <w:jc w:val="center"/>
              <w:textAlignment w:val="center"/>
              <w:rPr>
                <w:rFonts w:hint="eastAsia" w:ascii="宋体" w:hAnsi="宋体" w:eastAsia="宋体" w:cs="宋体"/>
                <w:color w:val="000000"/>
                <w:kern w:val="0"/>
                <w:sz w:val="20"/>
                <w:szCs w:val="20"/>
                <w:highlight w:val="yellow"/>
                <w:lang w:bidi="ar"/>
              </w:rPr>
            </w:pPr>
            <w:r>
              <w:rPr>
                <w:rFonts w:hint="eastAsia" w:ascii="宋体" w:hAnsi="宋体" w:eastAsia="宋体" w:cs="宋体"/>
                <w:color w:val="000000"/>
                <w:kern w:val="0"/>
                <w:sz w:val="20"/>
                <w:szCs w:val="20"/>
                <w:lang w:bidi="ar"/>
              </w:rPr>
              <w:t>100%</w:t>
            </w:r>
          </w:p>
        </w:tc>
      </w:tr>
      <w:tr w14:paraId="01C85F80">
        <w:tblPrEx>
          <w:tblCellMar>
            <w:top w:w="0" w:type="dxa"/>
            <w:left w:w="108" w:type="dxa"/>
            <w:bottom w:w="0" w:type="dxa"/>
            <w:right w:w="108" w:type="dxa"/>
          </w:tblCellMar>
        </w:tblPrEx>
        <w:trPr>
          <w:trHeight w:val="246" w:hRule="atLeast"/>
          <w:jc w:val="center"/>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86F0B8">
            <w:pPr>
              <w:jc w:val="center"/>
              <w:rPr>
                <w:rFonts w:hint="eastAsia" w:ascii="宋体" w:hAnsi="宋体" w:eastAsia="宋体" w:cs="宋体"/>
                <w:color w:val="000000"/>
                <w:sz w:val="20"/>
                <w:szCs w:val="20"/>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34C0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2787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项目完成时间</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148D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≤12月</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1AF8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11月</w:t>
            </w:r>
          </w:p>
        </w:tc>
      </w:tr>
      <w:tr w14:paraId="0C1ECDBC">
        <w:tblPrEx>
          <w:tblCellMar>
            <w:top w:w="0" w:type="dxa"/>
            <w:left w:w="108" w:type="dxa"/>
            <w:bottom w:w="0" w:type="dxa"/>
            <w:right w:w="108" w:type="dxa"/>
          </w:tblCellMar>
        </w:tblPrEx>
        <w:trPr>
          <w:trHeight w:val="169" w:hRule="atLeast"/>
          <w:jc w:val="center"/>
        </w:trPr>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FA73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成本指标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CA6A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D3FA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单场成本</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AE43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≤0.5万元</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7F6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0.5万元</w:t>
            </w:r>
          </w:p>
        </w:tc>
      </w:tr>
      <w:tr w14:paraId="1A8D9D29">
        <w:tblPrEx>
          <w:tblCellMar>
            <w:top w:w="0" w:type="dxa"/>
            <w:left w:w="108" w:type="dxa"/>
            <w:bottom w:w="0" w:type="dxa"/>
            <w:right w:w="108" w:type="dxa"/>
          </w:tblCellMar>
        </w:tblPrEx>
        <w:trPr>
          <w:trHeight w:val="399" w:hRule="atLeast"/>
          <w:jc w:val="center"/>
        </w:trPr>
        <w:tc>
          <w:tcPr>
            <w:tcW w:w="11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4F356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效</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益</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指</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标</w:t>
            </w:r>
          </w:p>
        </w:tc>
        <w:tc>
          <w:tcPr>
            <w:tcW w:w="1455" w:type="dxa"/>
            <w:tcBorders>
              <w:top w:val="single" w:color="000000" w:sz="4" w:space="0"/>
              <w:left w:val="single" w:color="000000" w:sz="4" w:space="0"/>
              <w:bottom w:val="nil"/>
              <w:right w:val="single" w:color="000000" w:sz="4" w:space="0"/>
            </w:tcBorders>
            <w:shd w:val="clear" w:color="auto" w:fill="auto"/>
            <w:vAlign w:val="center"/>
          </w:tcPr>
          <w:p w14:paraId="649D37C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B1EC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观众观看人次</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10BE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1万人次</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AF1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30663人次</w:t>
            </w:r>
          </w:p>
        </w:tc>
      </w:tr>
      <w:tr w14:paraId="36CECD3E">
        <w:tblPrEx>
          <w:tblCellMar>
            <w:top w:w="0" w:type="dxa"/>
            <w:left w:w="108" w:type="dxa"/>
            <w:bottom w:w="0" w:type="dxa"/>
            <w:right w:w="108" w:type="dxa"/>
          </w:tblCellMar>
        </w:tblPrEx>
        <w:trPr>
          <w:trHeight w:val="309" w:hRule="atLeast"/>
          <w:jc w:val="center"/>
        </w:trPr>
        <w:tc>
          <w:tcPr>
            <w:tcW w:w="11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3A6500">
            <w:pPr>
              <w:jc w:val="center"/>
              <w:rPr>
                <w:rFonts w:hint="eastAsia" w:ascii="宋体" w:hAnsi="宋体" w:eastAsia="宋体" w:cs="宋体"/>
                <w:color w:val="000000"/>
                <w:sz w:val="20"/>
                <w:szCs w:val="20"/>
              </w:rPr>
            </w:pPr>
          </w:p>
        </w:tc>
        <w:tc>
          <w:tcPr>
            <w:tcW w:w="1455" w:type="dxa"/>
            <w:tcBorders>
              <w:top w:val="single" w:color="000000" w:sz="4" w:space="0"/>
              <w:left w:val="single" w:color="000000" w:sz="4" w:space="0"/>
              <w:bottom w:val="nil"/>
              <w:right w:val="single" w:color="000000" w:sz="4" w:space="0"/>
            </w:tcBorders>
            <w:shd w:val="clear" w:color="auto" w:fill="auto"/>
            <w:vAlign w:val="center"/>
          </w:tcPr>
          <w:p w14:paraId="469A1210">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529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提高北京曲剧在广大观众群体里的认知度，喜爱度，努力掀起热爱北京曲剧的新的浪潮</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3C4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进一步提高</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3B7F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r>
      <w:tr w14:paraId="2C5D0C84">
        <w:tblPrEx>
          <w:tblCellMar>
            <w:top w:w="0" w:type="dxa"/>
            <w:left w:w="108" w:type="dxa"/>
            <w:bottom w:w="0" w:type="dxa"/>
            <w:right w:w="108" w:type="dxa"/>
          </w:tblCellMar>
        </w:tblPrEx>
        <w:trPr>
          <w:trHeight w:val="452" w:hRule="atLeast"/>
          <w:jc w:val="center"/>
        </w:trPr>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BEAA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1B9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C9F9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观众满意度</w:t>
            </w:r>
          </w:p>
        </w:tc>
        <w:tc>
          <w:tcPr>
            <w:tcW w:w="19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2489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80%</w:t>
            </w:r>
          </w:p>
        </w:tc>
        <w:tc>
          <w:tcPr>
            <w:tcW w:w="2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9AE84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92%</w:t>
            </w:r>
          </w:p>
        </w:tc>
      </w:tr>
    </w:tbl>
    <w:p w14:paraId="27CDE246">
      <w:pPr>
        <w:adjustRightInd w:val="0"/>
        <w:snapToGrid w:val="0"/>
        <w:spacing w:line="360" w:lineRule="auto"/>
        <w:rPr>
          <w:rFonts w:ascii="宋体" w:hAnsi="宋体" w:eastAsia="宋体" w:cs="宋体"/>
          <w:color w:val="0000FF"/>
          <w:sz w:val="20"/>
          <w:szCs w:val="20"/>
        </w:rPr>
      </w:pPr>
    </w:p>
    <w:p w14:paraId="11C51E90">
      <w:pPr>
        <w:adjustRightInd w:val="0"/>
        <w:snapToGrid w:val="0"/>
        <w:spacing w:line="360" w:lineRule="auto"/>
        <w:ind w:firstLine="640" w:firstLineChars="200"/>
        <w:rPr>
          <w:rFonts w:ascii="仿宋_GB2312" w:hAnsi="仿宋_GB2312" w:cs="仿宋_GB2312"/>
          <w:color w:val="auto"/>
          <w:sz w:val="32"/>
          <w:szCs w:val="32"/>
        </w:rPr>
      </w:pPr>
      <w:r>
        <w:rPr>
          <w:rFonts w:hint="eastAsia" w:ascii="仿宋_GB2312" w:hAnsi="仿宋_GB2312" w:cs="仿宋_GB2312"/>
          <w:color w:val="auto"/>
          <w:sz w:val="32"/>
          <w:szCs w:val="32"/>
        </w:rPr>
        <w:t>2.首都图书馆图书购置项目</w:t>
      </w:r>
    </w:p>
    <w:p w14:paraId="474CA993">
      <w:pPr>
        <w:adjustRightInd w:val="0"/>
        <w:snapToGrid w:val="0"/>
        <w:spacing w:line="360" w:lineRule="auto"/>
        <w:ind w:firstLine="640" w:firstLineChars="200"/>
        <w:rPr>
          <w:rFonts w:hint="eastAsia" w:ascii="仿宋_GB2312" w:hAnsi="仿宋_GB2312" w:cs="仿宋_GB2312"/>
          <w:color w:val="0000FF"/>
          <w:sz w:val="32"/>
          <w:szCs w:val="32"/>
        </w:rPr>
      </w:pPr>
      <w:r>
        <w:rPr>
          <w:rFonts w:hint="eastAsia" w:ascii="仿宋_GB2312" w:hAnsi="仿宋_GB2312" w:cs="仿宋_GB2312"/>
          <w:color w:val="auto"/>
          <w:sz w:val="32"/>
          <w:szCs w:val="32"/>
        </w:rPr>
        <w:t>202</w:t>
      </w:r>
      <w:r>
        <w:rPr>
          <w:rFonts w:hint="eastAsia" w:ascii="仿宋_GB2312" w:hAnsi="仿宋_GB2312" w:cs="仿宋_GB2312"/>
          <w:color w:val="auto"/>
          <w:sz w:val="32"/>
          <w:szCs w:val="32"/>
          <w:lang w:val="en-US" w:eastAsia="zh-CN"/>
        </w:rPr>
        <w:t>4</w:t>
      </w:r>
      <w:r>
        <w:rPr>
          <w:rFonts w:hint="eastAsia" w:ascii="仿宋_GB2312" w:hAnsi="仿宋_GB2312" w:cs="仿宋_GB2312"/>
          <w:color w:val="auto"/>
          <w:sz w:val="32"/>
          <w:szCs w:val="32"/>
        </w:rPr>
        <w:t>年，该项目各项指标基本完成。各项指标完成情况详见下表：</w:t>
      </w:r>
    </w:p>
    <w:p w14:paraId="4432B84B">
      <w:pPr>
        <w:adjustRightInd w:val="0"/>
        <w:snapToGrid w:val="0"/>
        <w:jc w:val="center"/>
        <w:rPr>
          <w:rFonts w:ascii="黑体" w:hAnsi="黑体" w:eastAsia="黑体" w:cs="黑体"/>
          <w:sz w:val="28"/>
          <w:szCs w:val="28"/>
        </w:rPr>
      </w:pPr>
      <w:r>
        <w:rPr>
          <w:rFonts w:hint="eastAsia" w:ascii="黑体" w:hAnsi="黑体" w:eastAsia="黑体" w:cs="黑体"/>
          <w:sz w:val="28"/>
          <w:szCs w:val="28"/>
        </w:rPr>
        <w:t>表</w:t>
      </w:r>
      <w:r>
        <w:rPr>
          <w:rFonts w:hint="eastAsia" w:ascii="黑体" w:hAnsi="黑体" w:eastAsia="黑体" w:cs="黑体"/>
          <w:sz w:val="28"/>
          <w:szCs w:val="28"/>
          <w:lang w:val="en-US" w:eastAsia="zh-CN"/>
        </w:rPr>
        <w:t>2</w:t>
      </w:r>
      <w:r>
        <w:rPr>
          <w:rFonts w:hint="eastAsia" w:ascii="黑体" w:hAnsi="黑体" w:eastAsia="黑体" w:cs="黑体"/>
          <w:sz w:val="28"/>
          <w:szCs w:val="28"/>
        </w:rPr>
        <w:t>：首都图书馆图书购置项目</w:t>
      </w:r>
    </w:p>
    <w:p w14:paraId="6FAA4227">
      <w:pPr>
        <w:adjustRightInd w:val="0"/>
        <w:snapToGrid w:val="0"/>
        <w:jc w:val="center"/>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4</w:t>
      </w:r>
      <w:r>
        <w:rPr>
          <w:rFonts w:hint="eastAsia" w:ascii="黑体" w:hAnsi="黑体" w:eastAsia="黑体" w:cs="黑体"/>
          <w:sz w:val="28"/>
          <w:szCs w:val="28"/>
        </w:rPr>
        <w:t>年度绩效指标完成情况</w:t>
      </w:r>
    </w:p>
    <w:tbl>
      <w:tblPr>
        <w:tblStyle w:val="9"/>
        <w:tblW w:w="9339" w:type="dxa"/>
        <w:jc w:val="center"/>
        <w:tblLayout w:type="fixed"/>
        <w:tblCellMar>
          <w:top w:w="0" w:type="dxa"/>
          <w:left w:w="0" w:type="dxa"/>
          <w:bottom w:w="0" w:type="dxa"/>
          <w:right w:w="0" w:type="dxa"/>
        </w:tblCellMar>
      </w:tblPr>
      <w:tblGrid>
        <w:gridCol w:w="922"/>
        <w:gridCol w:w="1148"/>
        <w:gridCol w:w="1485"/>
        <w:gridCol w:w="1620"/>
        <w:gridCol w:w="1437"/>
        <w:gridCol w:w="2727"/>
      </w:tblGrid>
      <w:tr w14:paraId="06A04BFC">
        <w:tblPrEx>
          <w:tblCellMar>
            <w:top w:w="0" w:type="dxa"/>
            <w:left w:w="0" w:type="dxa"/>
            <w:bottom w:w="0" w:type="dxa"/>
            <w:right w:w="0" w:type="dxa"/>
          </w:tblCellMar>
        </w:tblPrEx>
        <w:trPr>
          <w:trHeight w:val="261" w:hRule="atLeast"/>
          <w:tblHeader/>
          <w:jc w:val="center"/>
        </w:trPr>
        <w:tc>
          <w:tcPr>
            <w:tcW w:w="922"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576969A1">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一级指标</w:t>
            </w:r>
          </w:p>
        </w:tc>
        <w:tc>
          <w:tcPr>
            <w:tcW w:w="1148"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00EC2963">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二级指标</w:t>
            </w:r>
          </w:p>
        </w:tc>
        <w:tc>
          <w:tcPr>
            <w:tcW w:w="1485"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4BCD822B">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三级指标</w:t>
            </w:r>
          </w:p>
        </w:tc>
        <w:tc>
          <w:tcPr>
            <w:tcW w:w="1620"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3710B444">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年度指标值</w:t>
            </w:r>
          </w:p>
        </w:tc>
        <w:tc>
          <w:tcPr>
            <w:tcW w:w="1437"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6B969746">
            <w:pPr>
              <w:widowControl/>
              <w:jc w:val="center"/>
              <w:textAlignment w:val="center"/>
              <w:rPr>
                <w:rFonts w:hint="eastAsia" w:ascii="宋体" w:hAnsi="宋体" w:eastAsia="宋体" w:cs="宋体"/>
                <w:b/>
                <w:color w:val="000000"/>
                <w:kern w:val="0"/>
                <w:sz w:val="20"/>
                <w:szCs w:val="20"/>
                <w:lang w:bidi="ar"/>
              </w:rPr>
            </w:pPr>
            <w:r>
              <w:rPr>
                <w:rFonts w:hint="eastAsia" w:ascii="宋体" w:hAnsi="宋体" w:eastAsia="宋体" w:cs="宋体"/>
                <w:b/>
                <w:color w:val="000000"/>
                <w:kern w:val="0"/>
                <w:sz w:val="20"/>
                <w:szCs w:val="20"/>
                <w:lang w:bidi="ar"/>
              </w:rPr>
              <w:t>完成值</w:t>
            </w:r>
          </w:p>
        </w:tc>
        <w:tc>
          <w:tcPr>
            <w:tcW w:w="2727" w:type="dxa"/>
            <w:tcBorders>
              <w:top w:val="single" w:color="000000" w:sz="4" w:space="0"/>
              <w:left w:val="single" w:color="000000" w:sz="4" w:space="0"/>
              <w:bottom w:val="single" w:color="auto" w:sz="4" w:space="0"/>
              <w:right w:val="single" w:color="000000" w:sz="4" w:space="0"/>
            </w:tcBorders>
            <w:shd w:val="clear" w:color="auto" w:fill="auto"/>
            <w:noWrap/>
            <w:tcMar>
              <w:top w:w="8" w:type="dxa"/>
              <w:left w:w="8" w:type="dxa"/>
              <w:right w:w="8" w:type="dxa"/>
            </w:tcMar>
            <w:vAlign w:val="center"/>
          </w:tcPr>
          <w:p w14:paraId="4A51203D">
            <w:pPr>
              <w:widowControl/>
              <w:jc w:val="center"/>
              <w:textAlignment w:val="center"/>
              <w:rPr>
                <w:rFonts w:hint="eastAsia" w:ascii="宋体" w:hAnsi="宋体" w:eastAsia="宋体" w:cs="宋体"/>
                <w:b/>
                <w:color w:val="000000"/>
                <w:kern w:val="0"/>
                <w:sz w:val="20"/>
                <w:szCs w:val="20"/>
                <w:lang w:bidi="ar"/>
              </w:rPr>
            </w:pPr>
            <w:r>
              <w:rPr>
                <w:rFonts w:hint="eastAsia" w:ascii="宋体" w:hAnsi="宋体" w:eastAsia="宋体" w:cs="宋体"/>
                <w:b/>
                <w:color w:val="000000"/>
                <w:kern w:val="0"/>
                <w:sz w:val="20"/>
                <w:szCs w:val="20"/>
                <w:lang w:bidi="ar"/>
              </w:rPr>
              <w:t>未完成原因及措施</w:t>
            </w:r>
          </w:p>
        </w:tc>
      </w:tr>
      <w:tr w14:paraId="0D19923D">
        <w:tblPrEx>
          <w:tblCellMar>
            <w:top w:w="0" w:type="dxa"/>
            <w:left w:w="0" w:type="dxa"/>
            <w:bottom w:w="0" w:type="dxa"/>
            <w:right w:w="0" w:type="dxa"/>
          </w:tblCellMar>
        </w:tblPrEx>
        <w:trPr>
          <w:trHeight w:val="1951" w:hRule="atLeast"/>
          <w:jc w:val="center"/>
        </w:trPr>
        <w:tc>
          <w:tcPr>
            <w:tcW w:w="922" w:type="dxa"/>
            <w:vMerge w:val="restart"/>
            <w:tcBorders>
              <w:top w:val="single" w:color="auto" w:sz="4" w:space="0"/>
              <w:left w:val="single" w:color="auto" w:sz="4" w:space="0"/>
              <w:right w:val="single" w:color="auto" w:sz="4" w:space="0"/>
            </w:tcBorders>
            <w:shd w:val="clear" w:color="auto" w:fill="auto"/>
            <w:noWrap/>
            <w:tcMar>
              <w:top w:w="8" w:type="dxa"/>
              <w:left w:w="8" w:type="dxa"/>
              <w:right w:w="8" w:type="dxa"/>
            </w:tcMar>
            <w:vAlign w:val="center"/>
          </w:tcPr>
          <w:p w14:paraId="541C387A">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产出指标</w:t>
            </w:r>
          </w:p>
          <w:p w14:paraId="0ED48E86">
            <w:pPr>
              <w:jc w:val="center"/>
              <w:rPr>
                <w:rFonts w:hint="eastAsia" w:ascii="宋体" w:hAnsi="宋体" w:eastAsia="宋体" w:cs="宋体"/>
                <w:color w:val="000000"/>
                <w:sz w:val="20"/>
                <w:szCs w:val="20"/>
                <w:lang w:val="en-US" w:eastAsia="zh-CN"/>
              </w:rPr>
            </w:pPr>
            <w:bookmarkStart w:id="6" w:name="_GoBack"/>
            <w:bookmarkEnd w:id="6"/>
          </w:p>
        </w:tc>
        <w:tc>
          <w:tcPr>
            <w:tcW w:w="1148"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41D5B82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1485"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51D9EA5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购置各类文献</w:t>
            </w:r>
          </w:p>
        </w:tc>
        <w:tc>
          <w:tcPr>
            <w:tcW w:w="1620"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27982D0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≥27.1527万册</w:t>
            </w:r>
          </w:p>
        </w:tc>
        <w:tc>
          <w:tcPr>
            <w:tcW w:w="1437"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475CE625">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25.4666万册</w:t>
            </w:r>
          </w:p>
        </w:tc>
        <w:tc>
          <w:tcPr>
            <w:tcW w:w="2727" w:type="dxa"/>
            <w:tcBorders>
              <w:top w:val="single" w:color="auto" w:sz="4" w:space="0"/>
              <w:left w:val="single" w:color="auto" w:sz="4" w:space="0"/>
              <w:bottom w:val="single" w:color="auto" w:sz="4" w:space="0"/>
              <w:right w:val="single" w:color="auto" w:sz="4" w:space="0"/>
            </w:tcBorders>
            <w:shd w:val="clear" w:color="auto" w:fill="auto"/>
            <w:noWrap/>
            <w:tcMar>
              <w:top w:w="8" w:type="dxa"/>
              <w:left w:w="8" w:type="dxa"/>
              <w:right w:w="8" w:type="dxa"/>
            </w:tcMar>
          </w:tcPr>
          <w:p w14:paraId="27E68601">
            <w:pPr>
              <w:widowControl/>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原因：由于对市场情况预估不足，部分文献采购平均单价高于预测单价，因此采购数量未达预期。</w:t>
            </w:r>
          </w:p>
          <w:p w14:paraId="7C858811">
            <w:pPr>
              <w:widowControl/>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改进措施：加强前期调研，充分考虑</w:t>
            </w:r>
          </w:p>
          <w:p w14:paraId="78E6785D">
            <w:pPr>
              <w:widowControl/>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市场变化因素，科学预测采购单价。</w:t>
            </w:r>
          </w:p>
        </w:tc>
      </w:tr>
      <w:tr w14:paraId="54513936">
        <w:tblPrEx>
          <w:tblCellMar>
            <w:top w:w="0" w:type="dxa"/>
            <w:left w:w="0" w:type="dxa"/>
            <w:bottom w:w="0" w:type="dxa"/>
            <w:right w:w="0" w:type="dxa"/>
          </w:tblCellMar>
        </w:tblPrEx>
        <w:trPr>
          <w:trHeight w:val="210" w:hRule="atLeast"/>
          <w:jc w:val="center"/>
        </w:trPr>
        <w:tc>
          <w:tcPr>
            <w:tcW w:w="922" w:type="dxa"/>
            <w:vMerge w:val="continue"/>
            <w:tcBorders>
              <w:left w:val="single" w:color="auto" w:sz="4" w:space="0"/>
              <w:right w:val="single" w:color="auto" w:sz="4" w:space="0"/>
            </w:tcBorders>
            <w:shd w:val="clear" w:color="auto" w:fill="auto"/>
            <w:noWrap/>
            <w:tcMar>
              <w:top w:w="8" w:type="dxa"/>
              <w:left w:w="8" w:type="dxa"/>
              <w:right w:w="8" w:type="dxa"/>
            </w:tcMar>
            <w:vAlign w:val="center"/>
          </w:tcPr>
          <w:p w14:paraId="26EDDF0F">
            <w:pPr>
              <w:jc w:val="center"/>
              <w:rPr>
                <w:rFonts w:hint="eastAsia" w:ascii="宋体" w:hAnsi="宋体" w:eastAsia="宋体" w:cs="宋体"/>
                <w:color w:val="000000"/>
                <w:sz w:val="20"/>
                <w:szCs w:val="20"/>
              </w:rPr>
            </w:pPr>
          </w:p>
        </w:tc>
        <w:tc>
          <w:tcPr>
            <w:tcW w:w="1148" w:type="dxa"/>
            <w:tcBorders>
              <w:top w:val="single" w:color="auto"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5EEFEC2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1485" w:type="dxa"/>
            <w:tcBorders>
              <w:top w:val="single" w:color="auto"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6D77D8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文献验收合格率</w:t>
            </w:r>
          </w:p>
        </w:tc>
        <w:tc>
          <w:tcPr>
            <w:tcW w:w="1620" w:type="dxa"/>
            <w:tcBorders>
              <w:top w:val="single" w:color="auto"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31E933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100.00%</w:t>
            </w:r>
          </w:p>
        </w:tc>
        <w:tc>
          <w:tcPr>
            <w:tcW w:w="1437" w:type="dxa"/>
            <w:tcBorders>
              <w:top w:val="single" w:color="auto"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4F352F8">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100.00%</w:t>
            </w:r>
          </w:p>
        </w:tc>
        <w:tc>
          <w:tcPr>
            <w:tcW w:w="2727" w:type="dxa"/>
            <w:tcBorders>
              <w:top w:val="single" w:color="auto"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592AE0C">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24FFC0A4">
        <w:tblPrEx>
          <w:tblCellMar>
            <w:top w:w="0" w:type="dxa"/>
            <w:left w:w="0" w:type="dxa"/>
            <w:bottom w:w="0" w:type="dxa"/>
            <w:right w:w="0" w:type="dxa"/>
          </w:tblCellMar>
        </w:tblPrEx>
        <w:trPr>
          <w:trHeight w:val="1403" w:hRule="atLeast"/>
          <w:jc w:val="center"/>
        </w:trPr>
        <w:tc>
          <w:tcPr>
            <w:tcW w:w="922" w:type="dxa"/>
            <w:vMerge w:val="continue"/>
            <w:tcBorders>
              <w:left w:val="single" w:color="auto" w:sz="4" w:space="0"/>
              <w:right w:val="single" w:color="auto" w:sz="4" w:space="0"/>
            </w:tcBorders>
            <w:shd w:val="clear" w:color="auto" w:fill="auto"/>
            <w:noWrap/>
            <w:tcMar>
              <w:top w:w="8" w:type="dxa"/>
              <w:left w:w="8" w:type="dxa"/>
              <w:right w:w="8" w:type="dxa"/>
            </w:tcMar>
            <w:vAlign w:val="center"/>
          </w:tcPr>
          <w:p w14:paraId="086C0A67">
            <w:pPr>
              <w:jc w:val="center"/>
              <w:rPr>
                <w:rFonts w:hint="eastAsia" w:ascii="宋体" w:hAnsi="宋体" w:eastAsia="宋体" w:cs="宋体"/>
                <w:color w:val="000000"/>
                <w:sz w:val="20"/>
                <w:szCs w:val="20"/>
                <w:lang w:val="en-US" w:eastAsia="zh-CN"/>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23A14D1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9E1747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方案制定和前期准备时间</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E38F20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5月底以前</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9C8A5F2">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6月24日</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tcPr>
          <w:p w14:paraId="4AFBD9BA">
            <w:pPr>
              <w:widowControl/>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原因：由于出具评审结果时间较晚，项目采购立项时间相应后延，公开招标工作进度受到影响。</w:t>
            </w:r>
          </w:p>
          <w:p w14:paraId="6FC7EC33">
            <w:pPr>
              <w:widowControl/>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改进措施：提前做好统筹安排，进一步提高工作效率，为执行过程预留充足的调整时间。</w:t>
            </w:r>
          </w:p>
        </w:tc>
      </w:tr>
      <w:tr w14:paraId="3F073AE4">
        <w:tblPrEx>
          <w:tblCellMar>
            <w:top w:w="0" w:type="dxa"/>
            <w:left w:w="0" w:type="dxa"/>
            <w:bottom w:w="0" w:type="dxa"/>
            <w:right w:w="0" w:type="dxa"/>
          </w:tblCellMar>
        </w:tblPrEx>
        <w:trPr>
          <w:trHeight w:val="286" w:hRule="atLeast"/>
          <w:jc w:val="center"/>
        </w:trPr>
        <w:tc>
          <w:tcPr>
            <w:tcW w:w="922" w:type="dxa"/>
            <w:vMerge w:val="continue"/>
            <w:tcBorders>
              <w:left w:val="single" w:color="auto" w:sz="4" w:space="0"/>
              <w:right w:val="single" w:color="auto" w:sz="4" w:space="0"/>
            </w:tcBorders>
            <w:shd w:val="clear" w:color="auto" w:fill="auto"/>
            <w:noWrap/>
            <w:tcMar>
              <w:top w:w="8" w:type="dxa"/>
              <w:left w:w="8" w:type="dxa"/>
              <w:right w:w="8" w:type="dxa"/>
            </w:tcMar>
            <w:vAlign w:val="center"/>
          </w:tcPr>
          <w:p w14:paraId="73B3AC3C">
            <w:pPr>
              <w:jc w:val="center"/>
              <w:rPr>
                <w:rFonts w:hint="eastAsia" w:ascii="宋体" w:hAnsi="宋体" w:eastAsia="宋体" w:cs="宋体"/>
                <w:color w:val="000000"/>
                <w:sz w:val="20"/>
                <w:szCs w:val="20"/>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290D192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C1549D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采购时间</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CC06B1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12月底以前</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7B7E07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12月底前全部完成</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1403032">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27E787BF">
        <w:tblPrEx>
          <w:tblCellMar>
            <w:top w:w="0" w:type="dxa"/>
            <w:left w:w="0" w:type="dxa"/>
            <w:bottom w:w="0" w:type="dxa"/>
            <w:right w:w="0" w:type="dxa"/>
          </w:tblCellMar>
        </w:tblPrEx>
        <w:trPr>
          <w:trHeight w:val="293" w:hRule="atLeast"/>
          <w:jc w:val="center"/>
        </w:trPr>
        <w:tc>
          <w:tcPr>
            <w:tcW w:w="922" w:type="dxa"/>
            <w:vMerge w:val="continue"/>
            <w:tcBorders>
              <w:left w:val="single" w:color="auto" w:sz="4" w:space="0"/>
              <w:bottom w:val="single" w:color="auto" w:sz="4" w:space="0"/>
              <w:right w:val="single" w:color="auto" w:sz="4" w:space="0"/>
            </w:tcBorders>
            <w:shd w:val="clear" w:color="auto" w:fill="auto"/>
            <w:noWrap/>
            <w:tcMar>
              <w:top w:w="8" w:type="dxa"/>
              <w:left w:w="8" w:type="dxa"/>
              <w:right w:w="8" w:type="dxa"/>
            </w:tcMar>
            <w:vAlign w:val="center"/>
          </w:tcPr>
          <w:p w14:paraId="4F813DE3">
            <w:pPr>
              <w:jc w:val="center"/>
              <w:rPr>
                <w:rFonts w:hint="eastAsia" w:ascii="宋体" w:hAnsi="宋体" w:eastAsia="宋体" w:cs="宋体"/>
                <w:color w:val="000000"/>
                <w:kern w:val="0"/>
                <w:sz w:val="20"/>
                <w:szCs w:val="20"/>
                <w:lang w:bidi="ar"/>
              </w:rPr>
            </w:pPr>
          </w:p>
        </w:tc>
        <w:tc>
          <w:tcPr>
            <w:tcW w:w="1148" w:type="dxa"/>
            <w:tcBorders>
              <w:top w:val="single" w:color="000000" w:sz="4" w:space="0"/>
              <w:left w:val="single" w:color="auto" w:sz="4" w:space="0"/>
              <w:bottom w:val="single" w:color="000000" w:sz="4" w:space="0"/>
              <w:right w:val="single" w:color="000000" w:sz="4" w:space="0"/>
            </w:tcBorders>
            <w:shd w:val="clear" w:color="auto" w:fill="auto"/>
            <w:noWrap/>
            <w:tcMar>
              <w:top w:w="8" w:type="dxa"/>
              <w:left w:w="8" w:type="dxa"/>
              <w:right w:w="8" w:type="dxa"/>
            </w:tcMar>
            <w:vAlign w:val="center"/>
          </w:tcPr>
          <w:p w14:paraId="76267CE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B2E9C9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验收时间</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E7306A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12月底以前</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8E3C78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12月底前全部完成</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E51D9D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12ABEB6A">
        <w:tblPrEx>
          <w:tblCellMar>
            <w:top w:w="0" w:type="dxa"/>
            <w:left w:w="0" w:type="dxa"/>
            <w:bottom w:w="0" w:type="dxa"/>
            <w:right w:w="0" w:type="dxa"/>
          </w:tblCellMar>
        </w:tblPrEx>
        <w:trPr>
          <w:trHeight w:val="612" w:hRule="atLeast"/>
          <w:jc w:val="center"/>
        </w:trPr>
        <w:tc>
          <w:tcPr>
            <w:tcW w:w="922" w:type="dxa"/>
            <w:tcBorders>
              <w:top w:val="single" w:color="auto"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0579B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成本指标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0C7FB4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200A89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项目总成本控制数</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1356AC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≤1827.0008万元</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7779748">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1825.845万元</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DFAF8D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002584D3">
        <w:tblPrEx>
          <w:tblCellMar>
            <w:top w:w="0" w:type="dxa"/>
            <w:left w:w="0" w:type="dxa"/>
            <w:bottom w:w="0" w:type="dxa"/>
            <w:right w:w="0" w:type="dxa"/>
          </w:tblCellMar>
        </w:tblPrEx>
        <w:trPr>
          <w:trHeight w:val="600" w:hRule="atLeast"/>
          <w:jc w:val="center"/>
        </w:trPr>
        <w:tc>
          <w:tcPr>
            <w:tcW w:w="92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4B0AA9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效益指标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640260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5D3251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年流通人次</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825614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≥300万人</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6F20375">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445.9241万人</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E2E323B">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34A12B5E">
        <w:tblPrEx>
          <w:tblCellMar>
            <w:top w:w="0" w:type="dxa"/>
            <w:left w:w="0" w:type="dxa"/>
            <w:bottom w:w="0" w:type="dxa"/>
            <w:right w:w="0" w:type="dxa"/>
          </w:tblCellMar>
        </w:tblPrEx>
        <w:trPr>
          <w:trHeight w:val="442" w:hRule="atLeast"/>
          <w:jc w:val="center"/>
        </w:trPr>
        <w:tc>
          <w:tcPr>
            <w:tcW w:w="92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1FBCABC">
            <w:pPr>
              <w:jc w:val="center"/>
              <w:rPr>
                <w:rFonts w:hint="eastAsia" w:ascii="宋体" w:hAnsi="宋体" w:eastAsia="宋体" w:cs="宋体"/>
                <w:color w:val="000000"/>
                <w:kern w:val="0"/>
                <w:sz w:val="20"/>
                <w:szCs w:val="20"/>
                <w:lang w:bidi="ar"/>
              </w:rPr>
            </w:pP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191E4E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D26427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年文献外借量</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3E010D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≥100万册</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F043637">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158.0577万册</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7A7FE1C">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0D2E5C8D">
        <w:tblPrEx>
          <w:tblCellMar>
            <w:top w:w="0" w:type="dxa"/>
            <w:left w:w="0" w:type="dxa"/>
            <w:bottom w:w="0" w:type="dxa"/>
            <w:right w:w="0" w:type="dxa"/>
          </w:tblCellMar>
        </w:tblPrEx>
        <w:trPr>
          <w:trHeight w:val="512" w:hRule="atLeast"/>
          <w:jc w:val="center"/>
        </w:trPr>
        <w:tc>
          <w:tcPr>
            <w:tcW w:w="92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4C884CB">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满意度指标</w:t>
            </w:r>
          </w:p>
        </w:tc>
        <w:tc>
          <w:tcPr>
            <w:tcW w:w="114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B2F727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满意度指标</w:t>
            </w:r>
          </w:p>
        </w:tc>
        <w:tc>
          <w:tcPr>
            <w:tcW w:w="1485"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6D7075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读者满意度</w:t>
            </w:r>
          </w:p>
        </w:tc>
        <w:tc>
          <w:tcPr>
            <w:tcW w:w="1620"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816230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≥80%</w:t>
            </w:r>
          </w:p>
        </w:tc>
        <w:tc>
          <w:tcPr>
            <w:tcW w:w="143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0DBABB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99.68%</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D318B9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bl>
    <w:p w14:paraId="0FB0A294">
      <w:pPr>
        <w:adjustRightInd w:val="0"/>
        <w:snapToGrid w:val="0"/>
        <w:spacing w:line="360" w:lineRule="auto"/>
        <w:rPr>
          <w:rFonts w:hint="eastAsia" w:ascii="仿宋_GB2312" w:hAnsi="仿宋_GB2312" w:cs="仿宋_GB2312"/>
          <w:sz w:val="32"/>
          <w:szCs w:val="32"/>
        </w:rPr>
      </w:pPr>
    </w:p>
    <w:p w14:paraId="08361F5D">
      <w:pPr>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3.首都图书馆购置数字资源项目</w:t>
      </w:r>
    </w:p>
    <w:p w14:paraId="4175EC49">
      <w:pPr>
        <w:adjustRightInd w:val="0"/>
        <w:snapToGrid w:val="0"/>
        <w:spacing w:line="360" w:lineRule="auto"/>
        <w:ind w:firstLine="640" w:firstLineChars="200"/>
        <w:rPr>
          <w:rFonts w:ascii="黑体" w:hAnsi="黑体" w:eastAsia="黑体" w:cs="黑体"/>
          <w:sz w:val="28"/>
          <w:szCs w:val="28"/>
        </w:rPr>
      </w:pPr>
      <w:r>
        <w:rPr>
          <w:rFonts w:hint="eastAsia" w:ascii="仿宋_GB2312" w:hAnsi="仿宋_GB2312" w:cs="仿宋_GB2312"/>
          <w:sz w:val="32"/>
          <w:szCs w:val="32"/>
          <w:lang w:val="en-US" w:eastAsia="zh-CN"/>
        </w:rPr>
        <w:t>2024年，该项目各项指标均已按计划完成，各项指标完成情况详见下表</w:t>
      </w:r>
      <w:r>
        <w:rPr>
          <w:rFonts w:hint="eastAsia" w:ascii="仿宋_GB2312" w:hAnsi="仿宋_GB2312" w:cs="仿宋_GB2312"/>
          <w:sz w:val="32"/>
          <w:szCs w:val="32"/>
        </w:rPr>
        <w:t>：</w:t>
      </w:r>
    </w:p>
    <w:p w14:paraId="28775CCB">
      <w:pPr>
        <w:adjustRightInd w:val="0"/>
        <w:snapToGrid w:val="0"/>
        <w:spacing w:line="360" w:lineRule="auto"/>
        <w:jc w:val="center"/>
        <w:rPr>
          <w:rFonts w:ascii="黑体" w:hAnsi="黑体" w:eastAsia="黑体" w:cs="黑体"/>
          <w:sz w:val="28"/>
          <w:szCs w:val="28"/>
        </w:rPr>
      </w:pPr>
      <w:r>
        <w:rPr>
          <w:rFonts w:hint="eastAsia" w:ascii="黑体" w:hAnsi="黑体" w:eastAsia="黑体" w:cs="黑体"/>
          <w:sz w:val="28"/>
          <w:szCs w:val="28"/>
        </w:rPr>
        <w:t>表</w:t>
      </w:r>
      <w:r>
        <w:rPr>
          <w:rFonts w:hint="eastAsia" w:ascii="黑体" w:hAnsi="黑体" w:eastAsia="黑体" w:cs="黑体"/>
          <w:sz w:val="28"/>
          <w:szCs w:val="28"/>
          <w:lang w:val="en-US" w:eastAsia="zh-CN"/>
        </w:rPr>
        <w:t>3</w:t>
      </w:r>
      <w:r>
        <w:rPr>
          <w:rFonts w:hint="eastAsia" w:ascii="黑体" w:hAnsi="黑体" w:eastAsia="黑体" w:cs="黑体"/>
          <w:sz w:val="28"/>
          <w:szCs w:val="28"/>
        </w:rPr>
        <w:t>：首都图书馆购置数字资源</w:t>
      </w:r>
      <w:r>
        <w:rPr>
          <w:rFonts w:hint="eastAsia" w:ascii="黑体" w:hAnsi="黑体" w:eastAsia="黑体" w:cs="黑体"/>
          <w:sz w:val="28"/>
          <w:szCs w:val="28"/>
          <w:lang w:val="en-US" w:eastAsia="zh-CN"/>
        </w:rPr>
        <w:t>项目</w:t>
      </w:r>
      <w:r>
        <w:rPr>
          <w:rFonts w:hint="eastAsia" w:ascii="黑体" w:hAnsi="黑体" w:eastAsia="黑体" w:cs="黑体"/>
          <w:sz w:val="28"/>
          <w:szCs w:val="28"/>
        </w:rPr>
        <w:t>202</w:t>
      </w:r>
      <w:r>
        <w:rPr>
          <w:rFonts w:hint="eastAsia" w:ascii="黑体" w:hAnsi="黑体" w:eastAsia="黑体" w:cs="黑体"/>
          <w:sz w:val="28"/>
          <w:szCs w:val="28"/>
          <w:lang w:val="en-US" w:eastAsia="zh-CN"/>
        </w:rPr>
        <w:t>4</w:t>
      </w:r>
      <w:r>
        <w:rPr>
          <w:rFonts w:hint="eastAsia" w:ascii="黑体" w:hAnsi="黑体" w:eastAsia="黑体" w:cs="黑体"/>
          <w:sz w:val="28"/>
          <w:szCs w:val="28"/>
        </w:rPr>
        <w:t>年度绩效指标完成情况</w:t>
      </w:r>
    </w:p>
    <w:tbl>
      <w:tblPr>
        <w:tblStyle w:val="9"/>
        <w:tblW w:w="9795" w:type="dxa"/>
        <w:jc w:val="center"/>
        <w:tblLayout w:type="fixed"/>
        <w:tblCellMar>
          <w:top w:w="0" w:type="dxa"/>
          <w:left w:w="0" w:type="dxa"/>
          <w:bottom w:w="0" w:type="dxa"/>
          <w:right w:w="0" w:type="dxa"/>
        </w:tblCellMar>
      </w:tblPr>
      <w:tblGrid>
        <w:gridCol w:w="1263"/>
        <w:gridCol w:w="1478"/>
        <w:gridCol w:w="2107"/>
        <w:gridCol w:w="1943"/>
        <w:gridCol w:w="1462"/>
        <w:gridCol w:w="1542"/>
      </w:tblGrid>
      <w:tr w14:paraId="2F9FF49C">
        <w:tblPrEx>
          <w:tblCellMar>
            <w:top w:w="0" w:type="dxa"/>
            <w:left w:w="0" w:type="dxa"/>
            <w:bottom w:w="0" w:type="dxa"/>
            <w:right w:w="0" w:type="dxa"/>
          </w:tblCellMar>
        </w:tblPrEx>
        <w:trPr>
          <w:trHeight w:val="312"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0F1113C">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一级指标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2EF0DA">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二级指标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2DAD508">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三级指标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02B54B9">
            <w:pPr>
              <w:widowControl/>
              <w:jc w:val="center"/>
              <w:textAlignment w:val="center"/>
              <w:rPr>
                <w:rFonts w:hint="eastAsia" w:ascii="宋体" w:hAnsi="宋体" w:eastAsia="宋体" w:cs="宋体"/>
                <w:b/>
                <w:color w:val="000000"/>
                <w:sz w:val="20"/>
                <w:szCs w:val="20"/>
              </w:rPr>
            </w:pPr>
            <w:r>
              <w:rPr>
                <w:rFonts w:hint="eastAsia" w:ascii="宋体" w:hAnsi="宋体" w:eastAsia="宋体" w:cs="宋体"/>
                <w:b/>
                <w:color w:val="000000"/>
                <w:kern w:val="0"/>
                <w:sz w:val="20"/>
                <w:szCs w:val="20"/>
                <w:lang w:bidi="ar"/>
              </w:rPr>
              <w:t>年度指标值</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95DF540">
            <w:pPr>
              <w:widowControl/>
              <w:jc w:val="center"/>
              <w:textAlignment w:val="center"/>
              <w:rPr>
                <w:rFonts w:hint="eastAsia" w:ascii="宋体" w:hAnsi="宋体" w:eastAsia="宋体" w:cs="宋体"/>
                <w:b/>
                <w:color w:val="000000"/>
                <w:kern w:val="0"/>
                <w:sz w:val="20"/>
                <w:szCs w:val="20"/>
                <w:lang w:bidi="ar"/>
              </w:rPr>
            </w:pPr>
            <w:r>
              <w:rPr>
                <w:rFonts w:hint="eastAsia" w:ascii="宋体" w:hAnsi="宋体" w:eastAsia="宋体" w:cs="宋体"/>
                <w:b/>
                <w:color w:val="000000"/>
                <w:kern w:val="0"/>
                <w:sz w:val="20"/>
                <w:szCs w:val="20"/>
                <w:lang w:bidi="ar"/>
              </w:rPr>
              <w:t>完成值</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496935B">
            <w:pPr>
              <w:widowControl/>
              <w:jc w:val="center"/>
              <w:textAlignment w:val="center"/>
              <w:rPr>
                <w:rFonts w:hint="eastAsia" w:ascii="宋体" w:hAnsi="宋体" w:eastAsia="宋体" w:cs="宋体"/>
                <w:b/>
                <w:color w:val="000000"/>
                <w:kern w:val="0"/>
                <w:sz w:val="20"/>
                <w:szCs w:val="20"/>
                <w:lang w:bidi="ar"/>
              </w:rPr>
            </w:pPr>
            <w:r>
              <w:rPr>
                <w:rFonts w:hint="eastAsia" w:ascii="宋体" w:hAnsi="宋体" w:eastAsia="宋体" w:cs="宋体"/>
                <w:b/>
                <w:color w:val="000000"/>
                <w:kern w:val="0"/>
                <w:sz w:val="20"/>
                <w:szCs w:val="20"/>
                <w:lang w:bidi="ar"/>
              </w:rPr>
              <w:t>未完成原因和改进措施</w:t>
            </w:r>
          </w:p>
        </w:tc>
      </w:tr>
      <w:tr w14:paraId="45097B20">
        <w:tblPrEx>
          <w:tblCellMar>
            <w:top w:w="0" w:type="dxa"/>
            <w:left w:w="0" w:type="dxa"/>
            <w:bottom w:w="0" w:type="dxa"/>
            <w:right w:w="0" w:type="dxa"/>
          </w:tblCellMar>
        </w:tblPrEx>
        <w:trPr>
          <w:trHeight w:val="403" w:hRule="atLeast"/>
          <w:jc w:val="center"/>
        </w:trPr>
        <w:tc>
          <w:tcPr>
            <w:tcW w:w="126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677C36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产出指标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8F881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C643C5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数字资源</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C6A82C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34种</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D27211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34种</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212C8C2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p>
        </w:tc>
      </w:tr>
      <w:tr w14:paraId="661D38F2">
        <w:tblPrEx>
          <w:tblCellMar>
            <w:top w:w="0" w:type="dxa"/>
            <w:left w:w="0" w:type="dxa"/>
            <w:bottom w:w="0" w:type="dxa"/>
            <w:right w:w="0" w:type="dxa"/>
          </w:tblCellMar>
        </w:tblPrEx>
        <w:trPr>
          <w:trHeight w:val="763" w:hRule="atLeast"/>
          <w:jc w:val="center"/>
        </w:trPr>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7C554FE">
            <w:pPr>
              <w:jc w:val="center"/>
              <w:rPr>
                <w:rFonts w:hint="eastAsia" w:ascii="宋体" w:hAnsi="宋体" w:eastAsia="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85A4A0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AD59E8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验收通过率</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0300B5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100.00%</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E30087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暂未完成</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3C05F84">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跨年项目，25年合同执行完毕后进行验收。</w:t>
            </w:r>
          </w:p>
        </w:tc>
      </w:tr>
      <w:tr w14:paraId="00A78B87">
        <w:tblPrEx>
          <w:tblCellMar>
            <w:top w:w="0" w:type="dxa"/>
            <w:left w:w="0" w:type="dxa"/>
            <w:bottom w:w="0" w:type="dxa"/>
            <w:right w:w="0" w:type="dxa"/>
          </w:tblCellMar>
        </w:tblPrEx>
        <w:trPr>
          <w:trHeight w:val="395" w:hRule="atLeast"/>
          <w:jc w:val="center"/>
        </w:trPr>
        <w:tc>
          <w:tcPr>
            <w:tcW w:w="126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A1E8EA2">
            <w:pPr>
              <w:jc w:val="center"/>
              <w:rPr>
                <w:rFonts w:hint="eastAsia" w:ascii="宋体" w:hAnsi="宋体" w:eastAsia="宋体" w:cs="宋体"/>
                <w:color w:val="000000"/>
                <w:sz w:val="20"/>
                <w:szCs w:val="20"/>
              </w:rPr>
            </w:pP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15293D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7FED21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完成合同签订</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5CF53B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10月</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DCA66C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10月</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8D5799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p>
        </w:tc>
      </w:tr>
      <w:tr w14:paraId="4122B554">
        <w:tblPrEx>
          <w:tblCellMar>
            <w:top w:w="0" w:type="dxa"/>
            <w:left w:w="0" w:type="dxa"/>
            <w:bottom w:w="0" w:type="dxa"/>
            <w:right w:w="0" w:type="dxa"/>
          </w:tblCellMar>
        </w:tblPrEx>
        <w:trPr>
          <w:trHeight w:val="530"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6A0677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成本指标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2AD837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599459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项目预算控制数</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410B2F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≤1061.9721万元</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FAF5FA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1056.9696万元</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5F5C8B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3E86F36A">
        <w:tblPrEx>
          <w:tblCellMar>
            <w:top w:w="0" w:type="dxa"/>
            <w:left w:w="0" w:type="dxa"/>
            <w:bottom w:w="0" w:type="dxa"/>
            <w:right w:w="0" w:type="dxa"/>
          </w:tblCellMar>
        </w:tblPrEx>
        <w:trPr>
          <w:trHeight w:val="600"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B9339F8">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效益指标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0A23D2D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1B5D0DD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提高图书馆数字资源质量，满足民众文化需求</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BE8319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优</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75C2605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100%</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CF5D8B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p>
        </w:tc>
      </w:tr>
      <w:tr w14:paraId="16434E43">
        <w:tblPrEx>
          <w:tblCellMar>
            <w:top w:w="0" w:type="dxa"/>
            <w:left w:w="0" w:type="dxa"/>
            <w:bottom w:w="0" w:type="dxa"/>
            <w:right w:w="0" w:type="dxa"/>
          </w:tblCellMar>
        </w:tblPrEx>
        <w:trPr>
          <w:trHeight w:val="505" w:hRule="atLeast"/>
          <w:jc w:val="center"/>
        </w:trPr>
        <w:tc>
          <w:tcPr>
            <w:tcW w:w="126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A34FFAD">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满意度指标</w:t>
            </w:r>
          </w:p>
        </w:tc>
        <w:tc>
          <w:tcPr>
            <w:tcW w:w="1478"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3E41655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满意度指标</w:t>
            </w:r>
          </w:p>
        </w:tc>
        <w:tc>
          <w:tcPr>
            <w:tcW w:w="2107"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6DD99E1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读者满意度</w:t>
            </w:r>
          </w:p>
        </w:tc>
        <w:tc>
          <w:tcPr>
            <w:tcW w:w="1943"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0937A6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≥85%</w:t>
            </w:r>
          </w:p>
        </w:tc>
        <w:tc>
          <w:tcPr>
            <w:tcW w:w="146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44CBA05A">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97%</w:t>
            </w:r>
          </w:p>
        </w:tc>
        <w:tc>
          <w:tcPr>
            <w:tcW w:w="1542" w:type="dxa"/>
            <w:tcBorders>
              <w:top w:val="single" w:color="000000" w:sz="4" w:space="0"/>
              <w:left w:val="single" w:color="000000" w:sz="4" w:space="0"/>
              <w:bottom w:val="single" w:color="000000" w:sz="4" w:space="0"/>
              <w:right w:val="single" w:color="000000" w:sz="4" w:space="0"/>
            </w:tcBorders>
            <w:shd w:val="clear" w:color="auto" w:fill="auto"/>
            <w:noWrap/>
            <w:tcMar>
              <w:top w:w="8" w:type="dxa"/>
              <w:left w:w="8" w:type="dxa"/>
              <w:right w:w="8" w:type="dxa"/>
            </w:tcMar>
            <w:vAlign w:val="center"/>
          </w:tcPr>
          <w:p w14:paraId="52D37BDA">
            <w:pPr>
              <w:widowControl/>
              <w:jc w:val="center"/>
              <w:textAlignment w:val="center"/>
              <w:rPr>
                <w:rFonts w:hint="eastAsia" w:ascii="宋体" w:hAnsi="宋体" w:eastAsia="宋体" w:cs="宋体"/>
                <w:color w:val="000000"/>
                <w:kern w:val="0"/>
                <w:sz w:val="20"/>
                <w:szCs w:val="20"/>
                <w:highlight w:val="yellow"/>
                <w:lang w:bidi="ar"/>
              </w:rPr>
            </w:pPr>
            <w:r>
              <w:rPr>
                <w:rFonts w:hint="eastAsia" w:ascii="宋体" w:hAnsi="宋体" w:eastAsia="宋体" w:cs="宋体"/>
                <w:color w:val="000000"/>
                <w:kern w:val="0"/>
                <w:sz w:val="20"/>
                <w:szCs w:val="20"/>
                <w:lang w:bidi="ar"/>
              </w:rPr>
              <w:t>——</w:t>
            </w:r>
          </w:p>
        </w:tc>
      </w:tr>
    </w:tbl>
    <w:p w14:paraId="1FFB175A">
      <w:pPr>
        <w:adjustRightInd w:val="0"/>
        <w:snapToGrid w:val="0"/>
        <w:spacing w:line="360" w:lineRule="auto"/>
        <w:rPr>
          <w:rFonts w:ascii="宋体" w:hAnsi="宋体" w:eastAsia="宋体"/>
          <w:sz w:val="20"/>
          <w:szCs w:val="20"/>
        </w:rPr>
      </w:pPr>
    </w:p>
    <w:p w14:paraId="66B487F6">
      <w:pPr>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4.全国智慧图书馆体系建设项目</w:t>
      </w:r>
    </w:p>
    <w:p w14:paraId="31C098AB">
      <w:pPr>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202</w:t>
      </w:r>
      <w:r>
        <w:rPr>
          <w:rFonts w:hint="eastAsia" w:ascii="仿宋_GB2312" w:hAnsi="仿宋_GB2312" w:cs="仿宋_GB2312"/>
          <w:sz w:val="32"/>
          <w:szCs w:val="32"/>
          <w:lang w:val="en-US" w:eastAsia="zh-CN"/>
        </w:rPr>
        <w:t>4</w:t>
      </w:r>
      <w:r>
        <w:rPr>
          <w:rFonts w:hint="eastAsia" w:ascii="仿宋_GB2312" w:hAnsi="仿宋_GB2312" w:cs="仿宋_GB2312"/>
          <w:sz w:val="32"/>
          <w:szCs w:val="32"/>
        </w:rPr>
        <w:t>年，该项目基本按计划完成了中央下达的各项绩效指标</w:t>
      </w:r>
      <w:r>
        <w:rPr>
          <w:rFonts w:hint="eastAsia" w:ascii="仿宋_GB2312" w:hAnsi="仿宋_GB2312" w:cs="仿宋_GB2312"/>
          <w:sz w:val="32"/>
          <w:szCs w:val="32"/>
          <w:lang w:eastAsia="zh-CN"/>
        </w:rPr>
        <w:t>。</w:t>
      </w:r>
      <w:r>
        <w:rPr>
          <w:rFonts w:hint="eastAsia" w:ascii="仿宋_GB2312" w:hAnsi="仿宋_GB2312" w:cs="仿宋_GB2312"/>
          <w:sz w:val="32"/>
          <w:szCs w:val="32"/>
        </w:rPr>
        <w:t>各项指标完成情况详见下表：</w:t>
      </w:r>
    </w:p>
    <w:p w14:paraId="4281158E">
      <w:pPr>
        <w:adjustRightInd w:val="0"/>
        <w:snapToGrid w:val="0"/>
        <w:spacing w:line="360" w:lineRule="auto"/>
        <w:jc w:val="center"/>
        <w:rPr>
          <w:rFonts w:ascii="黑体" w:hAnsi="黑体" w:eastAsia="黑体" w:cs="黑体"/>
          <w:sz w:val="28"/>
          <w:szCs w:val="28"/>
        </w:rPr>
      </w:pPr>
      <w:r>
        <w:rPr>
          <w:rFonts w:hint="eastAsia" w:ascii="黑体" w:hAnsi="黑体" w:eastAsia="黑体" w:cs="黑体"/>
          <w:sz w:val="28"/>
          <w:szCs w:val="28"/>
        </w:rPr>
        <w:t>表</w:t>
      </w:r>
      <w:r>
        <w:rPr>
          <w:rFonts w:hint="eastAsia" w:ascii="黑体" w:hAnsi="黑体" w:eastAsia="黑体" w:cs="黑体"/>
          <w:sz w:val="28"/>
          <w:szCs w:val="28"/>
          <w:lang w:val="en-US" w:eastAsia="zh-CN"/>
        </w:rPr>
        <w:t>4</w:t>
      </w:r>
      <w:r>
        <w:rPr>
          <w:rFonts w:hint="eastAsia" w:ascii="黑体" w:hAnsi="黑体" w:eastAsia="黑体" w:cs="黑体"/>
          <w:sz w:val="28"/>
          <w:szCs w:val="28"/>
        </w:rPr>
        <w:t>：全国智慧图书馆体系建设项目20</w:t>
      </w:r>
      <w:r>
        <w:rPr>
          <w:rFonts w:hint="eastAsia" w:ascii="黑体" w:hAnsi="黑体" w:eastAsia="黑体" w:cs="黑体"/>
          <w:sz w:val="28"/>
          <w:szCs w:val="28"/>
          <w:lang w:val="en-US" w:eastAsia="zh-CN"/>
        </w:rPr>
        <w:t>24</w:t>
      </w:r>
      <w:r>
        <w:rPr>
          <w:rFonts w:hint="eastAsia" w:ascii="黑体" w:hAnsi="黑体" w:eastAsia="黑体" w:cs="黑体"/>
          <w:sz w:val="28"/>
          <w:szCs w:val="28"/>
        </w:rPr>
        <w:t>年度绩效指标完成情况</w:t>
      </w:r>
    </w:p>
    <w:tbl>
      <w:tblPr>
        <w:tblStyle w:val="9"/>
        <w:tblW w:w="9701" w:type="dxa"/>
        <w:jc w:val="center"/>
        <w:tblLayout w:type="autofit"/>
        <w:tblCellMar>
          <w:top w:w="0" w:type="dxa"/>
          <w:left w:w="108" w:type="dxa"/>
          <w:bottom w:w="0" w:type="dxa"/>
          <w:right w:w="108" w:type="dxa"/>
        </w:tblCellMar>
      </w:tblPr>
      <w:tblGrid>
        <w:gridCol w:w="1088"/>
        <w:gridCol w:w="1292"/>
        <w:gridCol w:w="1642"/>
        <w:gridCol w:w="1440"/>
        <w:gridCol w:w="1620"/>
        <w:gridCol w:w="2619"/>
      </w:tblGrid>
      <w:tr w14:paraId="342FB229">
        <w:tblPrEx>
          <w:tblCellMar>
            <w:top w:w="0" w:type="dxa"/>
            <w:left w:w="108" w:type="dxa"/>
            <w:bottom w:w="0" w:type="dxa"/>
            <w:right w:w="108" w:type="dxa"/>
          </w:tblCellMar>
        </w:tblPrEx>
        <w:trPr>
          <w:cantSplit/>
          <w:trHeight w:val="522" w:hRule="atLeast"/>
          <w:tblHeader/>
          <w:jc w:val="center"/>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73697">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一级指标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6232F">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二级指标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A44D">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三级指标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C2346">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年度指标值</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1ED4D">
            <w:pPr>
              <w:widowControl/>
              <w:jc w:val="center"/>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完成值</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77A5">
            <w:pPr>
              <w:widowControl/>
              <w:jc w:val="center"/>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未完成原因及措施</w:t>
            </w:r>
          </w:p>
        </w:tc>
      </w:tr>
      <w:tr w14:paraId="4D47D330">
        <w:tblPrEx>
          <w:tblCellMar>
            <w:top w:w="0" w:type="dxa"/>
            <w:left w:w="108" w:type="dxa"/>
            <w:bottom w:w="0" w:type="dxa"/>
            <w:right w:w="108" w:type="dxa"/>
          </w:tblCellMar>
        </w:tblPrEx>
        <w:trPr>
          <w:trHeight w:val="264" w:hRule="atLeast"/>
          <w:jc w:val="center"/>
        </w:trPr>
        <w:tc>
          <w:tcPr>
            <w:tcW w:w="10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D291B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产出</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8DA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0D80D">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加工筒子叶数量</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D390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≥7万筒子叶</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6DE7">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7.184万筒子叶</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1FEC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r w14:paraId="4F486ED3">
        <w:tblPrEx>
          <w:tblCellMar>
            <w:top w:w="0" w:type="dxa"/>
            <w:left w:w="108" w:type="dxa"/>
            <w:bottom w:w="0" w:type="dxa"/>
            <w:right w:w="108" w:type="dxa"/>
          </w:tblCellMar>
        </w:tblPrEx>
        <w:trPr>
          <w:trHeight w:val="264" w:hRule="atLeast"/>
          <w:jc w:val="center"/>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A96F">
            <w:pPr>
              <w:jc w:val="center"/>
              <w:rPr>
                <w:rFonts w:hint="eastAsia"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9EEB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8228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项目验收通过率</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1370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100%</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A261F">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已完成本级验收</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54DD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sz w:val="20"/>
                <w:szCs w:val="20"/>
              </w:rPr>
              <w:t>按计划文旅部将于2025年6月底前验收</w:t>
            </w:r>
          </w:p>
        </w:tc>
      </w:tr>
      <w:tr w14:paraId="29D92BC1">
        <w:tblPrEx>
          <w:tblCellMar>
            <w:top w:w="0" w:type="dxa"/>
            <w:left w:w="108" w:type="dxa"/>
            <w:bottom w:w="0" w:type="dxa"/>
            <w:right w:w="108" w:type="dxa"/>
          </w:tblCellMar>
        </w:tblPrEx>
        <w:trPr>
          <w:trHeight w:val="280" w:hRule="atLeast"/>
          <w:jc w:val="center"/>
        </w:trPr>
        <w:tc>
          <w:tcPr>
            <w:tcW w:w="10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06B32">
            <w:pPr>
              <w:jc w:val="center"/>
              <w:rPr>
                <w:rFonts w:hint="eastAsia" w:ascii="宋体" w:hAnsi="宋体" w:eastAsia="宋体" w:cs="宋体"/>
                <w:color w:val="000000"/>
                <w:sz w:val="20"/>
                <w:szCs w:val="20"/>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D2F2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209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验收</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0B2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2025年6月前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3155">
            <w:pPr>
              <w:widowControl/>
              <w:jc w:val="center"/>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已完成本级验收</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747C5">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sz w:val="20"/>
                <w:szCs w:val="20"/>
              </w:rPr>
              <w:t>按计划文旅部将于2025年6月底前验收</w:t>
            </w:r>
          </w:p>
        </w:tc>
      </w:tr>
      <w:tr w14:paraId="155806EF">
        <w:tblPrEx>
          <w:tblCellMar>
            <w:top w:w="0" w:type="dxa"/>
            <w:left w:w="108" w:type="dxa"/>
            <w:bottom w:w="0" w:type="dxa"/>
            <w:right w:w="108" w:type="dxa"/>
          </w:tblCellMar>
        </w:tblPrEx>
        <w:trPr>
          <w:trHeight w:val="395" w:hRule="atLeast"/>
          <w:jc w:val="center"/>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6721">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成本</w:t>
            </w:r>
          </w:p>
          <w:p w14:paraId="7231128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指标</w:t>
            </w:r>
          </w:p>
        </w:tc>
        <w:tc>
          <w:tcPr>
            <w:tcW w:w="1292" w:type="dxa"/>
            <w:tcBorders>
              <w:top w:val="single" w:color="000000" w:sz="4" w:space="0"/>
              <w:left w:val="single" w:color="000000" w:sz="4" w:space="0"/>
              <w:bottom w:val="nil"/>
              <w:right w:val="single" w:color="000000" w:sz="4" w:space="0"/>
            </w:tcBorders>
            <w:shd w:val="clear" w:color="auto" w:fill="auto"/>
            <w:vAlign w:val="center"/>
          </w:tcPr>
          <w:p w14:paraId="5FA1F34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经济成本指标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EA6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文献数字化每筒子叶成本</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0B5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≤35元</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02F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32.52元</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988F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p>
        </w:tc>
      </w:tr>
      <w:tr w14:paraId="6BCBAB8F">
        <w:tblPrEx>
          <w:tblCellMar>
            <w:top w:w="0" w:type="dxa"/>
            <w:left w:w="108" w:type="dxa"/>
            <w:bottom w:w="0" w:type="dxa"/>
            <w:right w:w="108" w:type="dxa"/>
          </w:tblCellMar>
        </w:tblPrEx>
        <w:trPr>
          <w:trHeight w:val="605" w:hRule="atLeast"/>
          <w:jc w:val="center"/>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AFE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效益</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指标</w:t>
            </w:r>
          </w:p>
        </w:tc>
        <w:tc>
          <w:tcPr>
            <w:tcW w:w="1292" w:type="dxa"/>
            <w:tcBorders>
              <w:top w:val="single" w:color="000000" w:sz="4" w:space="0"/>
              <w:left w:val="single" w:color="000000" w:sz="4" w:space="0"/>
              <w:bottom w:val="nil"/>
              <w:right w:val="single" w:color="000000" w:sz="4" w:space="0"/>
            </w:tcBorders>
            <w:shd w:val="clear" w:color="auto" w:fill="auto"/>
            <w:vAlign w:val="center"/>
          </w:tcPr>
          <w:p w14:paraId="677F09C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727F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进一步丰富古籍数字化资源</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985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有效提升</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C28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100%</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D5B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w:t>
            </w:r>
          </w:p>
        </w:tc>
      </w:tr>
      <w:tr w14:paraId="0E0BF4B1">
        <w:tblPrEx>
          <w:tblCellMar>
            <w:top w:w="0" w:type="dxa"/>
            <w:left w:w="108" w:type="dxa"/>
            <w:bottom w:w="0" w:type="dxa"/>
            <w:right w:w="108" w:type="dxa"/>
          </w:tblCellMar>
        </w:tblPrEx>
        <w:trPr>
          <w:trHeight w:val="544" w:hRule="atLeast"/>
          <w:jc w:val="center"/>
        </w:trPr>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178FE">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A5C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服务对象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满意度指标</w:t>
            </w:r>
          </w:p>
        </w:tc>
        <w:tc>
          <w:tcPr>
            <w:tcW w:w="1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3A6B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使用对象满意度</w:t>
            </w:r>
          </w:p>
        </w:tc>
        <w:tc>
          <w:tcPr>
            <w:tcW w:w="14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E27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不单独测评</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FF89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不单独测评</w:t>
            </w:r>
          </w:p>
        </w:tc>
        <w:tc>
          <w:tcPr>
            <w:tcW w:w="2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FF737">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w:t>
            </w:r>
          </w:p>
        </w:tc>
      </w:tr>
    </w:tbl>
    <w:p w14:paraId="57C81E42">
      <w:pPr>
        <w:keepNext w:val="0"/>
        <w:keepLines w:val="0"/>
        <w:pageBreakBefore w:val="0"/>
        <w:widowControl w:val="0"/>
        <w:kinsoku/>
        <w:wordWrap/>
        <w:overflowPunct/>
        <w:topLinePunct w:val="0"/>
        <w:autoSpaceDE/>
        <w:autoSpaceDN/>
        <w:bidi w:val="0"/>
        <w:adjustRightInd w:val="0"/>
        <w:snapToGrid w:val="0"/>
        <w:spacing w:line="40" w:lineRule="exact"/>
        <w:textAlignment w:val="auto"/>
        <w:rPr>
          <w:rFonts w:eastAsia="黑体"/>
          <w:sz w:val="28"/>
          <w:szCs w:val="28"/>
        </w:rPr>
      </w:pPr>
    </w:p>
    <w:p w14:paraId="05C5F1D4">
      <w:pPr>
        <w:adjustRightInd w:val="0"/>
        <w:snapToGrid w:val="0"/>
        <w:spacing w:line="360" w:lineRule="auto"/>
        <w:ind w:firstLine="640" w:firstLineChars="200"/>
        <w:rPr>
          <w:rFonts w:hint="eastAsia" w:ascii="仿宋_GB2312" w:hAnsi="仿宋_GB2312" w:cs="仿宋_GB2312"/>
          <w:sz w:val="32"/>
          <w:szCs w:val="32"/>
          <w:lang w:val="en-US" w:eastAsia="zh-CN"/>
        </w:rPr>
      </w:pPr>
    </w:p>
    <w:p w14:paraId="77FCBF96">
      <w:pPr>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lang w:val="en-US" w:eastAsia="zh-CN"/>
        </w:rPr>
        <w:t>5</w:t>
      </w:r>
      <w:r>
        <w:rPr>
          <w:rFonts w:hint="eastAsia" w:ascii="仿宋_GB2312" w:hAnsi="仿宋_GB2312" w:cs="仿宋_GB2312"/>
          <w:sz w:val="32"/>
          <w:szCs w:val="32"/>
        </w:rPr>
        <w:t>.全公共文化云建设项目项目</w:t>
      </w:r>
    </w:p>
    <w:p w14:paraId="105E509A">
      <w:pPr>
        <w:adjustRightInd w:val="0"/>
        <w:snapToGrid w:val="0"/>
        <w:spacing w:line="360" w:lineRule="auto"/>
        <w:ind w:firstLine="640" w:firstLineChars="200"/>
        <w:rPr>
          <w:rFonts w:ascii="仿宋_GB2312" w:hAnsi="仿宋_GB2312" w:cs="仿宋_GB2312"/>
          <w:sz w:val="32"/>
          <w:szCs w:val="32"/>
        </w:rPr>
      </w:pPr>
      <w:r>
        <w:rPr>
          <w:rFonts w:hint="eastAsia" w:ascii="仿宋_GB2312" w:hAnsi="仿宋_GB2312" w:cs="仿宋_GB2312"/>
          <w:sz w:val="32"/>
          <w:szCs w:val="32"/>
        </w:rPr>
        <w:t>202</w:t>
      </w:r>
      <w:r>
        <w:rPr>
          <w:rFonts w:hint="eastAsia" w:ascii="仿宋_GB2312" w:hAnsi="仿宋_GB2312" w:cs="仿宋_GB2312"/>
          <w:sz w:val="32"/>
          <w:szCs w:val="32"/>
          <w:lang w:val="en-US" w:eastAsia="zh-CN"/>
        </w:rPr>
        <w:t>4</w:t>
      </w:r>
      <w:r>
        <w:rPr>
          <w:rFonts w:hint="eastAsia" w:ascii="仿宋_GB2312" w:hAnsi="仿宋_GB2312" w:cs="仿宋_GB2312"/>
          <w:sz w:val="32"/>
          <w:szCs w:val="32"/>
        </w:rPr>
        <w:t>年，该项目圆满完成了中央下达的各项绩效指标</w:t>
      </w:r>
      <w:r>
        <w:rPr>
          <w:rFonts w:hint="eastAsia" w:ascii="仿宋_GB2312" w:hAnsi="仿宋_GB2312" w:cs="仿宋_GB2312"/>
          <w:sz w:val="32"/>
          <w:szCs w:val="32"/>
          <w:lang w:eastAsia="zh-CN"/>
        </w:rPr>
        <w:t>。</w:t>
      </w:r>
      <w:r>
        <w:rPr>
          <w:rFonts w:hint="eastAsia" w:ascii="仿宋_GB2312" w:hAnsi="仿宋_GB2312" w:cs="仿宋_GB2312"/>
          <w:sz w:val="32"/>
          <w:szCs w:val="32"/>
        </w:rPr>
        <w:t>各项指标完成情况详见下表：</w:t>
      </w:r>
    </w:p>
    <w:p w14:paraId="0907E307">
      <w:pPr>
        <w:adjustRightInd w:val="0"/>
        <w:snapToGrid w:val="0"/>
        <w:spacing w:line="360" w:lineRule="auto"/>
        <w:jc w:val="center"/>
        <w:rPr>
          <w:rFonts w:ascii="黑体" w:hAnsi="黑体" w:eastAsia="黑体" w:cs="黑体"/>
          <w:sz w:val="28"/>
          <w:szCs w:val="28"/>
        </w:rPr>
      </w:pPr>
      <w:r>
        <w:rPr>
          <w:rFonts w:hint="eastAsia" w:ascii="黑体" w:hAnsi="黑体" w:eastAsia="黑体" w:cs="黑体"/>
          <w:sz w:val="28"/>
          <w:szCs w:val="28"/>
        </w:rPr>
        <w:t>表</w:t>
      </w:r>
      <w:r>
        <w:rPr>
          <w:rFonts w:hint="eastAsia" w:ascii="黑体" w:hAnsi="黑体" w:eastAsia="黑体" w:cs="黑体"/>
          <w:sz w:val="28"/>
          <w:szCs w:val="28"/>
          <w:lang w:val="en-US" w:eastAsia="zh-CN"/>
        </w:rPr>
        <w:t>4</w:t>
      </w:r>
      <w:r>
        <w:rPr>
          <w:rFonts w:hint="eastAsia" w:ascii="黑体" w:hAnsi="黑体" w:eastAsia="黑体" w:cs="黑体"/>
          <w:sz w:val="28"/>
          <w:szCs w:val="28"/>
        </w:rPr>
        <w:t>：公共文化云建设项目20</w:t>
      </w:r>
      <w:r>
        <w:rPr>
          <w:rFonts w:hint="eastAsia" w:ascii="黑体" w:hAnsi="黑体" w:eastAsia="黑体" w:cs="黑体"/>
          <w:sz w:val="28"/>
          <w:szCs w:val="28"/>
          <w:lang w:val="en-US" w:eastAsia="zh-CN"/>
        </w:rPr>
        <w:t>24</w:t>
      </w:r>
      <w:r>
        <w:rPr>
          <w:rFonts w:hint="eastAsia" w:ascii="黑体" w:hAnsi="黑体" w:eastAsia="黑体" w:cs="黑体"/>
          <w:sz w:val="28"/>
          <w:szCs w:val="28"/>
        </w:rPr>
        <w:t>年度绩效指标完成情况</w:t>
      </w:r>
    </w:p>
    <w:tbl>
      <w:tblPr>
        <w:tblStyle w:val="9"/>
        <w:tblW w:w="9411" w:type="dxa"/>
        <w:tblInd w:w="-325" w:type="dxa"/>
        <w:tblLayout w:type="fixed"/>
        <w:tblCellMar>
          <w:top w:w="0" w:type="dxa"/>
          <w:left w:w="108" w:type="dxa"/>
          <w:bottom w:w="0" w:type="dxa"/>
          <w:right w:w="108" w:type="dxa"/>
        </w:tblCellMar>
      </w:tblPr>
      <w:tblGrid>
        <w:gridCol w:w="1117"/>
        <w:gridCol w:w="1238"/>
        <w:gridCol w:w="2685"/>
        <w:gridCol w:w="2091"/>
        <w:gridCol w:w="2280"/>
      </w:tblGrid>
      <w:tr w14:paraId="54A08710">
        <w:tblPrEx>
          <w:tblCellMar>
            <w:top w:w="0" w:type="dxa"/>
            <w:left w:w="108" w:type="dxa"/>
            <w:bottom w:w="0" w:type="dxa"/>
            <w:right w:w="108" w:type="dxa"/>
          </w:tblCellMar>
        </w:tblPrEx>
        <w:trPr>
          <w:trHeight w:val="510" w:hRule="atLeast"/>
          <w:tblHeader/>
        </w:trPr>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E90F">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一级指标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70972">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二级指标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0175">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三级指标</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FF9D">
            <w:pPr>
              <w:widowControl/>
              <w:jc w:val="center"/>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年度指标值</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DFDED">
            <w:pPr>
              <w:widowControl/>
              <w:jc w:val="center"/>
              <w:textAlignment w:val="center"/>
              <w:rPr>
                <w:rFonts w:hint="eastAsia"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完成值</w:t>
            </w:r>
          </w:p>
        </w:tc>
      </w:tr>
      <w:tr w14:paraId="3A0E56A0">
        <w:tblPrEx>
          <w:tblCellMar>
            <w:top w:w="0" w:type="dxa"/>
            <w:left w:w="108" w:type="dxa"/>
            <w:bottom w:w="0" w:type="dxa"/>
            <w:right w:w="108" w:type="dxa"/>
          </w:tblCellMar>
        </w:tblPrEx>
        <w:trPr>
          <w:trHeight w:val="270" w:hRule="atLeast"/>
        </w:trPr>
        <w:tc>
          <w:tcPr>
            <w:tcW w:w="1117" w:type="dxa"/>
            <w:vMerge w:val="restart"/>
            <w:tcBorders>
              <w:top w:val="single" w:color="000000" w:sz="4" w:space="0"/>
              <w:left w:val="single" w:color="000000" w:sz="4" w:space="0"/>
              <w:right w:val="single" w:color="000000" w:sz="4" w:space="0"/>
            </w:tcBorders>
            <w:shd w:val="clear" w:color="auto" w:fill="auto"/>
            <w:vAlign w:val="center"/>
          </w:tcPr>
          <w:p w14:paraId="4E04AB56">
            <w:pPr>
              <w:jc w:val="center"/>
              <w:rPr>
                <w:rFonts w:hint="eastAsia" w:ascii="宋体" w:hAnsi="宋体" w:eastAsia="宋体" w:cs="宋体"/>
                <w:color w:val="000000"/>
                <w:sz w:val="20"/>
                <w:szCs w:val="20"/>
                <w:lang w:val="en-US" w:eastAsia="zh-CN"/>
              </w:rPr>
            </w:pPr>
            <w:r>
              <w:rPr>
                <w:rFonts w:hint="eastAsia" w:ascii="宋体" w:hAnsi="宋体" w:eastAsia="宋体" w:cs="宋体"/>
                <w:color w:val="000000"/>
                <w:kern w:val="0"/>
                <w:sz w:val="20"/>
                <w:szCs w:val="20"/>
                <w:lang w:bidi="ar"/>
              </w:rPr>
              <w:t>产出指标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31E4">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FD9C">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直录播场次</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9713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≥25场</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FBECF">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25场</w:t>
            </w:r>
          </w:p>
        </w:tc>
      </w:tr>
      <w:tr w14:paraId="36A6FE9B">
        <w:tblPrEx>
          <w:tblCellMar>
            <w:top w:w="0" w:type="dxa"/>
            <w:left w:w="108" w:type="dxa"/>
            <w:bottom w:w="0" w:type="dxa"/>
            <w:right w:w="108" w:type="dxa"/>
          </w:tblCellMar>
        </w:tblPrEx>
        <w:trPr>
          <w:trHeight w:val="270" w:hRule="atLeast"/>
        </w:trPr>
        <w:tc>
          <w:tcPr>
            <w:tcW w:w="1117" w:type="dxa"/>
            <w:vMerge w:val="continue"/>
            <w:tcBorders>
              <w:left w:val="single" w:color="000000" w:sz="4" w:space="0"/>
              <w:right w:val="single" w:color="000000" w:sz="4" w:space="0"/>
            </w:tcBorders>
            <w:shd w:val="clear" w:color="auto" w:fill="auto"/>
            <w:vAlign w:val="center"/>
          </w:tcPr>
          <w:p w14:paraId="759F6755">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2853">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6E1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区域性群众文化活动</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09D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≥5场</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9822">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5场</w:t>
            </w:r>
          </w:p>
        </w:tc>
      </w:tr>
      <w:tr w14:paraId="27B7DBBA">
        <w:tblPrEx>
          <w:tblCellMar>
            <w:top w:w="0" w:type="dxa"/>
            <w:left w:w="108" w:type="dxa"/>
            <w:bottom w:w="0" w:type="dxa"/>
            <w:right w:w="108" w:type="dxa"/>
          </w:tblCellMar>
        </w:tblPrEx>
        <w:trPr>
          <w:trHeight w:val="270" w:hRule="atLeast"/>
        </w:trPr>
        <w:tc>
          <w:tcPr>
            <w:tcW w:w="1117" w:type="dxa"/>
            <w:vMerge w:val="continue"/>
            <w:tcBorders>
              <w:left w:val="single" w:color="000000" w:sz="4" w:space="0"/>
              <w:right w:val="single" w:color="000000" w:sz="4" w:space="0"/>
            </w:tcBorders>
            <w:shd w:val="clear" w:color="auto" w:fill="auto"/>
            <w:vAlign w:val="center"/>
          </w:tcPr>
          <w:p w14:paraId="6C8388B0">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C595">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23C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学才艺课程建设</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4D6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≥80门</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6E9E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80门</w:t>
            </w:r>
          </w:p>
        </w:tc>
      </w:tr>
      <w:tr w14:paraId="198B3683">
        <w:tblPrEx>
          <w:tblCellMar>
            <w:top w:w="0" w:type="dxa"/>
            <w:left w:w="108" w:type="dxa"/>
            <w:bottom w:w="0" w:type="dxa"/>
            <w:right w:w="108" w:type="dxa"/>
          </w:tblCellMar>
        </w:tblPrEx>
        <w:trPr>
          <w:trHeight w:val="270" w:hRule="atLeast"/>
        </w:trPr>
        <w:tc>
          <w:tcPr>
            <w:tcW w:w="1117" w:type="dxa"/>
            <w:vMerge w:val="continue"/>
            <w:tcBorders>
              <w:left w:val="single" w:color="000000" w:sz="4" w:space="0"/>
              <w:right w:val="single" w:color="000000" w:sz="4" w:space="0"/>
            </w:tcBorders>
            <w:shd w:val="clear" w:color="auto" w:fill="auto"/>
            <w:vAlign w:val="center"/>
          </w:tcPr>
          <w:p w14:paraId="04847EBE">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09BC">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68B1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采集场馆及其活动信息</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9C3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≥5000条</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3DDD2">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5223条</w:t>
            </w:r>
          </w:p>
        </w:tc>
      </w:tr>
      <w:tr w14:paraId="56B32649">
        <w:tblPrEx>
          <w:tblCellMar>
            <w:top w:w="0" w:type="dxa"/>
            <w:left w:w="108" w:type="dxa"/>
            <w:bottom w:w="0" w:type="dxa"/>
            <w:right w:w="108" w:type="dxa"/>
          </w:tblCellMar>
        </w:tblPrEx>
        <w:trPr>
          <w:trHeight w:val="270" w:hRule="atLeast"/>
        </w:trPr>
        <w:tc>
          <w:tcPr>
            <w:tcW w:w="1117" w:type="dxa"/>
            <w:vMerge w:val="continue"/>
            <w:tcBorders>
              <w:left w:val="single" w:color="000000" w:sz="4" w:space="0"/>
              <w:right w:val="single" w:color="000000" w:sz="4" w:space="0"/>
            </w:tcBorders>
            <w:shd w:val="clear" w:color="auto" w:fill="auto"/>
            <w:vAlign w:val="center"/>
          </w:tcPr>
          <w:p w14:paraId="68A14577">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37629">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B365">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建设赶大集专区</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A2C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1个</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44AF3">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1个</w:t>
            </w:r>
          </w:p>
        </w:tc>
      </w:tr>
      <w:tr w14:paraId="3A9F2C6C">
        <w:tblPrEx>
          <w:tblCellMar>
            <w:top w:w="0" w:type="dxa"/>
            <w:left w:w="108" w:type="dxa"/>
            <w:bottom w:w="0" w:type="dxa"/>
            <w:right w:w="108" w:type="dxa"/>
          </w:tblCellMar>
        </w:tblPrEx>
        <w:trPr>
          <w:trHeight w:val="270" w:hRule="atLeast"/>
        </w:trPr>
        <w:tc>
          <w:tcPr>
            <w:tcW w:w="1117" w:type="dxa"/>
            <w:vMerge w:val="continue"/>
            <w:tcBorders>
              <w:left w:val="single" w:color="000000" w:sz="4" w:space="0"/>
              <w:right w:val="single" w:color="000000" w:sz="4" w:space="0"/>
            </w:tcBorders>
            <w:shd w:val="clear" w:color="auto" w:fill="auto"/>
            <w:vAlign w:val="center"/>
          </w:tcPr>
          <w:p w14:paraId="31D3C27E">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A43F8">
            <w:pPr>
              <w:jc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231B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建设或优化艺术普及数字资源</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583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≥7小时</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5369">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7小时18分32秒</w:t>
            </w:r>
          </w:p>
        </w:tc>
      </w:tr>
      <w:tr w14:paraId="5850D128">
        <w:tblPrEx>
          <w:tblCellMar>
            <w:top w:w="0" w:type="dxa"/>
            <w:left w:w="108" w:type="dxa"/>
            <w:bottom w:w="0" w:type="dxa"/>
            <w:right w:w="108" w:type="dxa"/>
          </w:tblCellMar>
        </w:tblPrEx>
        <w:trPr>
          <w:trHeight w:val="480" w:hRule="atLeast"/>
        </w:trPr>
        <w:tc>
          <w:tcPr>
            <w:tcW w:w="1117" w:type="dxa"/>
            <w:vMerge w:val="continue"/>
            <w:tcBorders>
              <w:left w:val="single" w:color="000000" w:sz="4" w:space="0"/>
              <w:right w:val="single" w:color="000000" w:sz="4" w:space="0"/>
            </w:tcBorders>
            <w:shd w:val="clear" w:color="auto" w:fill="auto"/>
            <w:vAlign w:val="center"/>
          </w:tcPr>
          <w:p w14:paraId="699BA9D5">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auto" w:sz="4" w:space="0"/>
              <w:right w:val="single" w:color="000000" w:sz="4" w:space="0"/>
            </w:tcBorders>
            <w:shd w:val="clear" w:color="auto" w:fill="auto"/>
            <w:vAlign w:val="center"/>
          </w:tcPr>
          <w:p w14:paraId="3C70A406">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质量指标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C4B1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验收合格率</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2BE19">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≥95%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9BD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100%</w:t>
            </w:r>
          </w:p>
        </w:tc>
      </w:tr>
      <w:tr w14:paraId="023BDC05">
        <w:tblPrEx>
          <w:tblCellMar>
            <w:top w:w="0" w:type="dxa"/>
            <w:left w:w="108" w:type="dxa"/>
            <w:bottom w:w="0" w:type="dxa"/>
            <w:right w:w="108" w:type="dxa"/>
          </w:tblCellMar>
        </w:tblPrEx>
        <w:trPr>
          <w:trHeight w:val="240" w:hRule="atLeast"/>
        </w:trPr>
        <w:tc>
          <w:tcPr>
            <w:tcW w:w="1117" w:type="dxa"/>
            <w:vMerge w:val="continue"/>
            <w:tcBorders>
              <w:left w:val="single" w:color="000000" w:sz="4" w:space="0"/>
              <w:right w:val="single" w:color="000000" w:sz="4" w:space="0"/>
            </w:tcBorders>
            <w:shd w:val="clear" w:color="auto" w:fill="auto"/>
            <w:vAlign w:val="center"/>
          </w:tcPr>
          <w:p w14:paraId="51701C6C">
            <w:pPr>
              <w:jc w:val="center"/>
              <w:rPr>
                <w:rFonts w:hint="eastAsia" w:ascii="宋体" w:hAnsi="宋体" w:eastAsia="宋体" w:cs="宋体"/>
                <w:color w:val="000000"/>
                <w:sz w:val="20"/>
                <w:szCs w:val="20"/>
                <w:lang w:val="en-US" w:eastAsia="zh-CN"/>
              </w:rPr>
            </w:pPr>
          </w:p>
        </w:tc>
        <w:tc>
          <w:tcPr>
            <w:tcW w:w="1238" w:type="dxa"/>
            <w:tcBorders>
              <w:top w:val="single" w:color="auto" w:sz="4" w:space="0"/>
              <w:left w:val="single" w:color="auto" w:sz="4" w:space="0"/>
              <w:bottom w:val="single" w:color="auto" w:sz="4" w:space="0"/>
              <w:right w:val="single" w:color="auto" w:sz="4" w:space="0"/>
            </w:tcBorders>
            <w:shd w:val="clear" w:color="auto" w:fill="auto"/>
            <w:vAlign w:val="center"/>
          </w:tcPr>
          <w:p w14:paraId="1F1E41F0">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77F531E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项目实施</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1B4E">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≤11月</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6F20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8个月</w:t>
            </w:r>
          </w:p>
        </w:tc>
      </w:tr>
      <w:tr w14:paraId="2C79D204">
        <w:tblPrEx>
          <w:tblCellMar>
            <w:top w:w="0" w:type="dxa"/>
            <w:left w:w="108" w:type="dxa"/>
            <w:bottom w:w="0" w:type="dxa"/>
            <w:right w:w="108" w:type="dxa"/>
          </w:tblCellMar>
        </w:tblPrEx>
        <w:trPr>
          <w:trHeight w:val="240" w:hRule="atLeast"/>
        </w:trPr>
        <w:tc>
          <w:tcPr>
            <w:tcW w:w="1117" w:type="dxa"/>
            <w:vMerge w:val="continue"/>
            <w:tcBorders>
              <w:left w:val="single" w:color="000000" w:sz="4" w:space="0"/>
              <w:right w:val="single" w:color="000000" w:sz="4" w:space="0"/>
            </w:tcBorders>
            <w:shd w:val="clear" w:color="auto" w:fill="auto"/>
            <w:vAlign w:val="center"/>
          </w:tcPr>
          <w:p w14:paraId="622A8F77">
            <w:pPr>
              <w:jc w:val="center"/>
              <w:rPr>
                <w:rFonts w:hint="eastAsia" w:ascii="宋体" w:hAnsi="宋体" w:eastAsia="宋体" w:cs="宋体"/>
                <w:color w:val="000000"/>
                <w:sz w:val="20"/>
                <w:szCs w:val="20"/>
              </w:rPr>
            </w:pPr>
          </w:p>
        </w:tc>
        <w:tc>
          <w:tcPr>
            <w:tcW w:w="1238" w:type="dxa"/>
            <w:tcBorders>
              <w:top w:val="single" w:color="auto" w:sz="4" w:space="0"/>
              <w:left w:val="single" w:color="auto" w:sz="4" w:space="0"/>
              <w:bottom w:val="single" w:color="auto" w:sz="4" w:space="0"/>
              <w:right w:val="single" w:color="auto" w:sz="4" w:space="0"/>
            </w:tcBorders>
            <w:shd w:val="clear" w:color="auto" w:fill="auto"/>
            <w:vAlign w:val="center"/>
          </w:tcPr>
          <w:p w14:paraId="222EB531">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时效指标</w:t>
            </w:r>
          </w:p>
        </w:tc>
        <w:tc>
          <w:tcPr>
            <w:tcW w:w="2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03D76FEB">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完成招标程序并签订合同</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399A0">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≤4月</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80CAC">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4个月</w:t>
            </w:r>
          </w:p>
        </w:tc>
      </w:tr>
      <w:tr w14:paraId="3368E5D9">
        <w:tblPrEx>
          <w:tblCellMar>
            <w:top w:w="0" w:type="dxa"/>
            <w:left w:w="108" w:type="dxa"/>
            <w:bottom w:w="0" w:type="dxa"/>
            <w:right w:w="108" w:type="dxa"/>
          </w:tblCellMar>
        </w:tblPrEx>
        <w:trPr>
          <w:trHeight w:val="240" w:hRule="atLeast"/>
        </w:trPr>
        <w:tc>
          <w:tcPr>
            <w:tcW w:w="1117" w:type="dxa"/>
            <w:vMerge w:val="continue"/>
            <w:tcBorders>
              <w:left w:val="single" w:color="000000" w:sz="4" w:space="0"/>
              <w:bottom w:val="single" w:color="000000" w:sz="4" w:space="0"/>
              <w:right w:val="single" w:color="000000" w:sz="4" w:space="0"/>
            </w:tcBorders>
            <w:shd w:val="clear" w:color="auto" w:fill="auto"/>
            <w:vAlign w:val="center"/>
          </w:tcPr>
          <w:p w14:paraId="3AB56A4F">
            <w:pPr>
              <w:jc w:val="center"/>
              <w:rPr>
                <w:rFonts w:hint="eastAsia" w:ascii="宋体" w:hAnsi="宋体" w:eastAsia="宋体" w:cs="宋体"/>
                <w:color w:val="000000"/>
                <w:sz w:val="20"/>
                <w:szCs w:val="20"/>
              </w:rPr>
            </w:pPr>
          </w:p>
        </w:tc>
        <w:tc>
          <w:tcPr>
            <w:tcW w:w="1238" w:type="dxa"/>
            <w:tcBorders>
              <w:top w:val="single" w:color="auto" w:sz="4" w:space="0"/>
              <w:left w:val="single" w:color="auto" w:sz="4" w:space="0"/>
              <w:bottom w:val="single" w:color="auto" w:sz="4" w:space="0"/>
              <w:right w:val="single" w:color="auto" w:sz="4" w:space="0"/>
            </w:tcBorders>
            <w:shd w:val="clear" w:color="auto" w:fill="auto"/>
            <w:vAlign w:val="center"/>
          </w:tcPr>
          <w:p w14:paraId="2C89FCD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时效指标</w:t>
            </w:r>
          </w:p>
        </w:tc>
        <w:tc>
          <w:tcPr>
            <w:tcW w:w="2685" w:type="dxa"/>
            <w:tcBorders>
              <w:top w:val="single" w:color="000000" w:sz="4" w:space="0"/>
              <w:left w:val="single" w:color="auto" w:sz="4" w:space="0"/>
              <w:bottom w:val="single" w:color="000000" w:sz="4" w:space="0"/>
              <w:right w:val="single" w:color="000000" w:sz="4" w:space="0"/>
            </w:tcBorders>
            <w:shd w:val="clear" w:color="auto" w:fill="auto"/>
            <w:vAlign w:val="center"/>
          </w:tcPr>
          <w:p w14:paraId="72F8D7B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制定工作方案时间</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2393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≤3月</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152D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2023年12月</w:t>
            </w:r>
          </w:p>
        </w:tc>
      </w:tr>
      <w:tr w14:paraId="4E861BA1">
        <w:tblPrEx>
          <w:tblCellMar>
            <w:top w:w="0" w:type="dxa"/>
            <w:left w:w="108" w:type="dxa"/>
            <w:bottom w:w="0" w:type="dxa"/>
            <w:right w:w="108" w:type="dxa"/>
          </w:tblCellMar>
        </w:tblPrEx>
        <w:trPr>
          <w:trHeight w:val="270" w:hRule="atLeast"/>
        </w:trPr>
        <w:tc>
          <w:tcPr>
            <w:tcW w:w="11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2B42">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成本指标</w:t>
            </w:r>
          </w:p>
        </w:tc>
        <w:tc>
          <w:tcPr>
            <w:tcW w:w="1238" w:type="dxa"/>
            <w:tcBorders>
              <w:top w:val="single" w:color="auto" w:sz="4" w:space="0"/>
              <w:left w:val="single" w:color="000000" w:sz="4" w:space="0"/>
              <w:bottom w:val="single" w:color="000000" w:sz="4" w:space="0"/>
              <w:right w:val="single" w:color="000000" w:sz="4" w:space="0"/>
            </w:tcBorders>
            <w:shd w:val="clear" w:color="auto" w:fill="auto"/>
            <w:vAlign w:val="center"/>
          </w:tcPr>
          <w:p w14:paraId="56772F6E">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经济成本指标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B20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项目预算成本控制数</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9E04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≤549万元</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0EE6">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402.581万元</w:t>
            </w:r>
          </w:p>
        </w:tc>
      </w:tr>
      <w:tr w14:paraId="572812BB">
        <w:tblPrEx>
          <w:tblCellMar>
            <w:top w:w="0" w:type="dxa"/>
            <w:left w:w="108" w:type="dxa"/>
            <w:bottom w:w="0" w:type="dxa"/>
            <w:right w:w="108" w:type="dxa"/>
          </w:tblCellMar>
        </w:tblPrEx>
        <w:trPr>
          <w:trHeight w:val="270" w:hRule="atLeast"/>
        </w:trPr>
        <w:tc>
          <w:tcPr>
            <w:tcW w:w="11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7F14A">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社会效益指标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43921">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社会效益指标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E89F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进一步加强首都公共数字文化建设，提升全民艺术普及数字化服务水平</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E82D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良</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AE07">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100%</w:t>
            </w:r>
          </w:p>
        </w:tc>
      </w:tr>
      <w:tr w14:paraId="5BE2E016">
        <w:tblPrEx>
          <w:tblCellMar>
            <w:top w:w="0" w:type="dxa"/>
            <w:left w:w="108" w:type="dxa"/>
            <w:bottom w:w="0" w:type="dxa"/>
            <w:right w:w="108" w:type="dxa"/>
          </w:tblCellMar>
        </w:tblPrEx>
        <w:trPr>
          <w:trHeight w:val="270" w:hRule="atLeast"/>
        </w:trPr>
        <w:tc>
          <w:tcPr>
            <w:tcW w:w="11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84359">
            <w:pPr>
              <w:jc w:val="center"/>
              <w:rPr>
                <w:rFonts w:hint="eastAsia" w:ascii="宋体" w:hAnsi="宋体" w:eastAsia="宋体" w:cs="宋体"/>
                <w:color w:val="000000"/>
                <w:sz w:val="20"/>
                <w:szCs w:val="20"/>
              </w:rPr>
            </w:pP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3B460">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社会效益指标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A58F1">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服务能力</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1C88">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提升</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165C2">
            <w:pPr>
              <w:widowControl/>
              <w:jc w:val="center"/>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w:t>
            </w:r>
          </w:p>
        </w:tc>
      </w:tr>
      <w:tr w14:paraId="0E5D4FCA">
        <w:tblPrEx>
          <w:tblCellMar>
            <w:top w:w="0" w:type="dxa"/>
            <w:left w:w="108" w:type="dxa"/>
            <w:bottom w:w="0" w:type="dxa"/>
            <w:right w:w="108" w:type="dxa"/>
          </w:tblCellMar>
        </w:tblPrEx>
        <w:trPr>
          <w:trHeight w:val="510" w:hRule="atLeast"/>
        </w:trPr>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964F3">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满意度指标</w:t>
            </w:r>
          </w:p>
        </w:tc>
        <w:tc>
          <w:tcPr>
            <w:tcW w:w="12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41EA6">
            <w:pPr>
              <w:jc w:val="center"/>
              <w:rPr>
                <w:rFonts w:hint="eastAsia" w:ascii="宋体" w:hAnsi="宋体" w:eastAsia="宋体" w:cs="宋体"/>
                <w:color w:val="000000"/>
                <w:sz w:val="20"/>
                <w:szCs w:val="20"/>
              </w:rPr>
            </w:pPr>
            <w:r>
              <w:rPr>
                <w:rFonts w:hint="eastAsia" w:ascii="宋体" w:hAnsi="宋体" w:eastAsia="宋体" w:cs="宋体"/>
                <w:color w:val="000000"/>
                <w:sz w:val="20"/>
                <w:szCs w:val="20"/>
              </w:rPr>
              <w:t>服务对象满意度指标</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ABC6B">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网络受众满意度</w:t>
            </w:r>
          </w:p>
        </w:tc>
        <w:tc>
          <w:tcPr>
            <w:tcW w:w="2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D184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≥85%</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3DEF">
            <w:pPr>
              <w:widowControl/>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98.94%</w:t>
            </w:r>
          </w:p>
        </w:tc>
      </w:tr>
    </w:tbl>
    <w:p w14:paraId="7498CED8">
      <w:pPr>
        <w:adjustRightInd w:val="0"/>
        <w:snapToGrid w:val="0"/>
        <w:spacing w:line="360" w:lineRule="auto"/>
        <w:ind w:firstLine="640" w:firstLineChars="200"/>
        <w:outlineLvl w:val="0"/>
        <w:rPr>
          <w:rFonts w:hint="eastAsia" w:ascii="黑体" w:hAnsi="黑体" w:eastAsia="黑体" w:cs="黑体"/>
          <w:sz w:val="32"/>
          <w:szCs w:val="32"/>
        </w:rPr>
      </w:pPr>
    </w:p>
    <w:p w14:paraId="2A47FD68">
      <w:pPr>
        <w:adjustRightInd w:val="0"/>
        <w:snapToGrid w:val="0"/>
        <w:spacing w:line="360" w:lineRule="auto"/>
        <w:ind w:firstLine="640" w:firstLineChars="200"/>
        <w:outlineLvl w:val="0"/>
        <w:rPr>
          <w:rFonts w:ascii="黑体" w:hAnsi="黑体" w:eastAsia="黑体" w:cs="黑体"/>
          <w:sz w:val="32"/>
          <w:szCs w:val="32"/>
        </w:rPr>
      </w:pPr>
      <w:r>
        <w:rPr>
          <w:rFonts w:hint="eastAsia" w:ascii="黑体" w:hAnsi="黑体" w:eastAsia="黑体" w:cs="黑体"/>
          <w:sz w:val="32"/>
          <w:szCs w:val="32"/>
        </w:rPr>
        <w:t>三、绩效自评结论</w:t>
      </w:r>
    </w:p>
    <w:p w14:paraId="0BD01B6D">
      <w:pPr>
        <w:adjustRightInd w:val="0"/>
        <w:snapToGrid w:val="0"/>
        <w:spacing w:line="360" w:lineRule="auto"/>
        <w:ind w:firstLine="640" w:firstLineChars="200"/>
        <w:rPr>
          <w:sz w:val="32"/>
          <w:szCs w:val="32"/>
        </w:rPr>
      </w:pPr>
      <w:r>
        <w:rPr>
          <w:rFonts w:hint="eastAsia" w:ascii="仿宋_GB2312" w:hAnsi="仿宋_GB2312" w:cs="仿宋_GB2312"/>
          <w:sz w:val="32"/>
          <w:szCs w:val="32"/>
        </w:rPr>
        <w:t>该项目严格按照转移支付管理制度以及资金管理办法规定的范围和标准分配资金；严格按照预算法及其实施条例、转移支付管理制度规定以及资金管理办法规定的时限要求分解下达资金；严格按照国库集中支付制度有关规定支付资金，未出现违规将资金从国库转入财政专户或支付到预算单位实有资金账户等问题；严格按照下达预算的科目和项目执行，未出现截留、挤占、挪用或擅自调整等问题；按照上级下达和本级预算安排的金额执行，不存在执行数偏离预算数较多的问题，并将该转移支付资金纳入对下转移支付绩效管理。项目已完成的工作较好的实现预期目标，绩效自评总体结论“良好”。</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7F5B3">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5A45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85A451">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66CC76E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wZDQ3YmM4OWZhMDc0M2U3OThlNmFjZGNhNmQ5NWMifQ=="/>
  </w:docVars>
  <w:rsids>
    <w:rsidRoot w:val="00514848"/>
    <w:rsid w:val="000004AE"/>
    <w:rsid w:val="000010D3"/>
    <w:rsid w:val="000156D3"/>
    <w:rsid w:val="00015801"/>
    <w:rsid w:val="000175E0"/>
    <w:rsid w:val="00017FA6"/>
    <w:rsid w:val="00021D36"/>
    <w:rsid w:val="00023A6D"/>
    <w:rsid w:val="00024ABB"/>
    <w:rsid w:val="00027CC5"/>
    <w:rsid w:val="00031799"/>
    <w:rsid w:val="00031E7F"/>
    <w:rsid w:val="0003327B"/>
    <w:rsid w:val="00036B14"/>
    <w:rsid w:val="000415A5"/>
    <w:rsid w:val="00045724"/>
    <w:rsid w:val="00045C27"/>
    <w:rsid w:val="00051E44"/>
    <w:rsid w:val="00054D8D"/>
    <w:rsid w:val="00061ED6"/>
    <w:rsid w:val="000640A3"/>
    <w:rsid w:val="00065E6D"/>
    <w:rsid w:val="00066EF9"/>
    <w:rsid w:val="00072453"/>
    <w:rsid w:val="000745B4"/>
    <w:rsid w:val="000765D1"/>
    <w:rsid w:val="00081060"/>
    <w:rsid w:val="0008478B"/>
    <w:rsid w:val="00084E29"/>
    <w:rsid w:val="00087AFD"/>
    <w:rsid w:val="00091C2A"/>
    <w:rsid w:val="00091FBD"/>
    <w:rsid w:val="00093D96"/>
    <w:rsid w:val="00097CCE"/>
    <w:rsid w:val="000A12A7"/>
    <w:rsid w:val="000A33FE"/>
    <w:rsid w:val="000A393C"/>
    <w:rsid w:val="000A428B"/>
    <w:rsid w:val="000A646E"/>
    <w:rsid w:val="000B3B92"/>
    <w:rsid w:val="000B488C"/>
    <w:rsid w:val="000B6D81"/>
    <w:rsid w:val="000C6080"/>
    <w:rsid w:val="000C61B1"/>
    <w:rsid w:val="000D1A24"/>
    <w:rsid w:val="000D31CC"/>
    <w:rsid w:val="000D5DCC"/>
    <w:rsid w:val="000E627A"/>
    <w:rsid w:val="000F4BF3"/>
    <w:rsid w:val="000F4EAA"/>
    <w:rsid w:val="000F541B"/>
    <w:rsid w:val="000F626F"/>
    <w:rsid w:val="000F68DD"/>
    <w:rsid w:val="0011336B"/>
    <w:rsid w:val="00117626"/>
    <w:rsid w:val="00122524"/>
    <w:rsid w:val="0012543F"/>
    <w:rsid w:val="00130269"/>
    <w:rsid w:val="00130571"/>
    <w:rsid w:val="00131159"/>
    <w:rsid w:val="00131AD4"/>
    <w:rsid w:val="0013571B"/>
    <w:rsid w:val="00146C2B"/>
    <w:rsid w:val="0014798A"/>
    <w:rsid w:val="0015385F"/>
    <w:rsid w:val="0015552A"/>
    <w:rsid w:val="0016474B"/>
    <w:rsid w:val="00164799"/>
    <w:rsid w:val="00165FA4"/>
    <w:rsid w:val="00174E09"/>
    <w:rsid w:val="001761D0"/>
    <w:rsid w:val="00184328"/>
    <w:rsid w:val="0019231E"/>
    <w:rsid w:val="001962C6"/>
    <w:rsid w:val="001A586D"/>
    <w:rsid w:val="001B27EC"/>
    <w:rsid w:val="001B398E"/>
    <w:rsid w:val="001B44E7"/>
    <w:rsid w:val="001B48B8"/>
    <w:rsid w:val="001C0497"/>
    <w:rsid w:val="001D40C6"/>
    <w:rsid w:val="001D7331"/>
    <w:rsid w:val="001F31D5"/>
    <w:rsid w:val="001F3424"/>
    <w:rsid w:val="001F656F"/>
    <w:rsid w:val="00202DD4"/>
    <w:rsid w:val="00205DFF"/>
    <w:rsid w:val="0020666F"/>
    <w:rsid w:val="0020707B"/>
    <w:rsid w:val="00207D68"/>
    <w:rsid w:val="0021235B"/>
    <w:rsid w:val="002168A1"/>
    <w:rsid w:val="00220E79"/>
    <w:rsid w:val="0022145F"/>
    <w:rsid w:val="00222716"/>
    <w:rsid w:val="00230F1F"/>
    <w:rsid w:val="0023381C"/>
    <w:rsid w:val="00233C6D"/>
    <w:rsid w:val="002447B9"/>
    <w:rsid w:val="00246356"/>
    <w:rsid w:val="002501DE"/>
    <w:rsid w:val="00250271"/>
    <w:rsid w:val="00257F0C"/>
    <w:rsid w:val="00262A8E"/>
    <w:rsid w:val="002632CB"/>
    <w:rsid w:val="00271363"/>
    <w:rsid w:val="00271EF6"/>
    <w:rsid w:val="0027691D"/>
    <w:rsid w:val="0027750C"/>
    <w:rsid w:val="00280325"/>
    <w:rsid w:val="002922FE"/>
    <w:rsid w:val="00294A73"/>
    <w:rsid w:val="002A3CC2"/>
    <w:rsid w:val="002A4A64"/>
    <w:rsid w:val="002A5A17"/>
    <w:rsid w:val="002A5BAD"/>
    <w:rsid w:val="002C320E"/>
    <w:rsid w:val="002C645C"/>
    <w:rsid w:val="002D1D81"/>
    <w:rsid w:val="002E11D6"/>
    <w:rsid w:val="002E3875"/>
    <w:rsid w:val="002E7592"/>
    <w:rsid w:val="002F0D7B"/>
    <w:rsid w:val="002F313C"/>
    <w:rsid w:val="002F50A4"/>
    <w:rsid w:val="002F6BFC"/>
    <w:rsid w:val="003000C6"/>
    <w:rsid w:val="00302FC8"/>
    <w:rsid w:val="003115A0"/>
    <w:rsid w:val="0031296F"/>
    <w:rsid w:val="003155D8"/>
    <w:rsid w:val="00320B20"/>
    <w:rsid w:val="003227DB"/>
    <w:rsid w:val="00324557"/>
    <w:rsid w:val="00324667"/>
    <w:rsid w:val="00335A07"/>
    <w:rsid w:val="0034734E"/>
    <w:rsid w:val="0035226D"/>
    <w:rsid w:val="0035530A"/>
    <w:rsid w:val="00355E50"/>
    <w:rsid w:val="0036335A"/>
    <w:rsid w:val="00371E2E"/>
    <w:rsid w:val="003737CB"/>
    <w:rsid w:val="003743EB"/>
    <w:rsid w:val="003759C8"/>
    <w:rsid w:val="00376D03"/>
    <w:rsid w:val="00377672"/>
    <w:rsid w:val="00381B1B"/>
    <w:rsid w:val="00382FC7"/>
    <w:rsid w:val="00383337"/>
    <w:rsid w:val="00390F9A"/>
    <w:rsid w:val="00391306"/>
    <w:rsid w:val="00393422"/>
    <w:rsid w:val="00394C56"/>
    <w:rsid w:val="00394D4C"/>
    <w:rsid w:val="003A5A20"/>
    <w:rsid w:val="003A7559"/>
    <w:rsid w:val="003A7842"/>
    <w:rsid w:val="003C08BC"/>
    <w:rsid w:val="003C170B"/>
    <w:rsid w:val="003C5EE0"/>
    <w:rsid w:val="003C696D"/>
    <w:rsid w:val="003D0ECC"/>
    <w:rsid w:val="003D144C"/>
    <w:rsid w:val="003D25BC"/>
    <w:rsid w:val="003D25D5"/>
    <w:rsid w:val="003D31B4"/>
    <w:rsid w:val="003D6285"/>
    <w:rsid w:val="003E48A4"/>
    <w:rsid w:val="003E6694"/>
    <w:rsid w:val="003F2A81"/>
    <w:rsid w:val="004066C0"/>
    <w:rsid w:val="00406977"/>
    <w:rsid w:val="00407AB6"/>
    <w:rsid w:val="00421349"/>
    <w:rsid w:val="00422876"/>
    <w:rsid w:val="004303B8"/>
    <w:rsid w:val="004373EF"/>
    <w:rsid w:val="00441A56"/>
    <w:rsid w:val="00444CFF"/>
    <w:rsid w:val="00446D72"/>
    <w:rsid w:val="00453BB0"/>
    <w:rsid w:val="00480BD2"/>
    <w:rsid w:val="0048125C"/>
    <w:rsid w:val="00485C57"/>
    <w:rsid w:val="004940DF"/>
    <w:rsid w:val="004A3D94"/>
    <w:rsid w:val="004A4E37"/>
    <w:rsid w:val="004B74F2"/>
    <w:rsid w:val="004B7D81"/>
    <w:rsid w:val="004C103B"/>
    <w:rsid w:val="004C1BFA"/>
    <w:rsid w:val="004C21AA"/>
    <w:rsid w:val="004C26FB"/>
    <w:rsid w:val="004D01F3"/>
    <w:rsid w:val="004D2076"/>
    <w:rsid w:val="004D5560"/>
    <w:rsid w:val="004E05CA"/>
    <w:rsid w:val="004E3C20"/>
    <w:rsid w:val="004E495D"/>
    <w:rsid w:val="004E6E5D"/>
    <w:rsid w:val="004F2B2E"/>
    <w:rsid w:val="004F7E94"/>
    <w:rsid w:val="00506062"/>
    <w:rsid w:val="00511DF2"/>
    <w:rsid w:val="00514848"/>
    <w:rsid w:val="00515BAE"/>
    <w:rsid w:val="00520160"/>
    <w:rsid w:val="005229F7"/>
    <w:rsid w:val="00526106"/>
    <w:rsid w:val="00530B4E"/>
    <w:rsid w:val="005357E3"/>
    <w:rsid w:val="00545CFD"/>
    <w:rsid w:val="0055745E"/>
    <w:rsid w:val="00561782"/>
    <w:rsid w:val="00561A5E"/>
    <w:rsid w:val="005626D9"/>
    <w:rsid w:val="0056494B"/>
    <w:rsid w:val="00564F1E"/>
    <w:rsid w:val="0057065E"/>
    <w:rsid w:val="005728E7"/>
    <w:rsid w:val="00575127"/>
    <w:rsid w:val="0057664C"/>
    <w:rsid w:val="0058220D"/>
    <w:rsid w:val="00582988"/>
    <w:rsid w:val="00587996"/>
    <w:rsid w:val="00593882"/>
    <w:rsid w:val="00595402"/>
    <w:rsid w:val="00595886"/>
    <w:rsid w:val="005A0038"/>
    <w:rsid w:val="005A3A0C"/>
    <w:rsid w:val="005A7DA0"/>
    <w:rsid w:val="005C7893"/>
    <w:rsid w:val="005D15F3"/>
    <w:rsid w:val="005D2362"/>
    <w:rsid w:val="005D657A"/>
    <w:rsid w:val="005E359B"/>
    <w:rsid w:val="005E5474"/>
    <w:rsid w:val="005E5FBE"/>
    <w:rsid w:val="005F51C8"/>
    <w:rsid w:val="005F62E1"/>
    <w:rsid w:val="00600EFE"/>
    <w:rsid w:val="006010A7"/>
    <w:rsid w:val="006011D3"/>
    <w:rsid w:val="00604514"/>
    <w:rsid w:val="006114F7"/>
    <w:rsid w:val="00614462"/>
    <w:rsid w:val="006176F2"/>
    <w:rsid w:val="006210CF"/>
    <w:rsid w:val="0062353B"/>
    <w:rsid w:val="006256F1"/>
    <w:rsid w:val="00630C03"/>
    <w:rsid w:val="00630DC1"/>
    <w:rsid w:val="006318A1"/>
    <w:rsid w:val="00632CE3"/>
    <w:rsid w:val="0063313A"/>
    <w:rsid w:val="00633515"/>
    <w:rsid w:val="006369BB"/>
    <w:rsid w:val="00636E30"/>
    <w:rsid w:val="00640215"/>
    <w:rsid w:val="00642F50"/>
    <w:rsid w:val="006471B2"/>
    <w:rsid w:val="00647B95"/>
    <w:rsid w:val="006506B1"/>
    <w:rsid w:val="0065308E"/>
    <w:rsid w:val="0065510E"/>
    <w:rsid w:val="006619EF"/>
    <w:rsid w:val="00662125"/>
    <w:rsid w:val="006707F3"/>
    <w:rsid w:val="006826DF"/>
    <w:rsid w:val="006839B2"/>
    <w:rsid w:val="0068478D"/>
    <w:rsid w:val="0068479A"/>
    <w:rsid w:val="006869A0"/>
    <w:rsid w:val="00690742"/>
    <w:rsid w:val="006A106C"/>
    <w:rsid w:val="006A2E8C"/>
    <w:rsid w:val="006B5ADE"/>
    <w:rsid w:val="006B7A90"/>
    <w:rsid w:val="006C170C"/>
    <w:rsid w:val="006C2CFD"/>
    <w:rsid w:val="006D4F90"/>
    <w:rsid w:val="006D556D"/>
    <w:rsid w:val="006D7F04"/>
    <w:rsid w:val="006E073A"/>
    <w:rsid w:val="006E1CFA"/>
    <w:rsid w:val="006F180D"/>
    <w:rsid w:val="006F460E"/>
    <w:rsid w:val="006F73BC"/>
    <w:rsid w:val="006F7A47"/>
    <w:rsid w:val="006F7F12"/>
    <w:rsid w:val="007162E0"/>
    <w:rsid w:val="0072475A"/>
    <w:rsid w:val="007252FA"/>
    <w:rsid w:val="00725A47"/>
    <w:rsid w:val="00731907"/>
    <w:rsid w:val="00734807"/>
    <w:rsid w:val="007353BA"/>
    <w:rsid w:val="00743E47"/>
    <w:rsid w:val="00744768"/>
    <w:rsid w:val="007471AA"/>
    <w:rsid w:val="00747DC7"/>
    <w:rsid w:val="00765DEC"/>
    <w:rsid w:val="00766EAE"/>
    <w:rsid w:val="007722D5"/>
    <w:rsid w:val="00776B5B"/>
    <w:rsid w:val="00786B1C"/>
    <w:rsid w:val="00790FFA"/>
    <w:rsid w:val="00794A67"/>
    <w:rsid w:val="007A1DA8"/>
    <w:rsid w:val="007B15AE"/>
    <w:rsid w:val="007B27F8"/>
    <w:rsid w:val="007B69D2"/>
    <w:rsid w:val="007B6D40"/>
    <w:rsid w:val="007C19C7"/>
    <w:rsid w:val="007E6C85"/>
    <w:rsid w:val="007F0AB1"/>
    <w:rsid w:val="007F2448"/>
    <w:rsid w:val="007F32A8"/>
    <w:rsid w:val="007F69AF"/>
    <w:rsid w:val="00810ABC"/>
    <w:rsid w:val="00811875"/>
    <w:rsid w:val="00827C92"/>
    <w:rsid w:val="00831ECD"/>
    <w:rsid w:val="00837A9A"/>
    <w:rsid w:val="00841280"/>
    <w:rsid w:val="008440E7"/>
    <w:rsid w:val="00844902"/>
    <w:rsid w:val="00844C81"/>
    <w:rsid w:val="00845C17"/>
    <w:rsid w:val="008516F0"/>
    <w:rsid w:val="00851FF9"/>
    <w:rsid w:val="00853C7F"/>
    <w:rsid w:val="0085766E"/>
    <w:rsid w:val="00860A3A"/>
    <w:rsid w:val="00861852"/>
    <w:rsid w:val="00862BCE"/>
    <w:rsid w:val="00867731"/>
    <w:rsid w:val="00872CF6"/>
    <w:rsid w:val="00880A77"/>
    <w:rsid w:val="00882789"/>
    <w:rsid w:val="00884E89"/>
    <w:rsid w:val="00884FD1"/>
    <w:rsid w:val="0088707B"/>
    <w:rsid w:val="0089043E"/>
    <w:rsid w:val="00893057"/>
    <w:rsid w:val="008A25CC"/>
    <w:rsid w:val="008A2EEB"/>
    <w:rsid w:val="008A328E"/>
    <w:rsid w:val="008B668C"/>
    <w:rsid w:val="008C4D50"/>
    <w:rsid w:val="008D2B93"/>
    <w:rsid w:val="008D6072"/>
    <w:rsid w:val="008E1100"/>
    <w:rsid w:val="008E2298"/>
    <w:rsid w:val="008E4D82"/>
    <w:rsid w:val="008F2EBF"/>
    <w:rsid w:val="008F37F3"/>
    <w:rsid w:val="008F4CBC"/>
    <w:rsid w:val="008F60E6"/>
    <w:rsid w:val="00900758"/>
    <w:rsid w:val="00902821"/>
    <w:rsid w:val="00902A04"/>
    <w:rsid w:val="00903F5C"/>
    <w:rsid w:val="00912162"/>
    <w:rsid w:val="00920634"/>
    <w:rsid w:val="009241E1"/>
    <w:rsid w:val="00933956"/>
    <w:rsid w:val="00937540"/>
    <w:rsid w:val="009440FE"/>
    <w:rsid w:val="0094613E"/>
    <w:rsid w:val="00954153"/>
    <w:rsid w:val="00957400"/>
    <w:rsid w:val="009605C9"/>
    <w:rsid w:val="00962E6B"/>
    <w:rsid w:val="00963578"/>
    <w:rsid w:val="009638DB"/>
    <w:rsid w:val="00970A03"/>
    <w:rsid w:val="0097103D"/>
    <w:rsid w:val="00971B09"/>
    <w:rsid w:val="00984CEF"/>
    <w:rsid w:val="00993C9C"/>
    <w:rsid w:val="00996DF7"/>
    <w:rsid w:val="009971C6"/>
    <w:rsid w:val="009A1750"/>
    <w:rsid w:val="009A6122"/>
    <w:rsid w:val="009B162A"/>
    <w:rsid w:val="009B2086"/>
    <w:rsid w:val="009D05E8"/>
    <w:rsid w:val="009D359A"/>
    <w:rsid w:val="009E0824"/>
    <w:rsid w:val="009E0BB2"/>
    <w:rsid w:val="009E24BA"/>
    <w:rsid w:val="009E56A2"/>
    <w:rsid w:val="009E5F5F"/>
    <w:rsid w:val="009F1BFF"/>
    <w:rsid w:val="009F45E7"/>
    <w:rsid w:val="009F7CFE"/>
    <w:rsid w:val="00A00439"/>
    <w:rsid w:val="00A02683"/>
    <w:rsid w:val="00A06E3D"/>
    <w:rsid w:val="00A070C0"/>
    <w:rsid w:val="00A108F3"/>
    <w:rsid w:val="00A11D19"/>
    <w:rsid w:val="00A219A0"/>
    <w:rsid w:val="00A300D7"/>
    <w:rsid w:val="00A31392"/>
    <w:rsid w:val="00A31F12"/>
    <w:rsid w:val="00A32DF9"/>
    <w:rsid w:val="00A41232"/>
    <w:rsid w:val="00A41D6E"/>
    <w:rsid w:val="00A43213"/>
    <w:rsid w:val="00A435A9"/>
    <w:rsid w:val="00A540D8"/>
    <w:rsid w:val="00A60DD7"/>
    <w:rsid w:val="00A6541F"/>
    <w:rsid w:val="00A65BD1"/>
    <w:rsid w:val="00A67542"/>
    <w:rsid w:val="00A70753"/>
    <w:rsid w:val="00A814C4"/>
    <w:rsid w:val="00A8235C"/>
    <w:rsid w:val="00A8630F"/>
    <w:rsid w:val="00A9031C"/>
    <w:rsid w:val="00A9657A"/>
    <w:rsid w:val="00A97B4F"/>
    <w:rsid w:val="00AA0AC8"/>
    <w:rsid w:val="00AA2A2E"/>
    <w:rsid w:val="00AB0FEF"/>
    <w:rsid w:val="00AB6369"/>
    <w:rsid w:val="00AC10F0"/>
    <w:rsid w:val="00AC6058"/>
    <w:rsid w:val="00AD2AF0"/>
    <w:rsid w:val="00AD462B"/>
    <w:rsid w:val="00AD5176"/>
    <w:rsid w:val="00AE02A6"/>
    <w:rsid w:val="00AE10F8"/>
    <w:rsid w:val="00AE2A95"/>
    <w:rsid w:val="00AE5388"/>
    <w:rsid w:val="00AF30F0"/>
    <w:rsid w:val="00B15842"/>
    <w:rsid w:val="00B3301C"/>
    <w:rsid w:val="00B33F9A"/>
    <w:rsid w:val="00B3541D"/>
    <w:rsid w:val="00B357B6"/>
    <w:rsid w:val="00B4031F"/>
    <w:rsid w:val="00B43DB7"/>
    <w:rsid w:val="00B43F63"/>
    <w:rsid w:val="00B46315"/>
    <w:rsid w:val="00B507CF"/>
    <w:rsid w:val="00B50CD5"/>
    <w:rsid w:val="00B51C29"/>
    <w:rsid w:val="00B543C3"/>
    <w:rsid w:val="00B556F9"/>
    <w:rsid w:val="00B572AF"/>
    <w:rsid w:val="00B5781A"/>
    <w:rsid w:val="00B6646E"/>
    <w:rsid w:val="00B66ADC"/>
    <w:rsid w:val="00B66FCB"/>
    <w:rsid w:val="00B671EF"/>
    <w:rsid w:val="00B710E4"/>
    <w:rsid w:val="00B74499"/>
    <w:rsid w:val="00B778C1"/>
    <w:rsid w:val="00B84656"/>
    <w:rsid w:val="00B85964"/>
    <w:rsid w:val="00B862AF"/>
    <w:rsid w:val="00B900F3"/>
    <w:rsid w:val="00B942C2"/>
    <w:rsid w:val="00B94534"/>
    <w:rsid w:val="00B95551"/>
    <w:rsid w:val="00B97B98"/>
    <w:rsid w:val="00BA2450"/>
    <w:rsid w:val="00BA4FA0"/>
    <w:rsid w:val="00BA5D8C"/>
    <w:rsid w:val="00BA6553"/>
    <w:rsid w:val="00BA78F4"/>
    <w:rsid w:val="00BB262F"/>
    <w:rsid w:val="00BB3AAF"/>
    <w:rsid w:val="00BB5949"/>
    <w:rsid w:val="00BB7FA3"/>
    <w:rsid w:val="00BC27C6"/>
    <w:rsid w:val="00BC578C"/>
    <w:rsid w:val="00BD2595"/>
    <w:rsid w:val="00BD3D8A"/>
    <w:rsid w:val="00BD63DB"/>
    <w:rsid w:val="00BE7579"/>
    <w:rsid w:val="00C02152"/>
    <w:rsid w:val="00C13348"/>
    <w:rsid w:val="00C17D5B"/>
    <w:rsid w:val="00C17DEF"/>
    <w:rsid w:val="00C2365F"/>
    <w:rsid w:val="00C25012"/>
    <w:rsid w:val="00C26FBE"/>
    <w:rsid w:val="00C272CA"/>
    <w:rsid w:val="00C274B9"/>
    <w:rsid w:val="00C3326A"/>
    <w:rsid w:val="00C43FFB"/>
    <w:rsid w:val="00C44C25"/>
    <w:rsid w:val="00C507DB"/>
    <w:rsid w:val="00C618EC"/>
    <w:rsid w:val="00C66051"/>
    <w:rsid w:val="00C846D5"/>
    <w:rsid w:val="00C84C17"/>
    <w:rsid w:val="00C86C78"/>
    <w:rsid w:val="00C90FE4"/>
    <w:rsid w:val="00C93C48"/>
    <w:rsid w:val="00C9482F"/>
    <w:rsid w:val="00C97A9A"/>
    <w:rsid w:val="00CB422E"/>
    <w:rsid w:val="00CB6D70"/>
    <w:rsid w:val="00CB7817"/>
    <w:rsid w:val="00CC240F"/>
    <w:rsid w:val="00CC568B"/>
    <w:rsid w:val="00CC572A"/>
    <w:rsid w:val="00CC75FC"/>
    <w:rsid w:val="00CD2CAC"/>
    <w:rsid w:val="00CE4155"/>
    <w:rsid w:val="00CE4FCE"/>
    <w:rsid w:val="00CE7851"/>
    <w:rsid w:val="00D04BCA"/>
    <w:rsid w:val="00D05F26"/>
    <w:rsid w:val="00D152C4"/>
    <w:rsid w:val="00D15A25"/>
    <w:rsid w:val="00D16735"/>
    <w:rsid w:val="00D2501B"/>
    <w:rsid w:val="00D26BB8"/>
    <w:rsid w:val="00D27CB5"/>
    <w:rsid w:val="00D36124"/>
    <w:rsid w:val="00D44A4D"/>
    <w:rsid w:val="00D45F0F"/>
    <w:rsid w:val="00D47743"/>
    <w:rsid w:val="00D51EDE"/>
    <w:rsid w:val="00D53D20"/>
    <w:rsid w:val="00D6192A"/>
    <w:rsid w:val="00D629F5"/>
    <w:rsid w:val="00D63144"/>
    <w:rsid w:val="00D6506C"/>
    <w:rsid w:val="00D7215C"/>
    <w:rsid w:val="00D816DF"/>
    <w:rsid w:val="00D84110"/>
    <w:rsid w:val="00D85C04"/>
    <w:rsid w:val="00D8797C"/>
    <w:rsid w:val="00D952C7"/>
    <w:rsid w:val="00D95B88"/>
    <w:rsid w:val="00D978D5"/>
    <w:rsid w:val="00DA30D3"/>
    <w:rsid w:val="00DB54F3"/>
    <w:rsid w:val="00DC2533"/>
    <w:rsid w:val="00DC66A2"/>
    <w:rsid w:val="00DC74FB"/>
    <w:rsid w:val="00DE18D1"/>
    <w:rsid w:val="00DE3969"/>
    <w:rsid w:val="00E071CC"/>
    <w:rsid w:val="00E12266"/>
    <w:rsid w:val="00E137F0"/>
    <w:rsid w:val="00E14081"/>
    <w:rsid w:val="00E15FFD"/>
    <w:rsid w:val="00E164CC"/>
    <w:rsid w:val="00E258EE"/>
    <w:rsid w:val="00E26208"/>
    <w:rsid w:val="00E30B39"/>
    <w:rsid w:val="00E34746"/>
    <w:rsid w:val="00E34CE7"/>
    <w:rsid w:val="00E422E5"/>
    <w:rsid w:val="00E469B4"/>
    <w:rsid w:val="00E56F18"/>
    <w:rsid w:val="00E60FFB"/>
    <w:rsid w:val="00E61D67"/>
    <w:rsid w:val="00E63D5F"/>
    <w:rsid w:val="00E85AC8"/>
    <w:rsid w:val="00EA00FF"/>
    <w:rsid w:val="00EA3465"/>
    <w:rsid w:val="00EB0828"/>
    <w:rsid w:val="00EB346A"/>
    <w:rsid w:val="00EB4AF8"/>
    <w:rsid w:val="00EB4B4B"/>
    <w:rsid w:val="00EC1BE4"/>
    <w:rsid w:val="00ED4ABB"/>
    <w:rsid w:val="00ED7582"/>
    <w:rsid w:val="00EE78B5"/>
    <w:rsid w:val="00EF063E"/>
    <w:rsid w:val="00EF15DA"/>
    <w:rsid w:val="00EF2B75"/>
    <w:rsid w:val="00EF5331"/>
    <w:rsid w:val="00EF7830"/>
    <w:rsid w:val="00F003B7"/>
    <w:rsid w:val="00F03F47"/>
    <w:rsid w:val="00F040AA"/>
    <w:rsid w:val="00F13B9D"/>
    <w:rsid w:val="00F1602F"/>
    <w:rsid w:val="00F177DD"/>
    <w:rsid w:val="00F26617"/>
    <w:rsid w:val="00F26BD9"/>
    <w:rsid w:val="00F279C3"/>
    <w:rsid w:val="00F3137D"/>
    <w:rsid w:val="00F32C94"/>
    <w:rsid w:val="00F400F8"/>
    <w:rsid w:val="00F42B6C"/>
    <w:rsid w:val="00F5185E"/>
    <w:rsid w:val="00F56406"/>
    <w:rsid w:val="00F56AC1"/>
    <w:rsid w:val="00F56EA1"/>
    <w:rsid w:val="00F57885"/>
    <w:rsid w:val="00F616AE"/>
    <w:rsid w:val="00F63503"/>
    <w:rsid w:val="00F721A0"/>
    <w:rsid w:val="00F75FDD"/>
    <w:rsid w:val="00F81627"/>
    <w:rsid w:val="00FA545F"/>
    <w:rsid w:val="00FB12AD"/>
    <w:rsid w:val="00FB50D5"/>
    <w:rsid w:val="00FC38E2"/>
    <w:rsid w:val="00FC64D7"/>
    <w:rsid w:val="00FD0C96"/>
    <w:rsid w:val="00FD0E45"/>
    <w:rsid w:val="00FD3002"/>
    <w:rsid w:val="00FD72FE"/>
    <w:rsid w:val="00FD737E"/>
    <w:rsid w:val="00FE2A69"/>
    <w:rsid w:val="00FE5BA8"/>
    <w:rsid w:val="00FF3165"/>
    <w:rsid w:val="03CA4DB6"/>
    <w:rsid w:val="03CE338F"/>
    <w:rsid w:val="05524952"/>
    <w:rsid w:val="06845841"/>
    <w:rsid w:val="07442E35"/>
    <w:rsid w:val="076754D7"/>
    <w:rsid w:val="079846EF"/>
    <w:rsid w:val="08E21476"/>
    <w:rsid w:val="0913264A"/>
    <w:rsid w:val="0AFB17DB"/>
    <w:rsid w:val="0C055450"/>
    <w:rsid w:val="0D6E6B91"/>
    <w:rsid w:val="0D7E0CEF"/>
    <w:rsid w:val="0DDD06AD"/>
    <w:rsid w:val="0EEF723C"/>
    <w:rsid w:val="10AF0EAA"/>
    <w:rsid w:val="128F4AEF"/>
    <w:rsid w:val="12F83E97"/>
    <w:rsid w:val="157477AF"/>
    <w:rsid w:val="15DC1799"/>
    <w:rsid w:val="17A45001"/>
    <w:rsid w:val="191673DE"/>
    <w:rsid w:val="19EF7E9C"/>
    <w:rsid w:val="1A343521"/>
    <w:rsid w:val="1A856731"/>
    <w:rsid w:val="1B527002"/>
    <w:rsid w:val="1C8A6328"/>
    <w:rsid w:val="1E9E4638"/>
    <w:rsid w:val="1F2C1822"/>
    <w:rsid w:val="1FD224BF"/>
    <w:rsid w:val="20AE54AC"/>
    <w:rsid w:val="225278E7"/>
    <w:rsid w:val="232F6245"/>
    <w:rsid w:val="24373399"/>
    <w:rsid w:val="25C3291F"/>
    <w:rsid w:val="275400C0"/>
    <w:rsid w:val="280C05EE"/>
    <w:rsid w:val="2A9B66F0"/>
    <w:rsid w:val="2BFF5917"/>
    <w:rsid w:val="2D64499C"/>
    <w:rsid w:val="2D71729C"/>
    <w:rsid w:val="2D7235AF"/>
    <w:rsid w:val="2F1B5990"/>
    <w:rsid w:val="30DF0851"/>
    <w:rsid w:val="393A1311"/>
    <w:rsid w:val="39BC78B8"/>
    <w:rsid w:val="3A7E72AC"/>
    <w:rsid w:val="3C067321"/>
    <w:rsid w:val="43685285"/>
    <w:rsid w:val="43985681"/>
    <w:rsid w:val="4441129B"/>
    <w:rsid w:val="44E622DD"/>
    <w:rsid w:val="45443819"/>
    <w:rsid w:val="4606387D"/>
    <w:rsid w:val="46FB6855"/>
    <w:rsid w:val="47CF43B5"/>
    <w:rsid w:val="483E3BBB"/>
    <w:rsid w:val="4A522377"/>
    <w:rsid w:val="4C4311BD"/>
    <w:rsid w:val="519A0DF5"/>
    <w:rsid w:val="53D16445"/>
    <w:rsid w:val="54133085"/>
    <w:rsid w:val="54CB6F02"/>
    <w:rsid w:val="56927060"/>
    <w:rsid w:val="59026885"/>
    <w:rsid w:val="5A292701"/>
    <w:rsid w:val="5AB21D6F"/>
    <w:rsid w:val="5BFF60E9"/>
    <w:rsid w:val="5C511EB6"/>
    <w:rsid w:val="5CFA58CA"/>
    <w:rsid w:val="5F957C2C"/>
    <w:rsid w:val="621F6C91"/>
    <w:rsid w:val="65FC6F1B"/>
    <w:rsid w:val="68C246A7"/>
    <w:rsid w:val="69780FAF"/>
    <w:rsid w:val="6AD970A5"/>
    <w:rsid w:val="6BCD0A05"/>
    <w:rsid w:val="6D47092D"/>
    <w:rsid w:val="6DBD7B4E"/>
    <w:rsid w:val="6EED3240"/>
    <w:rsid w:val="74B419F7"/>
    <w:rsid w:val="75A65837"/>
    <w:rsid w:val="798D5E76"/>
    <w:rsid w:val="7B6D4DD2"/>
    <w:rsid w:val="7D036989"/>
    <w:rsid w:val="7D1A4DCC"/>
    <w:rsid w:val="7E4A3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semiHidden="0"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1">
    <w:name w:val="Default Paragraph Font"/>
    <w:autoRedefine/>
    <w:semiHidden/>
    <w:unhideWhenUsed/>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next w:val="1"/>
    <w:link w:val="14"/>
    <w:autoRedefine/>
    <w:unhideWhenUsed/>
    <w:qFormat/>
    <w:uiPriority w:val="99"/>
    <w:pPr>
      <w:tabs>
        <w:tab w:val="center" w:pos="4153"/>
        <w:tab w:val="right" w:pos="8306"/>
      </w:tabs>
      <w:snapToGrid w:val="0"/>
      <w:jc w:val="left"/>
    </w:pPr>
    <w:rPr>
      <w:sz w:val="18"/>
      <w:szCs w:val="18"/>
    </w:rPr>
  </w:style>
  <w:style w:type="paragraph" w:styleId="3">
    <w:name w:val="annotation text"/>
    <w:basedOn w:val="1"/>
    <w:link w:val="15"/>
    <w:autoRedefine/>
    <w:unhideWhenUsed/>
    <w:qFormat/>
    <w:uiPriority w:val="99"/>
    <w:pPr>
      <w:jc w:val="left"/>
    </w:pPr>
    <w:rPr>
      <w:rFonts w:asciiTheme="minorHAnsi" w:hAnsiTheme="minorHAnsi" w:eastAsiaTheme="minorEastAsia" w:cstheme="minorBidi"/>
      <w:sz w:val="21"/>
      <w:szCs w:val="22"/>
    </w:rPr>
  </w:style>
  <w:style w:type="paragraph" w:styleId="4">
    <w:name w:val="Block Text"/>
    <w:basedOn w:val="1"/>
    <w:autoRedefine/>
    <w:unhideWhenUsed/>
    <w:qFormat/>
    <w:uiPriority w:val="99"/>
    <w:pPr>
      <w:spacing w:after="120"/>
      <w:ind w:left="1440" w:leftChars="700" w:right="1440" w:rightChars="700"/>
    </w:pPr>
  </w:style>
  <w:style w:type="paragraph" w:styleId="5">
    <w:name w:val="Balloon Text"/>
    <w:basedOn w:val="1"/>
    <w:link w:val="17"/>
    <w:autoRedefine/>
    <w:semiHidden/>
    <w:unhideWhenUsed/>
    <w:qFormat/>
    <w:uiPriority w:val="99"/>
    <w:rPr>
      <w:sz w:val="18"/>
      <w:szCs w:val="18"/>
    </w:rPr>
  </w:style>
  <w:style w:type="paragraph" w:styleId="6">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autoRedefine/>
    <w:semiHidden/>
    <w:unhideWhenUsed/>
    <w:qFormat/>
    <w:uiPriority w:val="99"/>
    <w:pPr>
      <w:ind w:left="200" w:hanging="200" w:hangingChars="200"/>
      <w:contextualSpacing/>
    </w:pPr>
  </w:style>
  <w:style w:type="paragraph" w:styleId="8">
    <w:name w:val="annotation subject"/>
    <w:basedOn w:val="3"/>
    <w:next w:val="3"/>
    <w:link w:val="16"/>
    <w:autoRedefine/>
    <w:semiHidden/>
    <w:unhideWhenUsed/>
    <w:qFormat/>
    <w:uiPriority w:val="99"/>
    <w:rPr>
      <w:rFonts w:ascii="Times New Roman" w:hAnsi="Times New Roman" w:eastAsia="仿宋_GB2312" w:cs="Times New Roman"/>
      <w:b/>
      <w:bCs/>
      <w:sz w:val="30"/>
      <w:szCs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autoRedefine/>
    <w:qFormat/>
    <w:uiPriority w:val="99"/>
    <w:rPr>
      <w:sz w:val="21"/>
      <w:szCs w:val="21"/>
    </w:rPr>
  </w:style>
  <w:style w:type="character" w:customStyle="1" w:styleId="13">
    <w:name w:val="页眉 字符"/>
    <w:basedOn w:val="11"/>
    <w:link w:val="6"/>
    <w:autoRedefine/>
    <w:qFormat/>
    <w:uiPriority w:val="99"/>
    <w:rPr>
      <w:sz w:val="18"/>
      <w:szCs w:val="18"/>
    </w:rPr>
  </w:style>
  <w:style w:type="character" w:customStyle="1" w:styleId="14">
    <w:name w:val="页脚 字符"/>
    <w:basedOn w:val="11"/>
    <w:link w:val="2"/>
    <w:autoRedefine/>
    <w:qFormat/>
    <w:uiPriority w:val="99"/>
    <w:rPr>
      <w:sz w:val="18"/>
      <w:szCs w:val="18"/>
    </w:rPr>
  </w:style>
  <w:style w:type="character" w:customStyle="1" w:styleId="15">
    <w:name w:val="批注文字 字符"/>
    <w:basedOn w:val="11"/>
    <w:link w:val="3"/>
    <w:autoRedefine/>
    <w:qFormat/>
    <w:uiPriority w:val="99"/>
  </w:style>
  <w:style w:type="character" w:customStyle="1" w:styleId="16">
    <w:name w:val="批注主题 字符"/>
    <w:basedOn w:val="15"/>
    <w:link w:val="8"/>
    <w:autoRedefine/>
    <w:semiHidden/>
    <w:qFormat/>
    <w:uiPriority w:val="99"/>
    <w:rPr>
      <w:rFonts w:ascii="Times New Roman" w:hAnsi="Times New Roman" w:eastAsia="仿宋_GB2312" w:cs="Times New Roman"/>
      <w:b/>
      <w:bCs/>
      <w:sz w:val="30"/>
      <w:szCs w:val="24"/>
    </w:rPr>
  </w:style>
  <w:style w:type="character" w:customStyle="1" w:styleId="17">
    <w:name w:val="批注框文本 字符"/>
    <w:basedOn w:val="11"/>
    <w:link w:val="5"/>
    <w:autoRedefine/>
    <w:semiHidden/>
    <w:qFormat/>
    <w:uiPriority w:val="99"/>
    <w:rPr>
      <w:rFonts w:ascii="Times New Roman" w:hAnsi="Times New Roman" w:eastAsia="仿宋_GB2312" w:cs="Times New Roman"/>
      <w:sz w:val="18"/>
      <w:szCs w:val="18"/>
    </w:rPr>
  </w:style>
  <w:style w:type="paragraph" w:customStyle="1" w:styleId="18">
    <w:name w:val="修订1"/>
    <w:autoRedefine/>
    <w:hidden/>
    <w:semiHidden/>
    <w:qFormat/>
    <w:uiPriority w:val="99"/>
    <w:rPr>
      <w:rFonts w:ascii="Times New Roman" w:hAnsi="Times New Roman" w:eastAsia="仿宋_GB2312" w:cs="Times New Roman"/>
      <w:kern w:val="2"/>
      <w:sz w:val="30"/>
      <w:szCs w:val="24"/>
      <w:lang w:val="en-US" w:eastAsia="zh-CN" w:bidi="ar-SA"/>
    </w:rPr>
  </w:style>
  <w:style w:type="paragraph" w:customStyle="1" w:styleId="19">
    <w:name w:val="修订2"/>
    <w:autoRedefine/>
    <w:hidden/>
    <w:semiHidden/>
    <w:qFormat/>
    <w:uiPriority w:val="99"/>
    <w:rPr>
      <w:rFonts w:ascii="Times New Roman" w:hAnsi="Times New Roman" w:eastAsia="仿宋_GB2312" w:cs="Times New Roman"/>
      <w:kern w:val="2"/>
      <w:sz w:val="30"/>
      <w:szCs w:val="24"/>
      <w:lang w:val="en-US" w:eastAsia="zh-CN" w:bidi="ar-SA"/>
    </w:rPr>
  </w:style>
  <w:style w:type="paragraph" w:customStyle="1" w:styleId="20">
    <w:name w:val="修订3"/>
    <w:autoRedefine/>
    <w:hidden/>
    <w:semiHidden/>
    <w:qFormat/>
    <w:uiPriority w:val="99"/>
    <w:rPr>
      <w:rFonts w:ascii="Times New Roman" w:hAnsi="Times New Roman" w:eastAsia="仿宋_GB2312" w:cs="Times New Roman"/>
      <w:kern w:val="2"/>
      <w:sz w:val="30"/>
      <w:szCs w:val="24"/>
      <w:lang w:val="en-US" w:eastAsia="zh-CN" w:bidi="ar-SA"/>
    </w:rPr>
  </w:style>
  <w:style w:type="paragraph" w:customStyle="1" w:styleId="21">
    <w:name w:val="修订4"/>
    <w:autoRedefine/>
    <w:hidden/>
    <w:unhideWhenUsed/>
    <w:qFormat/>
    <w:uiPriority w:val="99"/>
    <w:rPr>
      <w:rFonts w:ascii="Times New Roman" w:hAnsi="Times New Roman" w:eastAsia="仿宋_GB2312" w:cs="Times New Roman"/>
      <w:kern w:val="2"/>
      <w:sz w:val="30"/>
      <w:szCs w:val="24"/>
      <w:lang w:val="en-US" w:eastAsia="zh-CN" w:bidi="ar-SA"/>
    </w:rPr>
  </w:style>
  <w:style w:type="paragraph" w:customStyle="1" w:styleId="22">
    <w:name w:val="WPSOffice手动目录 1"/>
    <w:autoRedefine/>
    <w:qFormat/>
    <w:uiPriority w:val="0"/>
    <w:pPr>
      <w:ind w:leftChars="0"/>
    </w:pPr>
    <w:rPr>
      <w:rFonts w:ascii="等线" w:hAnsi="等线" w:eastAsia="等线" w:cs="等线"/>
      <w:sz w:val="20"/>
      <w:szCs w:val="20"/>
    </w:rPr>
  </w:style>
  <w:style w:type="paragraph" w:customStyle="1" w:styleId="23">
    <w:name w:val="WPSOffice手动目录 2"/>
    <w:autoRedefine/>
    <w:qFormat/>
    <w:uiPriority w:val="0"/>
    <w:pPr>
      <w:ind w:leftChars="200"/>
    </w:pPr>
    <w:rPr>
      <w:rFonts w:ascii="等线" w:hAnsi="等线" w:eastAsia="等线" w:cs="等线"/>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244D6-A0DE-49F8-9564-F86CA36CA2A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12</Pages>
  <Words>5250</Words>
  <Characters>5777</Characters>
  <Lines>73</Lines>
  <Paragraphs>20</Paragraphs>
  <TotalTime>2</TotalTime>
  <ScaleCrop>false</ScaleCrop>
  <LinksUpToDate>false</LinksUpToDate>
  <CharactersWithSpaces>5781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2021-03-18T15:23:00Z</dcterms:created>
  <dc:creator>zhang ying</dc:creator>
  <cp:lastModifiedBy>LJL</cp:lastModifiedBy>
  <cp:lastPrinted>2024-04-02T07:55:00Z</cp:lastPrinted>
  <dcterms:modified xsi:type="dcterms:W3CDTF">2025-08-22T08:30:28Z</dcterms:modified>
  <cp:revision>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3F21AF9603AB4E08BF39A23E9DC00117_13</vt:lpwstr>
  </property>
  <property fmtid="{D5CDD505-2E9C-101B-9397-08002B2CF9AE}" pid="4" name="KSOTemplateDocerSaveRecord">
    <vt:lpwstr>eyJoZGlkIjoiYzY5Yzg5YWQxYWM0NjhmYzI1YzljMzIzN2QwYjcwZmYiLCJ1c2VySWQiOiIxNTkzNDU2MDAzIn0=</vt:lpwstr>
  </property>
</Properties>
</file>