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140D">
      <w:pPr>
        <w:pStyle w:val="2"/>
        <w:ind w:firstLine="0" w:firstLineChars="0"/>
      </w:pPr>
    </w:p>
    <w:p w14:paraId="353F0611">
      <w:pPr>
        <w:adjustRightInd w:val="0"/>
        <w:snapToGrid w:val="0"/>
        <w:jc w:val="center"/>
        <w:rPr>
          <w:rFonts w:ascii="华文中宋" w:hAnsi="华文中宋" w:eastAsia="华文中宋" w:cs="宋体"/>
          <w:spacing w:val="1"/>
          <w:sz w:val="36"/>
          <w:szCs w:val="36"/>
        </w:rPr>
      </w:pPr>
      <w:bookmarkStart w:id="0" w:name="_Toc31855"/>
      <w:bookmarkStart w:id="1" w:name="_Toc3235"/>
      <w:bookmarkStart w:id="2" w:name="_Toc13138"/>
      <w:bookmarkStart w:id="3" w:name="_Toc27934"/>
      <w:bookmarkStart w:id="4" w:name="_Toc6705"/>
      <w:bookmarkStart w:id="5" w:name="_Toc1734"/>
      <w:bookmarkStart w:id="6" w:name="_Toc2582"/>
      <w:bookmarkStart w:id="7" w:name="_Toc7850"/>
      <w:bookmarkStart w:id="8" w:name="_Toc1583"/>
      <w:bookmarkStart w:id="9" w:name="_Toc7174"/>
      <w:bookmarkStart w:id="10" w:name="_Toc49801636"/>
      <w:r>
        <w:rPr>
          <w:rFonts w:hint="eastAsia" w:ascii="华文中宋" w:hAnsi="华文中宋" w:eastAsia="华文中宋" w:cs="宋体"/>
          <w:spacing w:val="1"/>
          <w:sz w:val="36"/>
          <w:szCs w:val="36"/>
        </w:rPr>
        <w:t>北京市文化和旅游局</w:t>
      </w:r>
    </w:p>
    <w:p w14:paraId="75CB4EEC">
      <w:pPr>
        <w:adjustRightInd w:val="0"/>
        <w:snapToGrid w:val="0"/>
        <w:jc w:val="center"/>
        <w:rPr>
          <w:rFonts w:ascii="华文中宋" w:hAnsi="华文中宋" w:eastAsia="华文中宋" w:cs="宋体"/>
          <w:spacing w:val="1"/>
          <w:sz w:val="36"/>
          <w:szCs w:val="36"/>
        </w:rPr>
      </w:pPr>
      <w:r>
        <w:rPr>
          <w:rFonts w:hint="eastAsia" w:ascii="华文中宋" w:hAnsi="华文中宋" w:eastAsia="华文中宋" w:cs="宋体"/>
          <w:spacing w:val="1"/>
          <w:sz w:val="36"/>
          <w:szCs w:val="36"/>
        </w:rPr>
        <w:t>20</w:t>
      </w:r>
      <w:r>
        <w:rPr>
          <w:rFonts w:ascii="华文中宋" w:hAnsi="华文中宋" w:eastAsia="华文中宋" w:cs="宋体"/>
          <w:spacing w:val="1"/>
          <w:sz w:val="36"/>
          <w:szCs w:val="36"/>
        </w:rPr>
        <w:t>2</w:t>
      </w:r>
      <w:r>
        <w:rPr>
          <w:rFonts w:hint="eastAsia" w:ascii="华文中宋" w:hAnsi="华文中宋" w:eastAsia="华文中宋" w:cs="宋体"/>
          <w:spacing w:val="1"/>
          <w:sz w:val="36"/>
          <w:szCs w:val="36"/>
        </w:rPr>
        <w:t>4年度</w:t>
      </w:r>
      <w:bookmarkEnd w:id="0"/>
      <w:bookmarkEnd w:id="1"/>
      <w:bookmarkEnd w:id="2"/>
      <w:bookmarkEnd w:id="3"/>
      <w:bookmarkEnd w:id="4"/>
      <w:bookmarkEnd w:id="5"/>
      <w:bookmarkEnd w:id="6"/>
      <w:bookmarkEnd w:id="7"/>
      <w:bookmarkEnd w:id="8"/>
      <w:bookmarkEnd w:id="9"/>
      <w:bookmarkStart w:id="11" w:name="_Toc9855"/>
      <w:bookmarkStart w:id="12" w:name="_Toc30911"/>
      <w:bookmarkStart w:id="13" w:name="_Toc20691"/>
      <w:bookmarkStart w:id="14" w:name="_Toc31747"/>
      <w:bookmarkStart w:id="15" w:name="_Toc26672"/>
      <w:bookmarkStart w:id="16" w:name="_Toc8352"/>
      <w:bookmarkStart w:id="17" w:name="_Toc13682"/>
      <w:bookmarkStart w:id="18" w:name="_Toc7673"/>
      <w:bookmarkStart w:id="19" w:name="_Toc7400"/>
      <w:bookmarkStart w:id="20" w:name="_Toc9808"/>
      <w:r>
        <w:rPr>
          <w:rFonts w:hint="eastAsia" w:ascii="华文中宋" w:hAnsi="华文中宋" w:eastAsia="华文中宋" w:cs="宋体"/>
          <w:spacing w:val="1"/>
          <w:sz w:val="36"/>
          <w:szCs w:val="36"/>
        </w:rPr>
        <w:t>部门整体</w:t>
      </w:r>
      <w:bookmarkEnd w:id="10"/>
      <w:bookmarkStart w:id="21" w:name="_Toc49801637"/>
      <w:bookmarkStart w:id="22" w:name="_Toc13068"/>
      <w:r>
        <w:rPr>
          <w:rFonts w:hint="eastAsia" w:ascii="华文中宋" w:hAnsi="华文中宋" w:eastAsia="华文中宋" w:cs="宋体"/>
          <w:spacing w:val="1"/>
          <w:sz w:val="36"/>
          <w:szCs w:val="36"/>
        </w:rPr>
        <w:t>绩效报告</w:t>
      </w:r>
      <w:bookmarkEnd w:id="11"/>
      <w:bookmarkEnd w:id="12"/>
      <w:bookmarkEnd w:id="13"/>
      <w:bookmarkEnd w:id="14"/>
      <w:bookmarkEnd w:id="15"/>
      <w:bookmarkEnd w:id="16"/>
      <w:bookmarkEnd w:id="17"/>
      <w:bookmarkEnd w:id="18"/>
      <w:bookmarkEnd w:id="19"/>
      <w:bookmarkEnd w:id="20"/>
      <w:bookmarkEnd w:id="21"/>
      <w:bookmarkEnd w:id="22"/>
    </w:p>
    <w:p w14:paraId="694869C3">
      <w:pPr>
        <w:pStyle w:val="7"/>
        <w:ind w:firstLine="720"/>
        <w:rPr>
          <w:sz w:val="36"/>
          <w:szCs w:val="24"/>
        </w:rPr>
      </w:pPr>
    </w:p>
    <w:p w14:paraId="2F56E490">
      <w:pPr>
        <w:adjustRightInd w:val="0"/>
        <w:snapToGrid w:val="0"/>
        <w:spacing w:line="360" w:lineRule="auto"/>
        <w:ind w:firstLine="640" w:firstLineChars="200"/>
        <w:outlineLvl w:val="0"/>
        <w:rPr>
          <w:rFonts w:ascii="黑体" w:hAnsi="黑体" w:eastAsia="黑体" w:cs="黑体"/>
          <w:sz w:val="32"/>
          <w:szCs w:val="32"/>
        </w:rPr>
      </w:pPr>
      <w:bookmarkStart w:id="23" w:name="_Toc8385"/>
      <w:bookmarkStart w:id="24" w:name="_Toc13013"/>
      <w:bookmarkStart w:id="25" w:name="_Toc135321817"/>
      <w:bookmarkStart w:id="26" w:name="_Toc14630"/>
      <w:bookmarkStart w:id="27" w:name="_Toc18099"/>
      <w:bookmarkStart w:id="28" w:name="_Toc22997"/>
      <w:bookmarkStart w:id="29" w:name="_Toc11244"/>
      <w:bookmarkStart w:id="30" w:name="_Toc22409"/>
      <w:bookmarkStart w:id="31" w:name="_Toc23818"/>
      <w:bookmarkStart w:id="32" w:name="_Toc6577"/>
      <w:bookmarkStart w:id="33" w:name="_Hlk166768799"/>
      <w:r>
        <w:rPr>
          <w:rFonts w:hint="eastAsia" w:ascii="黑体" w:hAnsi="黑体" w:eastAsia="黑体" w:cs="黑体"/>
          <w:sz w:val="32"/>
          <w:szCs w:val="32"/>
        </w:rPr>
        <w:t>一、部门概况</w:t>
      </w:r>
      <w:bookmarkEnd w:id="23"/>
      <w:bookmarkEnd w:id="24"/>
      <w:bookmarkEnd w:id="25"/>
      <w:bookmarkEnd w:id="26"/>
      <w:bookmarkEnd w:id="27"/>
      <w:bookmarkEnd w:id="28"/>
      <w:bookmarkEnd w:id="29"/>
      <w:bookmarkEnd w:id="30"/>
      <w:bookmarkEnd w:id="31"/>
      <w:bookmarkEnd w:id="32"/>
    </w:p>
    <w:bookmarkEnd w:id="33"/>
    <w:p w14:paraId="16F1F17E">
      <w:pPr>
        <w:adjustRightInd w:val="0"/>
        <w:snapToGrid w:val="0"/>
        <w:spacing w:line="360" w:lineRule="auto"/>
        <w:ind w:firstLine="640" w:firstLineChars="200"/>
        <w:outlineLvl w:val="1"/>
        <w:rPr>
          <w:rFonts w:ascii="楷体_GB2312" w:hAnsi="仿宋_GB2312" w:eastAsia="楷体_GB2312" w:cs="仿宋_GB2312"/>
          <w:sz w:val="32"/>
          <w:szCs w:val="32"/>
        </w:rPr>
      </w:pPr>
      <w:bookmarkStart w:id="34" w:name="_Toc49801640"/>
      <w:bookmarkStart w:id="35" w:name="_Toc20515"/>
      <w:bookmarkStart w:id="36" w:name="_Toc135321818"/>
      <w:bookmarkStart w:id="37" w:name="_Toc32129"/>
      <w:bookmarkStart w:id="38" w:name="_Toc3329"/>
      <w:bookmarkStart w:id="39" w:name="_Toc19833"/>
      <w:bookmarkStart w:id="40" w:name="_Toc24609"/>
      <w:bookmarkStart w:id="41" w:name="_Toc19532"/>
      <w:bookmarkStart w:id="42" w:name="_Toc19520"/>
      <w:bookmarkStart w:id="43" w:name="_Toc3827"/>
      <w:bookmarkStart w:id="44" w:name="_Toc11719"/>
      <w:bookmarkStart w:id="45" w:name="_Toc9406"/>
      <w:r>
        <w:rPr>
          <w:rFonts w:hint="eastAsia" w:ascii="楷体_GB2312" w:hAnsi="仿宋_GB2312" w:eastAsia="楷体_GB2312" w:cs="仿宋_GB2312"/>
          <w:sz w:val="32"/>
          <w:szCs w:val="32"/>
        </w:rPr>
        <w:t>（一）</w:t>
      </w:r>
      <w:bookmarkEnd w:id="34"/>
      <w:bookmarkEnd w:id="35"/>
      <w:bookmarkEnd w:id="36"/>
      <w:r>
        <w:rPr>
          <w:rFonts w:hint="eastAsia" w:ascii="楷体_GB2312" w:hAnsi="仿宋_GB2312" w:eastAsia="楷体_GB2312" w:cs="仿宋_GB2312"/>
          <w:sz w:val="32"/>
          <w:szCs w:val="32"/>
        </w:rPr>
        <w:t>机构设置及职责工作任务情况</w:t>
      </w:r>
      <w:bookmarkEnd w:id="37"/>
      <w:bookmarkEnd w:id="38"/>
      <w:bookmarkEnd w:id="39"/>
      <w:bookmarkEnd w:id="40"/>
      <w:bookmarkEnd w:id="41"/>
      <w:bookmarkEnd w:id="42"/>
      <w:bookmarkEnd w:id="43"/>
      <w:bookmarkEnd w:id="44"/>
      <w:bookmarkEnd w:id="45"/>
    </w:p>
    <w:p w14:paraId="65BC2636">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1.机构设置情况</w:t>
      </w:r>
    </w:p>
    <w:p w14:paraId="59629CB7">
      <w:pPr>
        <w:adjustRightInd w:val="0"/>
        <w:snapToGrid w:val="0"/>
        <w:spacing w:after="120" w:line="360" w:lineRule="auto"/>
        <w:ind w:firstLine="640" w:firstLineChars="200"/>
        <w:rPr>
          <w:rFonts w:ascii="仿宋_GB2312" w:hAnsi="仿宋_GB2312" w:cs="仿宋_GB2312"/>
          <w:sz w:val="32"/>
          <w:szCs w:val="32"/>
        </w:rPr>
      </w:pPr>
      <w:r>
        <w:rPr>
          <w:rFonts w:hint="eastAsia" w:ascii="仿宋_GB2312" w:hAnsi="仿宋_GB2312" w:eastAsia="仿宋_GB2312" w:cs="仿宋_GB2312"/>
          <w:sz w:val="32"/>
          <w:szCs w:val="32"/>
        </w:rPr>
        <w:t>北京市文化和旅游局（以下简称“市文化和旅游局”）是贯彻落实党中央关于文化和旅游工作的方针政策、决策部署和市委有关工作要求的北京市人民政府组成部门（正局级）。市文化和旅游局是根据2018年《北京市机构改革实施方案》，由原北京市文化局、原北京市旅游发展委员会职责整合，组建而成。市文化和旅游局</w:t>
      </w:r>
      <w:bookmarkStart w:id="46" w:name="OLE_LINK11"/>
      <w:r>
        <w:rPr>
          <w:rFonts w:hint="eastAsia" w:ascii="仿宋_GB2312" w:hAnsi="仿宋_GB2312" w:eastAsia="仿宋_GB2312" w:cs="仿宋_GB2312"/>
          <w:sz w:val="32"/>
          <w:szCs w:val="32"/>
        </w:rPr>
        <w:t>所属二级预算单位</w:t>
      </w:r>
      <w:bookmarkEnd w:id="46"/>
      <w:r>
        <w:rPr>
          <w:rFonts w:hint="eastAsia" w:ascii="仿宋_GB2312" w:hAnsi="仿宋_GB2312" w:eastAsia="仿宋_GB2312" w:cs="仿宋_GB2312"/>
          <w:sz w:val="32"/>
          <w:szCs w:val="32"/>
        </w:rPr>
        <w:t>14个。</w:t>
      </w:r>
    </w:p>
    <w:p w14:paraId="71C81A8F">
      <w:pPr>
        <w:pStyle w:val="7"/>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2.职责工作任务情况</w:t>
      </w:r>
    </w:p>
    <w:p w14:paraId="2105FE46">
      <w:pPr>
        <w:pStyle w:val="7"/>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根据北京市人民政府办公厅《关于印发&lt;北京市文化和旅游局职能配置、内设机构和人员编制规定&gt;的通知》(京办字〔2019〕21号)，市文化和旅游局承担“统筹规划本市文化事业、文化产业和旅游业发展；管理本市文化活动，指导重点及基层文化设施建设和旅游设施建设，参与国家旅游整体形象的对外宣传和重大推广活动；指导、管理本市文艺事业，指导艺术创作与生产；推进公共文化服务体系建设和旅游公共服务体系建设；指导、推进本市文化和旅游科技创新发展；推动非物质文化遗产的保护、传承、传播和发展；统筹规划本市文化产业和旅游业；负责对文化和旅游市场经营进行行业监管；指导、管理本市文化和旅游对外及对港澳台交流、合作和宣传、推广工作，负责组织大型文化和旅游对外及对港澳台交流活动”等12项职责。</w:t>
      </w:r>
    </w:p>
    <w:p w14:paraId="4BEA6B43">
      <w:pPr>
        <w:pStyle w:val="7"/>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市文化和旅游局依据国家、北京市关于文化和旅游事业发展的政策文件精神以及相关的工作要求，明确了持续繁荣首都文艺舞台、着力提升文化和旅游公共服务效能、深化非物质文化遗产保护传承、推动文化和旅游产业稳定发展、规范文化和旅游市场监督、深化文化和旅游交流交往共六项工作任务。</w:t>
      </w:r>
    </w:p>
    <w:p w14:paraId="35393126">
      <w:pPr>
        <w:adjustRightInd w:val="0"/>
        <w:snapToGrid w:val="0"/>
        <w:spacing w:line="360" w:lineRule="auto"/>
        <w:ind w:firstLine="640" w:firstLineChars="200"/>
        <w:outlineLvl w:val="1"/>
        <w:rPr>
          <w:rFonts w:ascii="楷体_GB2312" w:hAnsi="仿宋_GB2312" w:eastAsia="楷体_GB2312" w:cs="仿宋_GB2312"/>
          <w:sz w:val="32"/>
          <w:szCs w:val="32"/>
        </w:rPr>
      </w:pPr>
      <w:bookmarkStart w:id="47" w:name="_Toc135321819"/>
      <w:bookmarkStart w:id="48" w:name="_Toc3697"/>
      <w:bookmarkStart w:id="49" w:name="_Toc49801641"/>
      <w:bookmarkStart w:id="50" w:name="_Toc31654"/>
      <w:bookmarkStart w:id="51" w:name="_Toc7830"/>
      <w:bookmarkStart w:id="52" w:name="_Toc25139"/>
      <w:bookmarkStart w:id="53" w:name="_Toc27977"/>
      <w:bookmarkStart w:id="54" w:name="_Toc11388"/>
      <w:bookmarkStart w:id="55" w:name="_Toc30374"/>
      <w:bookmarkStart w:id="56" w:name="_Toc27219"/>
      <w:bookmarkStart w:id="57" w:name="_Toc20917"/>
      <w:bookmarkStart w:id="58" w:name="_Toc23755"/>
      <w:r>
        <w:rPr>
          <w:rFonts w:hint="eastAsia" w:ascii="楷体_GB2312" w:hAnsi="仿宋_GB2312" w:eastAsia="楷体_GB2312" w:cs="仿宋_GB2312"/>
          <w:sz w:val="32"/>
          <w:szCs w:val="32"/>
        </w:rPr>
        <w:t>（二）</w:t>
      </w:r>
      <w:bookmarkEnd w:id="47"/>
      <w:bookmarkEnd w:id="48"/>
      <w:bookmarkEnd w:id="49"/>
      <w:r>
        <w:rPr>
          <w:rFonts w:hint="eastAsia" w:ascii="楷体_GB2312" w:hAnsi="仿宋_GB2312" w:eastAsia="楷体_GB2312" w:cs="仿宋_GB2312"/>
          <w:sz w:val="32"/>
          <w:szCs w:val="32"/>
        </w:rPr>
        <w:t>部门整体绩效目标设立情况</w:t>
      </w:r>
      <w:bookmarkEnd w:id="50"/>
      <w:bookmarkEnd w:id="51"/>
      <w:bookmarkEnd w:id="52"/>
      <w:bookmarkEnd w:id="53"/>
      <w:bookmarkEnd w:id="54"/>
      <w:bookmarkEnd w:id="55"/>
      <w:bookmarkEnd w:id="56"/>
      <w:bookmarkEnd w:id="57"/>
      <w:bookmarkEnd w:id="58"/>
    </w:p>
    <w:p w14:paraId="12F2CE02">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市文化和旅游局2024年度部门整体绩效目标为：市文化和旅游局将继续坚决贯彻落实相关的各项工作部署，统筹规划、系统推进，有重点、有步骤推进各项改革任务顺利完成。通过继续深化文化和旅游领域改革创新，组织实施各项节庆活动并做好服务保障，开展首都市民系列活动，组织各类展演活动、精品剧目创作，打造具有广泛影响力的品牌文化活动，推动非遗保护传承，做好新形势下国际文化和旅游交流交往，推进区域合作等具体工作开展，显著推动首都文化事业、文化产业和旅游业新发展。围绕年度总体绩效目标，市文化和旅游局共设置了80项绩效指标，全面涵盖产出指标、效益指标、满意度指标等各类型。部门整体绩效目标设置较为全面、合理，目标设立依据充分，与职责任务匹配。</w:t>
      </w:r>
    </w:p>
    <w:p w14:paraId="2BC7253C">
      <w:pPr>
        <w:adjustRightInd w:val="0"/>
        <w:snapToGrid w:val="0"/>
        <w:spacing w:line="360" w:lineRule="auto"/>
        <w:ind w:firstLine="640" w:firstLineChars="200"/>
        <w:outlineLvl w:val="0"/>
        <w:rPr>
          <w:rFonts w:ascii="黑体" w:hAnsi="黑体" w:eastAsia="黑体" w:cs="黑体"/>
          <w:sz w:val="32"/>
          <w:szCs w:val="32"/>
        </w:rPr>
      </w:pPr>
      <w:bookmarkStart w:id="59" w:name="_Toc5815"/>
      <w:bookmarkStart w:id="60" w:name="_Toc31910"/>
      <w:bookmarkStart w:id="61" w:name="_Toc8588"/>
      <w:bookmarkStart w:id="62" w:name="_Toc236"/>
      <w:bookmarkStart w:id="63" w:name="_Toc21523"/>
      <w:bookmarkStart w:id="64" w:name="_Toc15580"/>
      <w:bookmarkStart w:id="65" w:name="_Toc20167"/>
      <w:bookmarkStart w:id="66" w:name="_Toc2195"/>
      <w:bookmarkStart w:id="67" w:name="_Toc13540"/>
      <w:r>
        <w:rPr>
          <w:rFonts w:hint="eastAsia" w:ascii="黑体" w:hAnsi="黑体" w:eastAsia="黑体" w:cs="黑体"/>
          <w:sz w:val="32"/>
          <w:szCs w:val="32"/>
        </w:rPr>
        <w:t>二、当年预算执行情况</w:t>
      </w:r>
      <w:bookmarkEnd w:id="59"/>
      <w:bookmarkEnd w:id="60"/>
      <w:bookmarkEnd w:id="61"/>
      <w:bookmarkEnd w:id="62"/>
      <w:bookmarkEnd w:id="63"/>
      <w:bookmarkEnd w:id="64"/>
      <w:bookmarkEnd w:id="65"/>
      <w:bookmarkEnd w:id="66"/>
      <w:bookmarkEnd w:id="67"/>
    </w:p>
    <w:p w14:paraId="24890E5C">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市文化和旅游局2024年全年预算242,432.14万元，其中，基本支出预算91,477.32万元，项目支出预算145,498.08万元，其他支出预算数5,456.74万元。全年预算支出213,202.38万元，其中，基本支出88,660.33万元，项目支出124,229.63万元，其他支出312.42万元。预算执行率为87.94%。</w:t>
      </w:r>
    </w:p>
    <w:p w14:paraId="72B4FC24">
      <w:pPr>
        <w:adjustRightInd w:val="0"/>
        <w:snapToGrid w:val="0"/>
        <w:spacing w:line="360" w:lineRule="auto"/>
        <w:ind w:firstLine="640" w:firstLineChars="200"/>
        <w:outlineLvl w:val="0"/>
        <w:rPr>
          <w:rFonts w:ascii="黑体" w:hAnsi="黑体" w:eastAsia="黑体" w:cs="黑体"/>
          <w:sz w:val="32"/>
          <w:szCs w:val="32"/>
        </w:rPr>
      </w:pPr>
      <w:bookmarkStart w:id="68" w:name="_Toc25396"/>
      <w:bookmarkStart w:id="69" w:name="_Toc22908"/>
      <w:bookmarkStart w:id="70" w:name="_Toc513"/>
      <w:bookmarkStart w:id="71" w:name="_Toc25042"/>
      <w:bookmarkStart w:id="72" w:name="_Toc27915"/>
      <w:bookmarkStart w:id="73" w:name="_Toc20089"/>
      <w:bookmarkStart w:id="74" w:name="_Toc27249"/>
      <w:bookmarkStart w:id="75" w:name="_Toc9718"/>
      <w:bookmarkStart w:id="76" w:name="_Toc27737"/>
      <w:r>
        <w:rPr>
          <w:rFonts w:hint="eastAsia" w:ascii="黑体" w:hAnsi="黑体" w:eastAsia="黑体" w:cs="黑体"/>
          <w:sz w:val="32"/>
          <w:szCs w:val="32"/>
        </w:rPr>
        <w:t>三</w:t>
      </w:r>
      <w:r>
        <w:rPr>
          <w:rFonts w:ascii="黑体" w:hAnsi="黑体" w:eastAsia="黑体" w:cs="黑体"/>
          <w:sz w:val="32"/>
          <w:szCs w:val="32"/>
        </w:rPr>
        <w:t>、整体绩效目标实现情况</w:t>
      </w:r>
      <w:bookmarkEnd w:id="68"/>
      <w:bookmarkEnd w:id="69"/>
      <w:bookmarkEnd w:id="70"/>
      <w:bookmarkEnd w:id="71"/>
      <w:bookmarkEnd w:id="72"/>
      <w:bookmarkEnd w:id="73"/>
      <w:bookmarkEnd w:id="74"/>
      <w:bookmarkEnd w:id="75"/>
      <w:bookmarkEnd w:id="76"/>
    </w:p>
    <w:p w14:paraId="1E0749A6">
      <w:pPr>
        <w:adjustRightInd w:val="0"/>
        <w:snapToGrid w:val="0"/>
        <w:spacing w:line="360" w:lineRule="auto"/>
        <w:ind w:firstLine="640" w:firstLineChars="200"/>
        <w:outlineLvl w:val="1"/>
        <w:rPr>
          <w:rFonts w:ascii="楷体_GB2312" w:hAnsi="仿宋_GB2312" w:eastAsia="楷体_GB2312" w:cs="仿宋_GB2312"/>
          <w:sz w:val="32"/>
          <w:szCs w:val="32"/>
        </w:rPr>
      </w:pPr>
      <w:bookmarkStart w:id="77" w:name="_Toc29338"/>
      <w:bookmarkStart w:id="78" w:name="_Toc1207"/>
      <w:bookmarkStart w:id="79" w:name="_Toc26154"/>
      <w:bookmarkStart w:id="80" w:name="_Toc23718"/>
      <w:bookmarkStart w:id="81" w:name="_Toc9210"/>
      <w:bookmarkStart w:id="82" w:name="_Toc997"/>
      <w:bookmarkStart w:id="83" w:name="_Toc21809"/>
      <w:bookmarkStart w:id="84" w:name="_Toc14271"/>
      <w:bookmarkStart w:id="85" w:name="_Toc24444"/>
      <w:r>
        <w:rPr>
          <w:rFonts w:hint="eastAsia" w:ascii="楷体_GB2312" w:hAnsi="仿宋_GB2312" w:eastAsia="楷体_GB2312" w:cs="仿宋_GB2312"/>
          <w:sz w:val="32"/>
          <w:szCs w:val="32"/>
        </w:rPr>
        <w:t>（一）产出完成情况分析</w:t>
      </w:r>
      <w:bookmarkEnd w:id="77"/>
      <w:bookmarkEnd w:id="78"/>
      <w:bookmarkEnd w:id="79"/>
      <w:bookmarkEnd w:id="80"/>
      <w:bookmarkEnd w:id="81"/>
      <w:bookmarkEnd w:id="82"/>
      <w:bookmarkEnd w:id="83"/>
      <w:bookmarkEnd w:id="84"/>
      <w:bookmarkEnd w:id="85"/>
    </w:p>
    <w:p w14:paraId="54C4197C">
      <w:pPr>
        <w:adjustRightInd w:val="0"/>
        <w:snapToGrid w:val="0"/>
        <w:spacing w:line="360" w:lineRule="auto"/>
        <w:ind w:left="105" w:leftChars="50"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10556C1A">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eastAsia="仿宋_GB2312"/>
          <w:sz w:val="32"/>
          <w:szCs w:val="32"/>
        </w:rPr>
        <w:t>总体上，2024年市文化和旅游局部门产出完成情况较好，具体情况如下：</w:t>
      </w:r>
      <w:r>
        <w:rPr>
          <w:rFonts w:hint="eastAsia" w:ascii="仿宋_GB2312" w:eastAsia="仿宋_GB2312"/>
          <w:b/>
          <w:bCs/>
          <w:sz w:val="32"/>
          <w:szCs w:val="32"/>
        </w:rPr>
        <w:t>艺术创作生产持续繁荣。</w:t>
      </w:r>
      <w:r>
        <w:rPr>
          <w:rFonts w:hint="eastAsia" w:ascii="仿宋_GB2312" w:eastAsia="仿宋_GB2312"/>
          <w:sz w:val="32"/>
          <w:szCs w:val="32"/>
        </w:rPr>
        <w:t>一是</w:t>
      </w:r>
      <w:r>
        <w:rPr>
          <w:rFonts w:hint="eastAsia" w:ascii="仿宋_GB2312" w:hAnsi="仿宋_GB2312" w:eastAsia="仿宋_GB2312" w:cs="仿宋_GB2312"/>
          <w:kern w:val="0"/>
          <w:sz w:val="32"/>
          <w:szCs w:val="32"/>
        </w:rPr>
        <w:t>“演艺之都”建设加快推进；二是培育演艺新空间79家；三是艺术创作成果丰硕。</w:t>
      </w:r>
      <w:r>
        <w:rPr>
          <w:rFonts w:hint="eastAsia" w:ascii="仿宋_GB2312" w:eastAsia="仿宋_GB2312"/>
          <w:b/>
          <w:bCs/>
          <w:sz w:val="32"/>
          <w:szCs w:val="32"/>
        </w:rPr>
        <w:t>公共服务效能持续提升。</w:t>
      </w:r>
      <w:r>
        <w:rPr>
          <w:rFonts w:hint="eastAsia" w:ascii="仿宋_GB2312" w:eastAsia="仿宋_GB2312"/>
          <w:sz w:val="32"/>
          <w:szCs w:val="32"/>
        </w:rPr>
        <w:t>一是完善了公共服务设施；二是强化了示范引领；三是广泛开展了群众文化活动。</w:t>
      </w:r>
      <w:r>
        <w:rPr>
          <w:rFonts w:hint="eastAsia" w:ascii="仿宋_GB2312" w:eastAsia="仿宋_GB2312"/>
          <w:b/>
          <w:bCs/>
          <w:sz w:val="32"/>
          <w:szCs w:val="32"/>
        </w:rPr>
        <w:t>非遗保护及传承力度不断加强。</w:t>
      </w:r>
      <w:r>
        <w:rPr>
          <w:rFonts w:hint="eastAsia" w:ascii="仿宋_GB2312" w:eastAsia="仿宋_GB2312"/>
          <w:sz w:val="32"/>
          <w:szCs w:val="32"/>
        </w:rPr>
        <w:t>一是非遗工作表现突出；二是加大了非遗传播推广力度。</w:t>
      </w:r>
      <w:r>
        <w:rPr>
          <w:rFonts w:hint="eastAsia" w:ascii="仿宋_GB2312" w:eastAsia="仿宋_GB2312"/>
          <w:b/>
          <w:bCs/>
          <w:sz w:val="32"/>
          <w:szCs w:val="32"/>
        </w:rPr>
        <w:t>文旅产业促进提质增效。</w:t>
      </w:r>
      <w:r>
        <w:rPr>
          <w:rFonts w:hint="eastAsia" w:ascii="仿宋_GB2312" w:eastAsia="仿宋_GB2312"/>
          <w:sz w:val="32"/>
          <w:szCs w:val="32"/>
        </w:rPr>
        <w:t>一是首都文旅产业基础持续夯实；二是文旅消费有效提振；三是旅游业态健康稳定发展。</w:t>
      </w:r>
      <w:r>
        <w:rPr>
          <w:rFonts w:hint="eastAsia" w:ascii="仿宋_GB2312" w:eastAsia="仿宋_GB2312"/>
          <w:b/>
          <w:bCs/>
          <w:sz w:val="32"/>
          <w:szCs w:val="32"/>
        </w:rPr>
        <w:t>文化旅游市场健康发展。</w:t>
      </w:r>
      <w:r>
        <w:rPr>
          <w:rFonts w:hint="eastAsia" w:ascii="仿宋_GB2312" w:eastAsia="仿宋_GB2312"/>
          <w:sz w:val="32"/>
          <w:szCs w:val="32"/>
        </w:rPr>
        <w:t>一是高质量、高效率开展了文旅领域审批服务；二是强化了行业安全制度建设，制定了旅行社、导游、景区和酒店行业服务规范；三是深化了重点领域隐患排查整治，圆满完成了假日旅游服务保障工作，假日文旅市场安全有序。</w:t>
      </w:r>
      <w:r>
        <w:rPr>
          <w:rFonts w:hint="eastAsia" w:ascii="仿宋_GB2312" w:eastAsia="仿宋_GB2312"/>
          <w:b/>
          <w:bCs/>
          <w:sz w:val="32"/>
          <w:szCs w:val="32"/>
        </w:rPr>
        <w:t>交流合作持续深化。</w:t>
      </w:r>
      <w:r>
        <w:rPr>
          <w:rFonts w:hint="eastAsia" w:ascii="仿宋_GB2312" w:eastAsia="仿宋_GB2312"/>
          <w:sz w:val="32"/>
          <w:szCs w:val="32"/>
        </w:rPr>
        <w:t>一是入境旅游发展持续加速；二是对外交流活动持续保持良好发展态势；三是完善了京津冀文旅协同专题工作组工作机制。</w:t>
      </w:r>
    </w:p>
    <w:p w14:paraId="6DBF6D0F">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14:paraId="0666ABFE">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总体上，2024年市文化和旅游局部门产出质量完成情况较好。艺术创作生产及扶持方面，京剧《齐白石》入选“五个一工程”奖；9部剧目入选全国演出市场社会效益和经济效益相统一演出项目，入选数量居全国第一；公共文化旅游服务方面，</w:t>
      </w:r>
      <w:r>
        <w:rPr>
          <w:rFonts w:hint="eastAsia" w:ascii="仿宋_GB2312" w:hAnsi="宋体" w:eastAsia="仿宋_GB2312" w:cs="仿宋_GB2312"/>
          <w:sz w:val="32"/>
          <w:szCs w:val="32"/>
        </w:rPr>
        <w:t>举办市民系列文化活动，公共文化服务活动参与率达到85%；非遗保护与传承方面，举办各项非物质文化遗产展示活动，活动质量达标率为100%；产业促进方面，促进了文化产业和旅游业发展，文化旅游资源开发符合国家和北京市有关要求，并涵盖重点区域和点位；文化旅游行业管理方面，监管工作覆盖文化和旅游各个领域，加强了文化和旅游市场监管力度，推进了文化和旅游业信用体系建设，进一步规范了文化和旅游市场；对外交流与宣传推介方面，深化文化和旅游交流合作及宣传推广，各项活动主题明确、质量符合预期。</w:t>
      </w:r>
    </w:p>
    <w:p w14:paraId="10CF1ADA">
      <w:pPr>
        <w:adjustRightInd w:val="0"/>
        <w:snapToGrid w:val="0"/>
        <w:spacing w:line="360" w:lineRule="auto"/>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14:paraId="2FD9B1C0">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市文化和旅游局在公共文化旅游服务、艺术创作生产及扶持、非遗保护及传承、文化旅游行业管理、对外交流与宣传推介、产业促进等方面大部分工作均按计划按时完成，但部分项目未按时完成验收。</w:t>
      </w:r>
    </w:p>
    <w:p w14:paraId="6F133075">
      <w:pPr>
        <w:adjustRightInd w:val="0"/>
        <w:snapToGrid w:val="0"/>
        <w:spacing w:line="360" w:lineRule="auto"/>
        <w:ind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14:paraId="2B1F5D58">
      <w:pPr>
        <w:adjustRightInd w:val="0"/>
        <w:snapToGrid w:val="0"/>
        <w:spacing w:line="360" w:lineRule="auto"/>
        <w:ind w:firstLine="480" w:firstLineChars="150"/>
        <w:rPr>
          <w:rFonts w:ascii="仿宋_GB2312" w:hAnsi="宋体" w:eastAsia="仿宋_GB2312" w:cs="宋体"/>
          <w:color w:val="000000"/>
          <w:kern w:val="0"/>
          <w:sz w:val="32"/>
          <w:szCs w:val="32"/>
        </w:rPr>
      </w:pPr>
      <w:bookmarkStart w:id="86" w:name="_Hlk166782762"/>
      <w:r>
        <w:rPr>
          <w:rFonts w:hint="eastAsia" w:ascii="仿宋_GB2312" w:hAnsi="宋体" w:eastAsia="仿宋_GB2312" w:cs="宋体"/>
          <w:color w:val="000000"/>
          <w:kern w:val="0"/>
          <w:sz w:val="32"/>
          <w:szCs w:val="32"/>
        </w:rPr>
        <w:t>市文化和旅游局2024年全年预算242,432.14万元，截至2024年12月底支出213,202.38万元</w:t>
      </w:r>
      <w:bookmarkEnd w:id="86"/>
      <w:r>
        <w:rPr>
          <w:rFonts w:hint="eastAsia" w:ascii="仿宋_GB2312" w:hAnsi="宋体" w:eastAsia="仿宋_GB2312" w:cs="宋体"/>
          <w:color w:val="000000"/>
          <w:kern w:val="0"/>
          <w:sz w:val="32"/>
          <w:szCs w:val="32"/>
        </w:rPr>
        <w:t>，支出控制在预算内，成本控制效果较好。</w:t>
      </w:r>
    </w:p>
    <w:p w14:paraId="5DF767DD">
      <w:pPr>
        <w:adjustRightInd w:val="0"/>
        <w:snapToGrid w:val="0"/>
        <w:spacing w:line="360" w:lineRule="auto"/>
        <w:ind w:firstLine="640" w:firstLineChars="200"/>
        <w:outlineLvl w:val="1"/>
        <w:rPr>
          <w:rFonts w:ascii="楷体_GB2312" w:hAnsi="仿宋_GB2312" w:eastAsia="楷体_GB2312" w:cs="仿宋_GB2312"/>
          <w:sz w:val="32"/>
          <w:szCs w:val="32"/>
        </w:rPr>
      </w:pPr>
      <w:bookmarkStart w:id="87" w:name="_Toc13143"/>
      <w:bookmarkStart w:id="88" w:name="_Toc20652"/>
      <w:bookmarkStart w:id="89" w:name="_Toc20393"/>
      <w:bookmarkStart w:id="90" w:name="_Toc23963"/>
      <w:bookmarkStart w:id="91" w:name="_Toc24785"/>
      <w:bookmarkStart w:id="92" w:name="_Toc26708"/>
      <w:bookmarkStart w:id="93" w:name="_Toc11163"/>
      <w:bookmarkStart w:id="94" w:name="_Toc26446"/>
      <w:bookmarkStart w:id="95" w:name="_Toc2428"/>
      <w:r>
        <w:rPr>
          <w:rFonts w:hint="eastAsia" w:ascii="楷体_GB2312" w:hAnsi="仿宋_GB2312" w:eastAsia="楷体_GB2312" w:cs="仿宋_GB2312"/>
          <w:sz w:val="32"/>
          <w:szCs w:val="32"/>
        </w:rPr>
        <w:t>（二）效果</w:t>
      </w:r>
      <w:r>
        <w:rPr>
          <w:rFonts w:ascii="楷体_GB2312" w:hAnsi="仿宋_GB2312" w:eastAsia="楷体_GB2312" w:cs="仿宋_GB2312"/>
          <w:sz w:val="32"/>
          <w:szCs w:val="32"/>
        </w:rPr>
        <w:t>实现情况分析</w:t>
      </w:r>
      <w:bookmarkEnd w:id="87"/>
      <w:bookmarkEnd w:id="88"/>
      <w:bookmarkEnd w:id="89"/>
      <w:bookmarkEnd w:id="90"/>
      <w:bookmarkEnd w:id="91"/>
      <w:bookmarkEnd w:id="92"/>
      <w:bookmarkEnd w:id="93"/>
      <w:bookmarkEnd w:id="94"/>
      <w:bookmarkEnd w:id="95"/>
    </w:p>
    <w:p w14:paraId="57444B43">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1.社会效益</w:t>
      </w:r>
    </w:p>
    <w:p w14:paraId="13991CD2">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通过各项工作的有效落实，市文旅局2024年履职效能良好，文化和旅游供给进一步丰富，广大市民的精神文化生活得到进一步满足；文化和旅游服务逐步规范，推动首都文化和旅游高质量发展；文化和旅游服务基础进一步夯实，首都文化和旅游服务水平显著提升，取得了显著的社会效益。</w:t>
      </w:r>
    </w:p>
    <w:p w14:paraId="53911ED0">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2.可持续影响</w:t>
      </w:r>
    </w:p>
    <w:p w14:paraId="54781D1B">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（1）政策可持续性</w:t>
      </w:r>
    </w:p>
    <w:p w14:paraId="3B7BE62B">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市文化和旅游局建立健全文化和旅游政策贯彻落实机制，通过召开局长办公会等方式，研究决定各项政策的贯彻落实意见和具体措施、文旅事业发展规划、年度工作计划等内容。同时，针对艺术创作生产、文旅公共服务等核心业务工作，市文化和旅游局依据国家、北京市相关要求，制定并发布相关工作通知、实施细则等，确保各项政策的落地实施。政策落实机制的可持续性较好。</w:t>
      </w:r>
    </w:p>
    <w:p w14:paraId="7B0CB4C6">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（2）体系建设可持续性</w:t>
      </w:r>
    </w:p>
    <w:p w14:paraId="0E7C60BF">
      <w:pPr>
        <w:adjustRightInd w:val="0"/>
        <w:snapToGrid w:val="0"/>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rPr>
        <w:t>以“十四五”规划为指导，由市文化和旅游局本级各处室为主导、各二级单位为支撑，通过制定政策、细化制度、培养人才、培训交流等多措并举，不断完善文化和旅游公共服务体系、市场监管体系、产品供给体系，不断推动北京文化事业、文化产业和旅游业繁荣发展，加快建设文化和旅游现代化产业体系。</w:t>
      </w:r>
    </w:p>
    <w:p w14:paraId="66C661B5">
      <w:pPr>
        <w:adjustRightInd w:val="0"/>
        <w:snapToGrid w:val="0"/>
        <w:spacing w:line="360" w:lineRule="auto"/>
        <w:ind w:left="105" w:leftChars="50"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3.服务对象</w:t>
      </w:r>
      <w:r>
        <w:rPr>
          <w:rFonts w:ascii="仿宋_GB2312" w:hAnsi="宋体" w:eastAsia="仿宋_GB2312" w:cs="宋体"/>
          <w:color w:val="000000"/>
          <w:kern w:val="0"/>
          <w:sz w:val="32"/>
          <w:szCs w:val="32"/>
        </w:rPr>
        <w:t>满意度</w:t>
      </w:r>
    </w:p>
    <w:p w14:paraId="121ACE37">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从2024年北京市文化和旅游市场运营成果和重点评价项目的满意度调查结果来看，市文化和旅游局充分发挥行业主管作用，不断加强文化和旅游供给，不断丰富人民日益增长的精神文化生活，不断强化行业指导和监管，促进文旅市场健康发展，社会公众和文旅行业市场主体对北京市文旅服务的满意度较高。但市文化和旅游局部分项目未针对项目服务对象开展满意度调查或满意度调查对象不全面、调查内容简单。</w:t>
      </w:r>
    </w:p>
    <w:p w14:paraId="32E8057B">
      <w:pPr>
        <w:adjustRightInd w:val="0"/>
        <w:snapToGrid w:val="0"/>
        <w:spacing w:line="360" w:lineRule="auto"/>
        <w:ind w:firstLine="640" w:firstLineChars="200"/>
        <w:outlineLvl w:val="0"/>
        <w:rPr>
          <w:rFonts w:ascii="黑体" w:hAnsi="黑体" w:eastAsia="黑体" w:cs="黑体"/>
          <w:sz w:val="32"/>
          <w:szCs w:val="32"/>
        </w:rPr>
      </w:pPr>
      <w:bookmarkStart w:id="96" w:name="_Toc32432"/>
      <w:bookmarkStart w:id="97" w:name="_Toc4324"/>
      <w:bookmarkStart w:id="98" w:name="_Toc1310"/>
      <w:bookmarkStart w:id="99" w:name="_Toc14375"/>
      <w:bookmarkStart w:id="100" w:name="_Toc32293"/>
      <w:bookmarkStart w:id="101" w:name="_Toc28967"/>
      <w:bookmarkStart w:id="102" w:name="_Toc15964"/>
      <w:bookmarkStart w:id="103" w:name="_Toc8003"/>
      <w:bookmarkStart w:id="104" w:name="_Toc3866"/>
      <w:r>
        <w:rPr>
          <w:rFonts w:hint="eastAsia" w:ascii="黑体" w:hAnsi="黑体" w:eastAsia="黑体" w:cs="黑体"/>
          <w:sz w:val="32"/>
          <w:szCs w:val="32"/>
        </w:rPr>
        <w:t>四</w:t>
      </w:r>
      <w:r>
        <w:rPr>
          <w:rFonts w:ascii="黑体" w:hAnsi="黑体" w:eastAsia="黑体" w:cs="黑体"/>
          <w:sz w:val="32"/>
          <w:szCs w:val="32"/>
        </w:rPr>
        <w:t>、预算管理</w:t>
      </w:r>
      <w:r>
        <w:rPr>
          <w:rFonts w:hint="eastAsia" w:ascii="黑体" w:hAnsi="黑体" w:eastAsia="黑体" w:cs="黑体"/>
          <w:sz w:val="32"/>
          <w:szCs w:val="32"/>
        </w:rPr>
        <w:t>情况分</w:t>
      </w:r>
      <w:r>
        <w:rPr>
          <w:rFonts w:ascii="黑体" w:hAnsi="黑体" w:eastAsia="黑体" w:cs="黑体"/>
          <w:sz w:val="32"/>
          <w:szCs w:val="32"/>
        </w:rPr>
        <w:t>析</w:t>
      </w:r>
      <w:bookmarkEnd w:id="96"/>
      <w:bookmarkEnd w:id="97"/>
      <w:bookmarkEnd w:id="98"/>
      <w:bookmarkEnd w:id="99"/>
      <w:bookmarkEnd w:id="100"/>
      <w:bookmarkEnd w:id="101"/>
      <w:bookmarkEnd w:id="102"/>
      <w:bookmarkEnd w:id="103"/>
      <w:bookmarkEnd w:id="104"/>
    </w:p>
    <w:p w14:paraId="0F9D8AE7">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05" w:name="_Toc24936"/>
      <w:bookmarkStart w:id="106" w:name="_Toc21347"/>
      <w:bookmarkStart w:id="107" w:name="_Toc7598"/>
      <w:bookmarkStart w:id="108" w:name="_Toc27000"/>
      <w:bookmarkStart w:id="109" w:name="_Toc28097"/>
      <w:bookmarkStart w:id="110" w:name="_Toc8170"/>
      <w:bookmarkStart w:id="111" w:name="_Toc4935"/>
      <w:bookmarkStart w:id="112" w:name="_Toc27935"/>
      <w:bookmarkStart w:id="113" w:name="_Toc29034"/>
      <w:r>
        <w:rPr>
          <w:rFonts w:hint="eastAsia" w:ascii="楷体_GB2312" w:hAnsi="仿宋_GB2312" w:eastAsia="楷体_GB2312" w:cs="仿宋_GB2312"/>
          <w:sz w:val="32"/>
          <w:szCs w:val="32"/>
        </w:rPr>
        <w:t>（一）财务管理</w:t>
      </w:r>
      <w:bookmarkEnd w:id="105"/>
      <w:bookmarkEnd w:id="106"/>
      <w:bookmarkEnd w:id="107"/>
      <w:bookmarkEnd w:id="108"/>
      <w:bookmarkEnd w:id="109"/>
      <w:bookmarkEnd w:id="110"/>
      <w:bookmarkEnd w:id="111"/>
      <w:bookmarkEnd w:id="112"/>
      <w:bookmarkEnd w:id="113"/>
    </w:p>
    <w:p w14:paraId="0DF56C5E">
      <w:pPr>
        <w:adjustRightInd w:val="0"/>
        <w:snapToGrid w:val="0"/>
        <w:spacing w:line="360" w:lineRule="auto"/>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14:paraId="10B905E9">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市文化和旅游局制定有《北京市文化和旅游局内部控制制度汇编》，包含了预算管理、支出管理、采购管理、财务管理等内部控制规范，对项目专项经费的申请、使用原则及支出审批手续等内容进行了明确。财务管理制度较健全。</w:t>
      </w:r>
    </w:p>
    <w:p w14:paraId="4F820DFF">
      <w:pPr>
        <w:adjustRightInd w:val="0"/>
        <w:snapToGrid w:val="0"/>
        <w:spacing w:line="360" w:lineRule="auto"/>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14:paraId="6281F1E0">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市文化和旅游局资金使用严格按照《北京市文化和旅游局资金支出管理办法（试行）》执行，按照合同支付要求，项目负责人办理资金支付申请手续，财务审计处根据批准的资金申请，办理资金支付手续。项目执行过程中，市文化和旅游局对项目资金进行了单独核算，确保资金专款专用，不存在资金截留、挤占、挪用、虚列支出等情况。项目资金使用合规。</w:t>
      </w:r>
    </w:p>
    <w:p w14:paraId="418698F3">
      <w:pPr>
        <w:adjustRightInd w:val="0"/>
        <w:snapToGrid w:val="0"/>
        <w:spacing w:line="360" w:lineRule="auto"/>
        <w:ind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14:paraId="2AD9D47F">
      <w:pPr>
        <w:adjustRightInd w:val="0"/>
        <w:snapToGrid w:val="0"/>
        <w:spacing w:line="360" w:lineRule="auto"/>
        <w:ind w:firstLine="480" w:firstLineChars="150"/>
        <w:rPr>
          <w:rFonts w:ascii="楷体_GB2312" w:hAnsi="仿宋_GB2312" w:eastAsia="楷体_GB2312" w:cs="仿宋_GB2312"/>
          <w:sz w:val="32"/>
          <w:szCs w:val="32"/>
        </w:rPr>
      </w:pPr>
      <w:r>
        <w:rPr>
          <w:rFonts w:hint="eastAsia" w:ascii="仿宋_GB2312" w:eastAsia="仿宋_GB2312"/>
          <w:sz w:val="32"/>
          <w:szCs w:val="32"/>
        </w:rPr>
        <w:t>市文化和旅游局会计信息以实际发生的事项为依据进行确认、计量和报告，如实反映符合确认和计量要求的各项会计要素及其他相关信息，会计基础信息真实可靠、内容完整。</w:t>
      </w:r>
      <w:bookmarkStart w:id="114" w:name="_Toc24825"/>
      <w:bookmarkStart w:id="115" w:name="_Toc2166"/>
      <w:bookmarkStart w:id="116" w:name="_Toc3670"/>
      <w:bookmarkStart w:id="117" w:name="_Toc8463"/>
      <w:bookmarkStart w:id="118" w:name="_Toc22572"/>
      <w:bookmarkStart w:id="119" w:name="_Toc27246"/>
    </w:p>
    <w:bookmarkEnd w:id="114"/>
    <w:bookmarkEnd w:id="115"/>
    <w:bookmarkEnd w:id="116"/>
    <w:bookmarkEnd w:id="117"/>
    <w:bookmarkEnd w:id="118"/>
    <w:bookmarkEnd w:id="119"/>
    <w:p w14:paraId="5F77152E">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20" w:name="_Toc19570"/>
      <w:bookmarkStart w:id="121" w:name="_Toc19715"/>
      <w:bookmarkStart w:id="122" w:name="_Toc31414"/>
      <w:bookmarkStart w:id="123" w:name="_Toc11833"/>
      <w:bookmarkStart w:id="124" w:name="_Toc31737"/>
      <w:bookmarkStart w:id="125" w:name="_Toc27257"/>
      <w:bookmarkStart w:id="126" w:name="_Toc24344"/>
      <w:bookmarkStart w:id="127" w:name="_Toc20478"/>
      <w:bookmarkStart w:id="128" w:name="_Toc20390"/>
      <w:r>
        <w:rPr>
          <w:rFonts w:hint="eastAsia" w:ascii="楷体_GB2312" w:hAnsi="仿宋_GB2312" w:eastAsia="楷体_GB2312" w:cs="仿宋_GB2312"/>
          <w:sz w:val="32"/>
          <w:szCs w:val="32"/>
        </w:rPr>
        <w:t>（二）资产管理</w:t>
      </w:r>
      <w:bookmarkEnd w:id="120"/>
      <w:bookmarkEnd w:id="121"/>
      <w:bookmarkEnd w:id="122"/>
      <w:bookmarkEnd w:id="123"/>
      <w:bookmarkEnd w:id="124"/>
      <w:bookmarkEnd w:id="125"/>
      <w:bookmarkEnd w:id="126"/>
      <w:bookmarkEnd w:id="127"/>
      <w:bookmarkEnd w:id="128"/>
    </w:p>
    <w:p w14:paraId="0D157A90">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1.资产管理规范性</w:t>
      </w:r>
    </w:p>
    <w:p w14:paraId="03880E44">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市文化和旅游局根据部门资产特点以及管理需求，制定了《北京市文化和旅游局行政和事业单位国有资产管理暂行办法》，明确了资产从购置、验收入库、分配使用登记、日常检查、报废处理等管理流程及责任主体。实际管理过程中，市文化和旅游局能够按照上述办法的规定开展资产购置、入库、日常检查等工作，资产管理较为规范。</w:t>
      </w:r>
    </w:p>
    <w:p w14:paraId="02962C58">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2.资产配置使用效率</w:t>
      </w:r>
    </w:p>
    <w:p w14:paraId="1EDC038D">
      <w:pPr>
        <w:adjustRightInd w:val="0"/>
        <w:snapToGrid w:val="0"/>
        <w:spacing w:line="360" w:lineRule="auto"/>
        <w:ind w:firstLine="640" w:firstLineChars="200"/>
        <w:rPr>
          <w:rFonts w:ascii="楷体_GB2312" w:hAnsi="仿宋_GB2312" w:eastAsia="楷体_GB2312" w:cs="仿宋_GB2312"/>
          <w:sz w:val="32"/>
          <w:szCs w:val="32"/>
        </w:rPr>
      </w:pPr>
      <w:r>
        <w:rPr>
          <w:rFonts w:hint="eastAsia" w:ascii="仿宋_GB2312" w:eastAsia="仿宋_GB2312"/>
          <w:sz w:val="32"/>
          <w:szCs w:val="32"/>
        </w:rPr>
        <w:t>截至2024年底，市文化和旅游局固定资产原值为404753.22万元，其中在用固定资产原值为404242.14万元，部门固定资产使用率为99.87%，资产使用率高。</w:t>
      </w:r>
      <w:bookmarkStart w:id="129" w:name="_Toc19178"/>
      <w:bookmarkStart w:id="130" w:name="_Toc9546"/>
      <w:bookmarkStart w:id="131" w:name="_Toc15493"/>
      <w:bookmarkStart w:id="132" w:name="_Toc12034"/>
      <w:bookmarkStart w:id="133" w:name="_Toc3057"/>
      <w:bookmarkStart w:id="134" w:name="_Toc7692"/>
    </w:p>
    <w:p w14:paraId="3EA9D3D8">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35" w:name="_Toc17272"/>
      <w:bookmarkStart w:id="136" w:name="_Toc25817"/>
      <w:bookmarkStart w:id="137" w:name="_Toc27119"/>
      <w:r>
        <w:rPr>
          <w:rFonts w:hint="eastAsia" w:ascii="楷体_GB2312" w:hAnsi="仿宋_GB2312" w:eastAsia="楷体_GB2312" w:cs="仿宋_GB2312"/>
          <w:sz w:val="32"/>
          <w:szCs w:val="32"/>
        </w:rPr>
        <w:t>（三）绩效管理</w:t>
      </w:r>
      <w:bookmarkEnd w:id="129"/>
      <w:bookmarkEnd w:id="130"/>
      <w:bookmarkEnd w:id="131"/>
      <w:bookmarkEnd w:id="132"/>
      <w:bookmarkEnd w:id="133"/>
      <w:bookmarkEnd w:id="134"/>
      <w:bookmarkEnd w:id="135"/>
      <w:bookmarkEnd w:id="136"/>
      <w:bookmarkEnd w:id="137"/>
    </w:p>
    <w:p w14:paraId="4E7105DF">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2024年，市文化和旅游局制定有《预算绩效管理办法（试行）》，编制项目预算、设定绩效目标，开展事前绩效评估、绩效跟踪监控、绩效评价、成本效益分析等工作，预算绩效管理工作较为规范。但存在部分项目未及时对绩效信息进行汇总分析整理，档案资料不够完备等情况。</w:t>
      </w:r>
      <w:bookmarkStart w:id="194" w:name="_GoBack"/>
      <w:bookmarkEnd w:id="194"/>
    </w:p>
    <w:p w14:paraId="622F74F0">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38" w:name="_Toc6774"/>
      <w:bookmarkStart w:id="139" w:name="_Toc16956"/>
      <w:bookmarkStart w:id="140" w:name="_Toc16780"/>
      <w:bookmarkStart w:id="141" w:name="_Toc30393"/>
      <w:bookmarkStart w:id="142" w:name="_Toc26012"/>
      <w:bookmarkStart w:id="143" w:name="_Toc12611"/>
      <w:bookmarkStart w:id="144" w:name="_Toc25986"/>
      <w:bookmarkStart w:id="145" w:name="_Toc23455"/>
      <w:bookmarkStart w:id="146" w:name="_Toc3933"/>
      <w:r>
        <w:rPr>
          <w:rFonts w:hint="eastAsia" w:ascii="楷体_GB2312" w:hAnsi="仿宋_GB2312" w:eastAsia="楷体_GB2312" w:cs="仿宋_GB2312"/>
          <w:sz w:val="32"/>
          <w:szCs w:val="32"/>
        </w:rPr>
        <w:t>（四）结转结余率</w:t>
      </w:r>
      <w:bookmarkEnd w:id="138"/>
      <w:bookmarkEnd w:id="139"/>
      <w:bookmarkEnd w:id="140"/>
      <w:bookmarkEnd w:id="141"/>
      <w:bookmarkEnd w:id="142"/>
      <w:bookmarkEnd w:id="143"/>
      <w:bookmarkEnd w:id="144"/>
      <w:bookmarkEnd w:id="145"/>
      <w:bookmarkEnd w:id="146"/>
    </w:p>
    <w:p w14:paraId="4A85C9BE">
      <w:pPr>
        <w:pStyle w:val="2"/>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市文化和旅游局2024年收入决算数为242,013.21万元，截至2024年12月底支出213,202.38万元，结转结余资金28,810.83万元，结转结余率为11.90%。</w:t>
      </w:r>
    </w:p>
    <w:p w14:paraId="47CEBA4E">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47" w:name="_Toc32413"/>
      <w:bookmarkStart w:id="148" w:name="_Toc22755"/>
      <w:bookmarkStart w:id="149" w:name="_Toc11003"/>
      <w:bookmarkStart w:id="150" w:name="_Toc30147"/>
      <w:bookmarkStart w:id="151" w:name="_Toc26374"/>
      <w:bookmarkStart w:id="152" w:name="_Toc23540"/>
      <w:bookmarkStart w:id="153" w:name="_Toc12245"/>
      <w:bookmarkStart w:id="154" w:name="_Toc10420"/>
      <w:bookmarkStart w:id="155" w:name="_Toc29311"/>
      <w:r>
        <w:rPr>
          <w:rFonts w:hint="eastAsia" w:ascii="楷体_GB2312" w:hAnsi="仿宋_GB2312" w:eastAsia="楷体_GB2312" w:cs="仿宋_GB2312"/>
          <w:sz w:val="32"/>
          <w:szCs w:val="32"/>
        </w:rPr>
        <w:t>（五）部门</w:t>
      </w:r>
      <w:r>
        <w:rPr>
          <w:rFonts w:ascii="楷体_GB2312" w:hAnsi="仿宋_GB2312" w:eastAsia="楷体_GB2312" w:cs="仿宋_GB2312"/>
          <w:sz w:val="32"/>
          <w:szCs w:val="32"/>
        </w:rPr>
        <w:t>预决算差异率</w:t>
      </w:r>
      <w:bookmarkEnd w:id="147"/>
      <w:bookmarkEnd w:id="148"/>
      <w:bookmarkEnd w:id="149"/>
      <w:bookmarkEnd w:id="150"/>
      <w:bookmarkEnd w:id="151"/>
      <w:bookmarkEnd w:id="152"/>
      <w:bookmarkEnd w:id="153"/>
      <w:bookmarkEnd w:id="154"/>
      <w:bookmarkEnd w:id="155"/>
    </w:p>
    <w:p w14:paraId="48492AFB">
      <w:pPr>
        <w:widowControl/>
        <w:adjustRightInd w:val="0"/>
        <w:snapToGrid w:val="0"/>
        <w:spacing w:line="360" w:lineRule="auto"/>
        <w:ind w:firstLine="640" w:firstLineChars="200"/>
        <w:rPr>
          <w:rFonts w:ascii="黑体" w:hAnsi="黑体" w:eastAsia="黑体" w:cs="黑体"/>
          <w:sz w:val="32"/>
          <w:szCs w:val="32"/>
          <w:highlight w:val="none"/>
        </w:rPr>
      </w:pPr>
      <w:r>
        <w:rPr>
          <w:rFonts w:hint="eastAsia" w:ascii="仿宋_GB2312" w:eastAsia="仿宋_GB2312"/>
          <w:sz w:val="32"/>
          <w:szCs w:val="32"/>
          <w:highlight w:val="none"/>
        </w:rPr>
        <w:t>市文化和旅游局2024年</w:t>
      </w:r>
      <w:r>
        <w:rPr>
          <w:rFonts w:hint="eastAsia" w:ascii="仿宋_GB2312" w:eastAsia="仿宋_GB2312"/>
          <w:sz w:val="32"/>
          <w:szCs w:val="32"/>
          <w:highlight w:val="none"/>
          <w:lang w:val="en-US" w:eastAsia="zh-CN"/>
        </w:rPr>
        <w:t>年初预算</w:t>
      </w:r>
      <w:r>
        <w:rPr>
          <w:rFonts w:hint="eastAsia" w:ascii="仿宋_GB2312" w:eastAsia="仿宋_GB2312"/>
          <w:sz w:val="32"/>
          <w:szCs w:val="32"/>
          <w:highlight w:val="none"/>
        </w:rPr>
        <w:t>数</w:t>
      </w:r>
      <w:r>
        <w:rPr>
          <w:rFonts w:hint="eastAsia" w:ascii="仿宋_GB2312" w:eastAsia="仿宋_GB2312"/>
          <w:sz w:val="32"/>
          <w:szCs w:val="32"/>
          <w:highlight w:val="none"/>
          <w:lang w:val="en-US" w:eastAsia="zh-CN"/>
        </w:rPr>
        <w:t>219，388.86</w:t>
      </w:r>
      <w:r>
        <w:rPr>
          <w:rFonts w:hint="eastAsia" w:ascii="仿宋_GB2312" w:eastAsia="仿宋_GB2312"/>
          <w:sz w:val="32"/>
          <w:szCs w:val="32"/>
          <w:highlight w:val="none"/>
        </w:rPr>
        <w:t>万元，决算数242,013.21</w:t>
      </w:r>
      <w:r>
        <w:rPr>
          <w:rFonts w:hint="eastAsia" w:ascii="仿宋_GB2312" w:hAnsi="宋体" w:eastAsia="仿宋_GB2312" w:cs="宋体"/>
          <w:color w:val="000000"/>
          <w:kern w:val="0"/>
          <w:sz w:val="32"/>
          <w:szCs w:val="32"/>
          <w:highlight w:val="none"/>
        </w:rPr>
        <w:t>万元，预决算差异率</w:t>
      </w:r>
      <w:r>
        <w:rPr>
          <w:rFonts w:hint="eastAsia" w:ascii="仿宋_GB2312" w:hAnsi="宋体" w:eastAsia="仿宋_GB2312" w:cs="宋体"/>
          <w:color w:val="000000"/>
          <w:kern w:val="0"/>
          <w:sz w:val="32"/>
          <w:szCs w:val="32"/>
          <w:highlight w:val="none"/>
          <w:lang w:val="en-US" w:eastAsia="zh-CN"/>
        </w:rPr>
        <w:t>10.31</w:t>
      </w:r>
      <w:r>
        <w:rPr>
          <w:rFonts w:hint="eastAsia" w:ascii="仿宋_GB2312" w:hAnsi="宋体" w:eastAsia="仿宋_GB2312" w:cs="宋体"/>
          <w:color w:val="000000"/>
          <w:kern w:val="0"/>
          <w:sz w:val="32"/>
          <w:szCs w:val="32"/>
          <w:highlight w:val="none"/>
        </w:rPr>
        <w:t>%。</w:t>
      </w:r>
      <w:bookmarkStart w:id="156" w:name="_Toc29276"/>
      <w:bookmarkStart w:id="157" w:name="_Toc28743"/>
      <w:bookmarkStart w:id="158" w:name="_Toc23258"/>
      <w:bookmarkStart w:id="159" w:name="_Toc28635"/>
      <w:bookmarkStart w:id="160" w:name="_Toc24316"/>
      <w:bookmarkStart w:id="161" w:name="_Toc29896"/>
      <w:bookmarkStart w:id="162" w:name="_Toc21052"/>
      <w:bookmarkStart w:id="163" w:name="_Toc1569"/>
    </w:p>
    <w:p w14:paraId="0262C28F">
      <w:pPr>
        <w:adjustRightInd w:val="0"/>
        <w:snapToGrid w:val="0"/>
        <w:spacing w:line="360" w:lineRule="auto"/>
        <w:ind w:firstLine="640" w:firstLineChars="200"/>
        <w:outlineLvl w:val="0"/>
        <w:rPr>
          <w:rFonts w:ascii="黑体" w:hAnsi="黑体" w:eastAsia="黑体" w:cs="黑体"/>
          <w:sz w:val="32"/>
          <w:szCs w:val="32"/>
        </w:rPr>
      </w:pPr>
      <w:bookmarkStart w:id="164" w:name="_Toc8967"/>
      <w:r>
        <w:rPr>
          <w:rFonts w:hint="eastAsia" w:ascii="黑体" w:hAnsi="黑体" w:eastAsia="黑体" w:cs="黑体"/>
          <w:sz w:val="32"/>
          <w:szCs w:val="32"/>
        </w:rPr>
        <w:t>五、总体</w:t>
      </w:r>
      <w:r>
        <w:rPr>
          <w:rFonts w:ascii="黑体" w:hAnsi="黑体" w:eastAsia="黑体" w:cs="黑体"/>
          <w:sz w:val="32"/>
          <w:szCs w:val="32"/>
        </w:rPr>
        <w:t>评价结论</w:t>
      </w:r>
      <w:bookmarkEnd w:id="156"/>
      <w:bookmarkEnd w:id="157"/>
      <w:bookmarkEnd w:id="158"/>
      <w:bookmarkEnd w:id="159"/>
      <w:bookmarkEnd w:id="160"/>
      <w:bookmarkEnd w:id="161"/>
      <w:bookmarkEnd w:id="162"/>
      <w:bookmarkEnd w:id="163"/>
      <w:bookmarkEnd w:id="164"/>
    </w:p>
    <w:p w14:paraId="482F1E72">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65" w:name="_Toc9899"/>
      <w:bookmarkStart w:id="166" w:name="_Toc30983"/>
      <w:bookmarkStart w:id="167" w:name="_Toc13050"/>
      <w:bookmarkStart w:id="168" w:name="_Toc10770"/>
      <w:bookmarkStart w:id="169" w:name="_Toc28171"/>
      <w:bookmarkStart w:id="170" w:name="_Toc4105"/>
      <w:bookmarkStart w:id="171" w:name="_Toc19654"/>
      <w:bookmarkStart w:id="172" w:name="_Toc3610"/>
      <w:bookmarkStart w:id="173" w:name="_Toc7469"/>
      <w:r>
        <w:rPr>
          <w:rFonts w:hint="eastAsia" w:ascii="楷体_GB2312" w:hAnsi="仿宋_GB2312" w:eastAsia="楷体_GB2312" w:cs="仿宋_GB2312"/>
          <w:sz w:val="32"/>
          <w:szCs w:val="32"/>
        </w:rPr>
        <w:t>（一）评价得分情况</w:t>
      </w:r>
      <w:bookmarkEnd w:id="165"/>
      <w:bookmarkEnd w:id="166"/>
      <w:bookmarkEnd w:id="167"/>
      <w:bookmarkEnd w:id="168"/>
      <w:bookmarkEnd w:id="169"/>
      <w:bookmarkEnd w:id="170"/>
      <w:bookmarkEnd w:id="171"/>
      <w:bookmarkEnd w:id="172"/>
      <w:bookmarkEnd w:id="173"/>
    </w:p>
    <w:p w14:paraId="1D726595">
      <w:pPr>
        <w:pStyle w:val="2"/>
        <w:adjustRightInd w:val="0"/>
        <w:snapToGrid w:val="0"/>
        <w:spacing w:line="360" w:lineRule="auto"/>
        <w:ind w:firstLine="640"/>
      </w:pPr>
      <w:r>
        <w:rPr>
          <w:rFonts w:hint="eastAsia" w:ascii="仿宋_GB2312" w:eastAsia="仿宋_GB2312"/>
          <w:sz w:val="32"/>
          <w:szCs w:val="32"/>
        </w:rPr>
        <w:t>市文化和旅游局通过继续深化文化和旅游领域改革创新，组织实施各项节庆活动并做好服务保障，开展首都市民系列活动，组织各类展演活动、精品剧目创作，打造具有广泛影响力的品牌文化活动，推动非遗保护传承，做好新形势下国际文化和旅游交流交往，推进区域合作等具体工作开展，显著推动了首都文化事业、文化产业和旅游业新发展。通过评价，市文化和旅游局2024年度部门整体支出绩效评价综合得分92.59分，绩效评定级别为“优”。</w:t>
      </w:r>
    </w:p>
    <w:p w14:paraId="2D5C7DB9">
      <w:pPr>
        <w:adjustRightInd w:val="0"/>
        <w:snapToGrid w:val="0"/>
        <w:spacing w:line="360" w:lineRule="auto"/>
        <w:ind w:firstLine="640" w:firstLineChars="200"/>
        <w:outlineLvl w:val="1"/>
        <w:rPr>
          <w:rFonts w:ascii="楷体_GB2312" w:hAnsi="仿宋_GB2312" w:eastAsia="楷体_GB2312" w:cs="仿宋_GB2312"/>
          <w:sz w:val="32"/>
          <w:szCs w:val="32"/>
        </w:rPr>
      </w:pPr>
      <w:bookmarkStart w:id="174" w:name="_Toc29406"/>
      <w:bookmarkStart w:id="175" w:name="_Toc3883"/>
      <w:bookmarkStart w:id="176" w:name="_Toc5698"/>
      <w:bookmarkStart w:id="177" w:name="_Toc9262"/>
      <w:bookmarkStart w:id="178" w:name="_Toc8109"/>
      <w:bookmarkStart w:id="179" w:name="_Toc29755"/>
      <w:bookmarkStart w:id="180" w:name="_Toc12992"/>
      <w:bookmarkStart w:id="181" w:name="_Toc2870"/>
      <w:bookmarkStart w:id="182" w:name="_Toc30314"/>
      <w:r>
        <w:rPr>
          <w:rFonts w:hint="eastAsia" w:ascii="楷体_GB2312" w:hAnsi="仿宋_GB2312" w:eastAsia="楷体_GB2312" w:cs="仿宋_GB2312"/>
          <w:sz w:val="32"/>
          <w:szCs w:val="32"/>
        </w:rPr>
        <w:t>（二）存在的问题及原因分析</w:t>
      </w:r>
      <w:bookmarkEnd w:id="174"/>
      <w:bookmarkEnd w:id="175"/>
      <w:bookmarkEnd w:id="176"/>
      <w:bookmarkEnd w:id="177"/>
      <w:bookmarkEnd w:id="178"/>
      <w:bookmarkEnd w:id="179"/>
      <w:bookmarkEnd w:id="180"/>
      <w:bookmarkEnd w:id="181"/>
      <w:bookmarkEnd w:id="182"/>
    </w:p>
    <w:p w14:paraId="0912587E">
      <w:pPr>
        <w:pStyle w:val="19"/>
        <w:adjustRightInd w:val="0"/>
        <w:snapToGrid w:val="0"/>
        <w:spacing w:line="360" w:lineRule="auto"/>
        <w:ind w:firstLine="640"/>
        <w:rPr>
          <w:rFonts w:ascii="仿宋_GB2312" w:eastAsia="仿宋_GB2312"/>
          <w:sz w:val="32"/>
          <w:szCs w:val="32"/>
        </w:rPr>
      </w:pPr>
      <w:r>
        <w:rPr>
          <w:rFonts w:hint="eastAsia" w:ascii="仿宋_GB2312" w:eastAsia="仿宋_GB2312"/>
          <w:sz w:val="32"/>
          <w:szCs w:val="32"/>
        </w:rPr>
        <w:t>部分重点项目缺少中长期发展规划，绩效目标及指标设置不够完善；部分项目预算编制不够准确，过程管理存在不足；部分项目效益呈现及佐证资料不够充分，满意度调查工作有待加强。</w:t>
      </w:r>
    </w:p>
    <w:p w14:paraId="58F17F8C">
      <w:pPr>
        <w:adjustRightInd w:val="0"/>
        <w:snapToGrid w:val="0"/>
        <w:spacing w:line="360" w:lineRule="auto"/>
        <w:ind w:firstLine="640" w:firstLineChars="200"/>
        <w:outlineLvl w:val="0"/>
        <w:rPr>
          <w:rFonts w:ascii="黑体" w:hAnsi="黑体" w:eastAsia="黑体" w:cs="黑体"/>
          <w:sz w:val="32"/>
          <w:szCs w:val="32"/>
        </w:rPr>
      </w:pPr>
      <w:bookmarkStart w:id="183" w:name="_Toc29822"/>
      <w:bookmarkStart w:id="184" w:name="_Toc173"/>
      <w:bookmarkStart w:id="185" w:name="_Toc2256"/>
      <w:bookmarkStart w:id="186" w:name="_Toc15291"/>
      <w:bookmarkStart w:id="187" w:name="_Toc4081"/>
      <w:bookmarkStart w:id="188" w:name="_Toc26572"/>
      <w:bookmarkStart w:id="189" w:name="_Toc32098"/>
      <w:bookmarkStart w:id="190" w:name="_Toc20809"/>
      <w:bookmarkStart w:id="191" w:name="_Toc11951"/>
      <w:r>
        <w:rPr>
          <w:rFonts w:hint="eastAsia" w:ascii="黑体" w:hAnsi="黑体" w:eastAsia="黑体" w:cs="黑体"/>
          <w:sz w:val="32"/>
          <w:szCs w:val="32"/>
        </w:rPr>
        <w:t>六、措施建议</w:t>
      </w:r>
      <w:bookmarkEnd w:id="183"/>
      <w:bookmarkEnd w:id="184"/>
      <w:bookmarkEnd w:id="185"/>
      <w:bookmarkEnd w:id="186"/>
      <w:bookmarkEnd w:id="187"/>
      <w:bookmarkEnd w:id="188"/>
      <w:bookmarkEnd w:id="189"/>
      <w:bookmarkEnd w:id="190"/>
      <w:bookmarkEnd w:id="191"/>
    </w:p>
    <w:p w14:paraId="08421307">
      <w:pPr>
        <w:adjustRightInd w:val="0"/>
        <w:snapToGrid w:val="0"/>
        <w:spacing w:line="360" w:lineRule="auto"/>
        <w:ind w:firstLine="640" w:firstLineChars="200"/>
        <w:rPr>
          <w:rFonts w:ascii="黑体" w:hAnsi="黑体" w:eastAsia="黑体" w:cs="黑体"/>
          <w:sz w:val="32"/>
          <w:szCs w:val="32"/>
        </w:rPr>
      </w:pPr>
      <w:r>
        <w:rPr>
          <w:rFonts w:hint="eastAsia" w:ascii="仿宋_GB2312" w:eastAsia="仿宋_GB2312"/>
          <w:sz w:val="32"/>
          <w:szCs w:val="32"/>
        </w:rPr>
        <w:t>一是强化部门顶层设计，完善绩效目标及指标设置；二是</w:t>
      </w:r>
      <w:bookmarkStart w:id="192" w:name="_Toc2661"/>
      <w:r>
        <w:rPr>
          <w:rFonts w:hint="eastAsia" w:ascii="仿宋_GB2312" w:eastAsia="仿宋_GB2312"/>
          <w:sz w:val="32"/>
          <w:szCs w:val="32"/>
        </w:rPr>
        <w:t>完善预算编制，加强过程管理</w:t>
      </w:r>
      <w:bookmarkEnd w:id="192"/>
      <w:r>
        <w:rPr>
          <w:rFonts w:hint="eastAsia" w:ascii="仿宋_GB2312" w:eastAsia="仿宋_GB2312"/>
          <w:sz w:val="32"/>
          <w:szCs w:val="32"/>
        </w:rPr>
        <w:t>；三是注重项目实施效益总结及绩效资料收集，强化满意度调查工作。</w:t>
      </w:r>
    </w:p>
    <w:p w14:paraId="13B9047C">
      <w:pPr>
        <w:pStyle w:val="2"/>
        <w:adjustRightInd w:val="0"/>
        <w:snapToGrid w:val="0"/>
        <w:spacing w:line="360" w:lineRule="auto"/>
        <w:ind w:firstLine="640"/>
        <w:outlineLvl w:val="0"/>
        <w:rPr>
          <w:rFonts w:ascii="黑体" w:hAnsi="黑体" w:eastAsia="黑体" w:cs="黑体"/>
          <w:sz w:val="32"/>
          <w:szCs w:val="32"/>
        </w:rPr>
      </w:pPr>
      <w:bookmarkStart w:id="193" w:name="_Toc12482"/>
      <w:r>
        <w:rPr>
          <w:rFonts w:hint="eastAsia" w:ascii="黑体" w:hAnsi="黑体" w:eastAsia="黑体" w:cs="黑体"/>
          <w:sz w:val="32"/>
          <w:szCs w:val="32"/>
        </w:rPr>
        <w:t>七、附件</w:t>
      </w:r>
      <w:bookmarkEnd w:id="193"/>
    </w:p>
    <w:p w14:paraId="4861E824">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2024年部门整体绩效评价指标体系评分表</w:t>
      </w:r>
    </w:p>
    <w:p w14:paraId="20B12E45"/>
    <w:p w14:paraId="5DD0F0D8">
      <w:pPr>
        <w:pStyle w:val="2"/>
        <w:ind w:firstLine="640"/>
        <w:rPr>
          <w:rFonts w:ascii="仿宋_GB2312" w:eastAsia="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14:paraId="36A4348F">
      <w:pPr>
        <w:pStyle w:val="7"/>
        <w:adjustRightInd w:val="0"/>
        <w:snapToGrid w:val="0"/>
        <w:spacing w:line="360" w:lineRule="auto"/>
        <w:rPr>
          <w:rFonts w:ascii="仿宋_GB2312"/>
          <w:sz w:val="32"/>
          <w:szCs w:val="32"/>
        </w:rPr>
      </w:pPr>
      <w:r>
        <w:rPr>
          <w:rFonts w:hint="eastAsia" w:ascii="仿宋_GB2312"/>
          <w:sz w:val="32"/>
          <w:szCs w:val="32"/>
        </w:rPr>
        <w:t>附件：</w:t>
      </w:r>
    </w:p>
    <w:p w14:paraId="6146A1FC">
      <w:pPr>
        <w:pStyle w:val="7"/>
        <w:adjustRightInd w:val="0"/>
        <w:snapToGrid w:val="0"/>
        <w:spacing w:line="360" w:lineRule="auto"/>
        <w:jc w:val="center"/>
        <w:rPr>
          <w:rFonts w:ascii="黑体" w:hAnsi="黑体" w:eastAsia="黑体"/>
        </w:rPr>
      </w:pPr>
      <w:r>
        <w:rPr>
          <w:rFonts w:hint="eastAsia" w:ascii="黑体" w:hAnsi="黑体" w:eastAsia="黑体" w:cs="宋体"/>
          <w:color w:val="000000"/>
          <w:kern w:val="0"/>
          <w:sz w:val="44"/>
          <w:szCs w:val="44"/>
        </w:rPr>
        <w:t>市文化和旅游局2024年度部门整体绩效评价指标体系评分表</w:t>
      </w:r>
    </w:p>
    <w:tbl>
      <w:tblPr>
        <w:tblStyle w:val="13"/>
        <w:tblW w:w="4998" w:type="pct"/>
        <w:tblInd w:w="0" w:type="dxa"/>
        <w:tblLayout w:type="autofit"/>
        <w:tblCellMar>
          <w:top w:w="15" w:type="dxa"/>
          <w:left w:w="15" w:type="dxa"/>
          <w:bottom w:w="15" w:type="dxa"/>
          <w:right w:w="15" w:type="dxa"/>
        </w:tblCellMar>
      </w:tblPr>
      <w:tblGrid>
        <w:gridCol w:w="630"/>
        <w:gridCol w:w="881"/>
        <w:gridCol w:w="1308"/>
        <w:gridCol w:w="1360"/>
        <w:gridCol w:w="1480"/>
        <w:gridCol w:w="5746"/>
        <w:gridCol w:w="1375"/>
      </w:tblGrid>
      <w:tr w14:paraId="704651FC">
        <w:tblPrEx>
          <w:tblCellMar>
            <w:top w:w="15" w:type="dxa"/>
            <w:left w:w="15" w:type="dxa"/>
            <w:bottom w:w="15" w:type="dxa"/>
            <w:right w:w="15" w:type="dxa"/>
          </w:tblCellMar>
        </w:tblPrEx>
        <w:trPr>
          <w:trHeight w:val="617" w:hRule="atLeast"/>
        </w:trPr>
        <w:tc>
          <w:tcPr>
            <w:tcW w:w="12780" w:type="dxa"/>
            <w:gridSpan w:val="7"/>
            <w:tcBorders>
              <w:top w:val="single" w:color="auto" w:sz="4" w:space="0"/>
              <w:left w:val="single" w:color="auto" w:sz="4" w:space="0"/>
              <w:bottom w:val="single" w:color="auto" w:sz="4" w:space="0"/>
              <w:right w:val="single" w:color="auto" w:sz="4" w:space="0"/>
              <w:tl2br w:val="nil"/>
              <w:tr2bl w:val="nil"/>
            </w:tcBorders>
            <w:vAlign w:val="center"/>
          </w:tcPr>
          <w:p w14:paraId="7402FF28">
            <w:pPr>
              <w:widowControl/>
              <w:jc w:val="left"/>
              <w:textAlignment w:val="center"/>
              <w:rPr>
                <w:rFonts w:ascii="宋体" w:hAnsi="宋体" w:cs="宋体"/>
                <w:b/>
                <w:color w:val="000000"/>
                <w:kern w:val="0"/>
                <w:sz w:val="20"/>
                <w:szCs w:val="20"/>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14:paraId="39084561">
        <w:tblPrEx>
          <w:tblCellMar>
            <w:top w:w="15" w:type="dxa"/>
            <w:left w:w="15" w:type="dxa"/>
            <w:bottom w:w="15" w:type="dxa"/>
            <w:right w:w="15" w:type="dxa"/>
          </w:tblCellMar>
        </w:tblPrEx>
        <w:trPr>
          <w:trHeight w:val="617" w:hRule="atLeast"/>
        </w:trPr>
        <w:tc>
          <w:tcPr>
            <w:tcW w:w="630" w:type="dxa"/>
            <w:tcBorders>
              <w:top w:val="single" w:color="auto" w:sz="4" w:space="0"/>
              <w:left w:val="single" w:color="auto" w:sz="4" w:space="0"/>
              <w:bottom w:val="single" w:color="auto" w:sz="4" w:space="0"/>
              <w:right w:val="single" w:color="auto" w:sz="4" w:space="0"/>
              <w:tl2br w:val="nil"/>
              <w:tr2bl w:val="nil"/>
            </w:tcBorders>
            <w:vAlign w:val="center"/>
          </w:tcPr>
          <w:p w14:paraId="42B143E3">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一级指标</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1EE22A28">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二级指标</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5D26EFD8">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预算数（万元）</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3D69CB01">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执行数（万元）</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4028046A">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预算执行率</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1A35C4B8">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70C46F44">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得分</w:t>
            </w:r>
          </w:p>
        </w:tc>
      </w:tr>
      <w:tr w14:paraId="1E40BE82">
        <w:tblPrEx>
          <w:tblCellMar>
            <w:top w:w="15" w:type="dxa"/>
            <w:left w:w="15" w:type="dxa"/>
            <w:bottom w:w="15" w:type="dxa"/>
            <w:right w:w="15" w:type="dxa"/>
          </w:tblCellMar>
        </w:tblPrEx>
        <w:trPr>
          <w:trHeight w:val="511" w:hRule="atLeast"/>
        </w:trPr>
        <w:tc>
          <w:tcPr>
            <w:tcW w:w="630" w:type="dxa"/>
            <w:vMerge w:val="restart"/>
            <w:tcBorders>
              <w:top w:val="single" w:color="auto" w:sz="4" w:space="0"/>
              <w:left w:val="single" w:color="auto" w:sz="4" w:space="0"/>
              <w:bottom w:val="nil"/>
              <w:right w:val="single" w:color="auto" w:sz="4" w:space="0"/>
              <w:tl2br w:val="nil"/>
              <w:tr2bl w:val="nil"/>
            </w:tcBorders>
            <w:vAlign w:val="center"/>
          </w:tcPr>
          <w:p w14:paraId="55F8B2B5">
            <w:pPr>
              <w:widowControl/>
              <w:jc w:val="center"/>
              <w:textAlignment w:val="center"/>
              <w:rPr>
                <w:rFonts w:ascii="宋体" w:hAnsi="宋体" w:cs="宋体"/>
                <w:b/>
                <w:color w:val="000000"/>
                <w:kern w:val="0"/>
                <w:sz w:val="20"/>
                <w:szCs w:val="20"/>
              </w:rPr>
            </w:pPr>
            <w:r>
              <w:rPr>
                <w:rStyle w:val="23"/>
              </w:rPr>
              <w:t>当年预算执行情况（20）</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37318DE4">
            <w:pPr>
              <w:widowControl/>
              <w:jc w:val="center"/>
              <w:textAlignment w:val="center"/>
              <w:rPr>
                <w:rFonts w:ascii="宋体" w:hAnsi="宋体" w:cs="宋体"/>
                <w:bCs/>
                <w:color w:val="000000"/>
                <w:kern w:val="0"/>
                <w:sz w:val="20"/>
                <w:szCs w:val="20"/>
              </w:rPr>
            </w:pPr>
            <w:r>
              <w:rPr>
                <w:rFonts w:hint="eastAsia" w:ascii="宋体" w:hAnsi="宋体" w:cs="宋体"/>
                <w:bCs/>
                <w:color w:val="000000"/>
                <w:kern w:val="0"/>
                <w:sz w:val="20"/>
                <w:szCs w:val="20"/>
              </w:rPr>
              <w:t>资金总体</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2C73858B">
            <w:pPr>
              <w:widowControl/>
              <w:jc w:val="center"/>
              <w:textAlignment w:val="center"/>
              <w:rPr>
                <w:rFonts w:ascii="宋体" w:hAnsi="宋体" w:cs="宋体"/>
                <w:bCs/>
                <w:color w:val="000000"/>
                <w:kern w:val="0"/>
                <w:sz w:val="20"/>
                <w:szCs w:val="20"/>
              </w:rPr>
            </w:pPr>
            <w:r>
              <w:rPr>
                <w:rFonts w:hint="eastAsia" w:ascii="宋体" w:hAnsi="宋体" w:cs="宋体"/>
                <w:sz w:val="20"/>
                <w:szCs w:val="20"/>
              </w:rPr>
              <w:t>242,432.14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30E7E277">
            <w:pPr>
              <w:widowControl/>
              <w:jc w:val="center"/>
              <w:textAlignment w:val="center"/>
              <w:rPr>
                <w:rFonts w:ascii="宋体" w:hAnsi="宋体" w:cs="宋体"/>
                <w:bCs/>
                <w:color w:val="000000"/>
                <w:kern w:val="0"/>
                <w:sz w:val="20"/>
                <w:szCs w:val="20"/>
              </w:rPr>
            </w:pPr>
            <w:r>
              <w:rPr>
                <w:rFonts w:hint="eastAsia" w:ascii="宋体" w:hAnsi="宋体" w:cs="宋体"/>
                <w:sz w:val="20"/>
                <w:szCs w:val="20"/>
              </w:rPr>
              <w:t>213,202.38</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42F3D371">
            <w:pPr>
              <w:widowControl/>
              <w:jc w:val="center"/>
              <w:textAlignment w:val="center"/>
              <w:rPr>
                <w:rFonts w:ascii="宋体" w:hAnsi="宋体" w:cs="宋体"/>
                <w:b/>
                <w:color w:val="000000"/>
                <w:kern w:val="0"/>
                <w:sz w:val="20"/>
                <w:szCs w:val="20"/>
              </w:rPr>
            </w:pPr>
            <w:r>
              <w:rPr>
                <w:rFonts w:hint="eastAsia" w:ascii="宋体" w:hAnsi="宋体" w:cs="宋体"/>
                <w:bCs/>
                <w:color w:val="000000"/>
                <w:kern w:val="0"/>
                <w:sz w:val="20"/>
                <w:szCs w:val="20"/>
              </w:rPr>
              <w:t>87.94%</w:t>
            </w:r>
          </w:p>
        </w:tc>
        <w:tc>
          <w:tcPr>
            <w:tcW w:w="5746" w:type="dxa"/>
            <w:vMerge w:val="restart"/>
            <w:tcBorders>
              <w:top w:val="single" w:color="auto" w:sz="4" w:space="0"/>
              <w:left w:val="single" w:color="auto" w:sz="4" w:space="0"/>
              <w:bottom w:val="nil"/>
              <w:right w:val="single" w:color="auto" w:sz="4" w:space="0"/>
              <w:tl2br w:val="nil"/>
              <w:tr2bl w:val="nil"/>
            </w:tcBorders>
            <w:vAlign w:val="center"/>
          </w:tcPr>
          <w:p w14:paraId="4A9A5528">
            <w:pPr>
              <w:widowControl/>
              <w:jc w:val="center"/>
              <w:textAlignment w:val="center"/>
              <w:rPr>
                <w:rFonts w:ascii="宋体" w:hAnsi="宋体" w:cs="宋体"/>
                <w:b/>
                <w:color w:val="000000"/>
                <w:kern w:val="0"/>
                <w:sz w:val="20"/>
                <w:szCs w:val="20"/>
              </w:rPr>
            </w:pPr>
            <w:r>
              <w:rPr>
                <w:rFonts w:hint="eastAsia" w:ascii="宋体" w:hAnsi="宋体" w:cs="宋体"/>
                <w:color w:val="000000"/>
                <w:kern w:val="0"/>
                <w:sz w:val="20"/>
                <w:szCs w:val="20"/>
              </w:rPr>
              <w:t>得分计算方法应用全年执行数/全年预算数*20，得分最高不能超过该指标分值上限（20分）。</w:t>
            </w:r>
          </w:p>
        </w:tc>
        <w:tc>
          <w:tcPr>
            <w:tcW w:w="1375" w:type="dxa"/>
            <w:vMerge w:val="restart"/>
            <w:tcBorders>
              <w:top w:val="single" w:color="auto" w:sz="4" w:space="0"/>
              <w:left w:val="single" w:color="auto" w:sz="4" w:space="0"/>
              <w:bottom w:val="nil"/>
              <w:right w:val="single" w:color="auto" w:sz="4" w:space="0"/>
              <w:tl2br w:val="nil"/>
              <w:tr2bl w:val="nil"/>
            </w:tcBorders>
            <w:vAlign w:val="center"/>
          </w:tcPr>
          <w:p w14:paraId="151FECE8">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17.59</w:t>
            </w:r>
          </w:p>
        </w:tc>
      </w:tr>
      <w:tr w14:paraId="2A4CCC18">
        <w:tblPrEx>
          <w:tblCellMar>
            <w:top w:w="15" w:type="dxa"/>
            <w:left w:w="15" w:type="dxa"/>
            <w:bottom w:w="15" w:type="dxa"/>
            <w:right w:w="15" w:type="dxa"/>
          </w:tblCellMar>
        </w:tblPrEx>
        <w:trPr>
          <w:trHeight w:val="617" w:hRule="atLeast"/>
        </w:trPr>
        <w:tc>
          <w:tcPr>
            <w:tcW w:w="630" w:type="dxa"/>
            <w:vMerge w:val="continue"/>
            <w:tcBorders>
              <w:top w:val="nil"/>
              <w:left w:val="single" w:color="auto" w:sz="4" w:space="0"/>
              <w:bottom w:val="nil"/>
              <w:right w:val="single" w:color="auto" w:sz="4" w:space="0"/>
              <w:tl2br w:val="nil"/>
              <w:tr2bl w:val="nil"/>
            </w:tcBorders>
            <w:vAlign w:val="center"/>
          </w:tcPr>
          <w:p w14:paraId="67A2F87F"/>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4B15BE06">
            <w:pPr>
              <w:widowControl/>
              <w:jc w:val="center"/>
              <w:textAlignment w:val="center"/>
              <w:rPr>
                <w:rFonts w:ascii="宋体" w:hAnsi="宋体" w:cs="宋体"/>
                <w:bCs/>
                <w:color w:val="000000"/>
                <w:kern w:val="0"/>
                <w:sz w:val="20"/>
                <w:szCs w:val="20"/>
              </w:rPr>
            </w:pPr>
            <w:r>
              <w:rPr>
                <w:rFonts w:hint="eastAsia" w:ascii="宋体" w:hAnsi="宋体" w:cs="宋体"/>
                <w:bCs/>
                <w:color w:val="000000"/>
                <w:kern w:val="0"/>
                <w:sz w:val="20"/>
                <w:szCs w:val="20"/>
              </w:rPr>
              <w:t>基本支出</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B22DA48">
            <w:pPr>
              <w:widowControl/>
              <w:jc w:val="center"/>
              <w:textAlignment w:val="center"/>
              <w:rPr>
                <w:rFonts w:ascii="宋体" w:hAnsi="宋体" w:cs="宋体"/>
                <w:bCs/>
                <w:color w:val="000000"/>
                <w:kern w:val="0"/>
                <w:sz w:val="20"/>
                <w:szCs w:val="20"/>
              </w:rPr>
            </w:pPr>
            <w:r>
              <w:rPr>
                <w:rFonts w:hint="eastAsia" w:ascii="宋体" w:hAnsi="宋体" w:cs="宋体"/>
                <w:sz w:val="20"/>
                <w:szCs w:val="20"/>
              </w:rPr>
              <w:t>91,477.32</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402125C5">
            <w:pPr>
              <w:widowControl/>
              <w:jc w:val="center"/>
              <w:textAlignment w:val="center"/>
              <w:rPr>
                <w:rFonts w:ascii="宋体" w:hAnsi="宋体" w:cs="宋体"/>
                <w:bCs/>
                <w:color w:val="000000"/>
                <w:kern w:val="0"/>
                <w:sz w:val="20"/>
                <w:szCs w:val="20"/>
              </w:rPr>
            </w:pPr>
            <w:r>
              <w:rPr>
                <w:rFonts w:hint="eastAsia" w:ascii="宋体" w:hAnsi="宋体" w:cs="宋体"/>
                <w:sz w:val="20"/>
                <w:szCs w:val="20"/>
              </w:rPr>
              <w:t>88,660.33</w:t>
            </w:r>
          </w:p>
        </w:tc>
        <w:tc>
          <w:tcPr>
            <w:tcW w:w="1480" w:type="dxa"/>
            <w:vMerge w:val="restart"/>
            <w:tcBorders>
              <w:top w:val="single" w:color="auto" w:sz="4" w:space="0"/>
              <w:left w:val="single" w:color="auto" w:sz="4" w:space="0"/>
              <w:bottom w:val="nil"/>
              <w:right w:val="single" w:color="auto" w:sz="4" w:space="0"/>
              <w:tl2br w:val="nil"/>
              <w:tr2bl w:val="nil"/>
            </w:tcBorders>
            <w:vAlign w:val="center"/>
          </w:tcPr>
          <w:p w14:paraId="06410405">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w:t>
            </w:r>
          </w:p>
        </w:tc>
        <w:tc>
          <w:tcPr>
            <w:tcW w:w="5746" w:type="dxa"/>
            <w:vMerge w:val="continue"/>
            <w:tcBorders>
              <w:top w:val="nil"/>
              <w:left w:val="single" w:color="auto" w:sz="4" w:space="0"/>
              <w:bottom w:val="nil"/>
              <w:right w:val="single" w:color="auto" w:sz="4" w:space="0"/>
              <w:tl2br w:val="nil"/>
              <w:tr2bl w:val="nil"/>
            </w:tcBorders>
            <w:vAlign w:val="center"/>
          </w:tcPr>
          <w:p w14:paraId="66C43698"/>
        </w:tc>
        <w:tc>
          <w:tcPr>
            <w:tcW w:w="1375" w:type="dxa"/>
            <w:vMerge w:val="continue"/>
            <w:tcBorders>
              <w:top w:val="nil"/>
              <w:left w:val="single" w:color="auto" w:sz="4" w:space="0"/>
              <w:bottom w:val="nil"/>
              <w:right w:val="single" w:color="auto" w:sz="4" w:space="0"/>
              <w:tl2br w:val="nil"/>
              <w:tr2bl w:val="nil"/>
            </w:tcBorders>
            <w:vAlign w:val="center"/>
          </w:tcPr>
          <w:p w14:paraId="28A54A93"/>
        </w:tc>
      </w:tr>
      <w:tr w14:paraId="761A94BD">
        <w:tblPrEx>
          <w:tblCellMar>
            <w:top w:w="15" w:type="dxa"/>
            <w:left w:w="15" w:type="dxa"/>
            <w:bottom w:w="15" w:type="dxa"/>
            <w:right w:w="15" w:type="dxa"/>
          </w:tblCellMar>
        </w:tblPrEx>
        <w:trPr>
          <w:trHeight w:val="617" w:hRule="atLeast"/>
        </w:trPr>
        <w:tc>
          <w:tcPr>
            <w:tcW w:w="630" w:type="dxa"/>
            <w:vMerge w:val="continue"/>
            <w:tcBorders>
              <w:top w:val="nil"/>
              <w:left w:val="single" w:color="auto" w:sz="4" w:space="0"/>
              <w:bottom w:val="nil"/>
              <w:right w:val="single" w:color="auto" w:sz="4" w:space="0"/>
              <w:tl2br w:val="nil"/>
              <w:tr2bl w:val="nil"/>
            </w:tcBorders>
            <w:vAlign w:val="center"/>
          </w:tcPr>
          <w:p w14:paraId="110C1BF9"/>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53095FBB">
            <w:pPr>
              <w:widowControl/>
              <w:jc w:val="center"/>
              <w:textAlignment w:val="center"/>
              <w:rPr>
                <w:rFonts w:ascii="宋体" w:hAnsi="宋体" w:cs="宋体"/>
                <w:bCs/>
                <w:color w:val="000000"/>
                <w:kern w:val="0"/>
                <w:sz w:val="20"/>
                <w:szCs w:val="20"/>
              </w:rPr>
            </w:pPr>
            <w:r>
              <w:rPr>
                <w:rFonts w:hint="eastAsia" w:ascii="宋体" w:hAnsi="宋体" w:cs="宋体"/>
                <w:bCs/>
                <w:color w:val="000000"/>
                <w:kern w:val="0"/>
                <w:sz w:val="20"/>
                <w:szCs w:val="20"/>
              </w:rPr>
              <w:t>项目支出</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525E83E2">
            <w:pPr>
              <w:widowControl/>
              <w:jc w:val="center"/>
              <w:textAlignment w:val="center"/>
              <w:rPr>
                <w:rFonts w:ascii="宋体" w:hAnsi="宋体" w:cs="宋体"/>
                <w:bCs/>
                <w:color w:val="000000"/>
                <w:kern w:val="0"/>
                <w:sz w:val="20"/>
                <w:szCs w:val="20"/>
              </w:rPr>
            </w:pPr>
            <w:r>
              <w:rPr>
                <w:rFonts w:hint="eastAsia" w:ascii="宋体" w:hAnsi="宋体" w:cs="宋体"/>
                <w:sz w:val="20"/>
                <w:szCs w:val="20"/>
              </w:rPr>
              <w:t>145,498.08</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4B836EC5">
            <w:pPr>
              <w:widowControl/>
              <w:jc w:val="center"/>
              <w:textAlignment w:val="center"/>
              <w:rPr>
                <w:rFonts w:ascii="宋体" w:hAnsi="宋体" w:cs="宋体"/>
                <w:bCs/>
                <w:color w:val="000000"/>
                <w:kern w:val="0"/>
                <w:sz w:val="20"/>
                <w:szCs w:val="20"/>
              </w:rPr>
            </w:pPr>
            <w:r>
              <w:rPr>
                <w:rFonts w:hint="eastAsia" w:ascii="宋体" w:hAnsi="宋体" w:cs="宋体"/>
                <w:sz w:val="20"/>
                <w:szCs w:val="20"/>
              </w:rPr>
              <w:t>124,229.63</w:t>
            </w:r>
          </w:p>
        </w:tc>
        <w:tc>
          <w:tcPr>
            <w:tcW w:w="1480" w:type="dxa"/>
            <w:vMerge w:val="continue"/>
            <w:tcBorders>
              <w:top w:val="nil"/>
              <w:left w:val="single" w:color="auto" w:sz="4" w:space="0"/>
              <w:bottom w:val="nil"/>
              <w:right w:val="single" w:color="auto" w:sz="4" w:space="0"/>
              <w:tl2br w:val="nil"/>
              <w:tr2bl w:val="nil"/>
            </w:tcBorders>
            <w:vAlign w:val="center"/>
          </w:tcPr>
          <w:p w14:paraId="53909AEB"/>
        </w:tc>
        <w:tc>
          <w:tcPr>
            <w:tcW w:w="5746" w:type="dxa"/>
            <w:vMerge w:val="continue"/>
            <w:tcBorders>
              <w:top w:val="nil"/>
              <w:left w:val="single" w:color="auto" w:sz="4" w:space="0"/>
              <w:bottom w:val="nil"/>
              <w:right w:val="single" w:color="auto" w:sz="4" w:space="0"/>
              <w:tl2br w:val="nil"/>
              <w:tr2bl w:val="nil"/>
            </w:tcBorders>
            <w:vAlign w:val="center"/>
          </w:tcPr>
          <w:p w14:paraId="513111DD"/>
        </w:tc>
        <w:tc>
          <w:tcPr>
            <w:tcW w:w="1375" w:type="dxa"/>
            <w:vMerge w:val="continue"/>
            <w:tcBorders>
              <w:top w:val="nil"/>
              <w:left w:val="single" w:color="auto" w:sz="4" w:space="0"/>
              <w:bottom w:val="nil"/>
              <w:right w:val="single" w:color="auto" w:sz="4" w:space="0"/>
              <w:tl2br w:val="nil"/>
              <w:tr2bl w:val="nil"/>
            </w:tcBorders>
            <w:vAlign w:val="center"/>
          </w:tcPr>
          <w:p w14:paraId="45BD0C15"/>
        </w:tc>
      </w:tr>
      <w:tr w14:paraId="178986D9">
        <w:tblPrEx>
          <w:tblCellMar>
            <w:top w:w="15" w:type="dxa"/>
            <w:left w:w="15" w:type="dxa"/>
            <w:bottom w:w="15" w:type="dxa"/>
            <w:right w:w="15" w:type="dxa"/>
          </w:tblCellMar>
        </w:tblPrEx>
        <w:trPr>
          <w:trHeight w:val="617" w:hRule="atLeast"/>
        </w:trPr>
        <w:tc>
          <w:tcPr>
            <w:tcW w:w="630" w:type="dxa"/>
            <w:vMerge w:val="continue"/>
            <w:tcBorders>
              <w:top w:val="nil"/>
              <w:left w:val="single" w:color="auto" w:sz="4" w:space="0"/>
              <w:bottom w:val="single" w:color="auto" w:sz="4" w:space="0"/>
              <w:right w:val="single" w:color="auto" w:sz="4" w:space="0"/>
              <w:tl2br w:val="nil"/>
              <w:tr2bl w:val="nil"/>
            </w:tcBorders>
            <w:vAlign w:val="center"/>
          </w:tcPr>
          <w:p w14:paraId="4D329B1A"/>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16592365">
            <w:pPr>
              <w:widowControl/>
              <w:jc w:val="center"/>
              <w:textAlignment w:val="center"/>
              <w:rPr>
                <w:rFonts w:ascii="宋体" w:hAnsi="宋体" w:cs="宋体"/>
                <w:bCs/>
                <w:color w:val="000000"/>
                <w:kern w:val="0"/>
                <w:sz w:val="20"/>
                <w:szCs w:val="20"/>
              </w:rPr>
            </w:pPr>
            <w:r>
              <w:rPr>
                <w:rFonts w:hint="eastAsia" w:ascii="宋体" w:hAnsi="宋体" w:cs="宋体"/>
                <w:bCs/>
                <w:color w:val="000000"/>
                <w:kern w:val="0"/>
                <w:sz w:val="20"/>
                <w:szCs w:val="20"/>
              </w:rPr>
              <w:t>其他</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F1F399D">
            <w:pPr>
              <w:widowControl/>
              <w:jc w:val="center"/>
              <w:textAlignment w:val="center"/>
              <w:rPr>
                <w:rFonts w:ascii="宋体" w:hAnsi="宋体" w:cs="宋体"/>
                <w:bCs/>
                <w:color w:val="000000"/>
                <w:kern w:val="0"/>
                <w:sz w:val="20"/>
                <w:szCs w:val="20"/>
              </w:rPr>
            </w:pPr>
            <w:r>
              <w:rPr>
                <w:rFonts w:hint="eastAsia" w:ascii="宋体" w:hAnsi="宋体" w:cs="宋体"/>
                <w:sz w:val="20"/>
                <w:szCs w:val="20"/>
              </w:rPr>
              <w:t>5,456.74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78DB752E">
            <w:pPr>
              <w:widowControl/>
              <w:jc w:val="center"/>
              <w:textAlignment w:val="center"/>
              <w:rPr>
                <w:rFonts w:ascii="宋体" w:hAnsi="宋体" w:cs="宋体"/>
                <w:bCs/>
                <w:color w:val="000000"/>
                <w:kern w:val="0"/>
                <w:sz w:val="20"/>
                <w:szCs w:val="20"/>
              </w:rPr>
            </w:pPr>
            <w:r>
              <w:rPr>
                <w:rFonts w:hint="eastAsia" w:ascii="宋体" w:hAnsi="宋体" w:cs="宋体"/>
                <w:sz w:val="20"/>
                <w:szCs w:val="20"/>
              </w:rPr>
              <w:t>312.42</w:t>
            </w:r>
          </w:p>
        </w:tc>
        <w:tc>
          <w:tcPr>
            <w:tcW w:w="1480" w:type="dxa"/>
            <w:vMerge w:val="continue"/>
            <w:tcBorders>
              <w:top w:val="nil"/>
              <w:left w:val="single" w:color="auto" w:sz="4" w:space="0"/>
              <w:bottom w:val="single" w:color="auto" w:sz="4" w:space="0"/>
              <w:right w:val="single" w:color="auto" w:sz="4" w:space="0"/>
              <w:tl2br w:val="nil"/>
              <w:tr2bl w:val="nil"/>
            </w:tcBorders>
            <w:vAlign w:val="center"/>
          </w:tcPr>
          <w:p w14:paraId="32241E61"/>
        </w:tc>
        <w:tc>
          <w:tcPr>
            <w:tcW w:w="5746" w:type="dxa"/>
            <w:vMerge w:val="continue"/>
            <w:tcBorders>
              <w:top w:val="nil"/>
              <w:left w:val="single" w:color="auto" w:sz="4" w:space="0"/>
              <w:bottom w:val="single" w:color="auto" w:sz="4" w:space="0"/>
              <w:right w:val="single" w:color="auto" w:sz="4" w:space="0"/>
              <w:tl2br w:val="nil"/>
              <w:tr2bl w:val="nil"/>
            </w:tcBorders>
            <w:vAlign w:val="center"/>
          </w:tcPr>
          <w:p w14:paraId="61F408E2"/>
        </w:tc>
        <w:tc>
          <w:tcPr>
            <w:tcW w:w="1375" w:type="dxa"/>
            <w:vMerge w:val="continue"/>
            <w:tcBorders>
              <w:top w:val="nil"/>
              <w:left w:val="single" w:color="auto" w:sz="4" w:space="0"/>
              <w:bottom w:val="single" w:color="auto" w:sz="4" w:space="0"/>
              <w:right w:val="single" w:color="auto" w:sz="4" w:space="0"/>
              <w:tl2br w:val="nil"/>
              <w:tr2bl w:val="nil"/>
            </w:tcBorders>
            <w:vAlign w:val="center"/>
          </w:tcPr>
          <w:p w14:paraId="0C78D4FA"/>
        </w:tc>
      </w:tr>
      <w:tr w14:paraId="16B7590B">
        <w:tblPrEx>
          <w:tblCellMar>
            <w:top w:w="15" w:type="dxa"/>
            <w:left w:w="15" w:type="dxa"/>
            <w:bottom w:w="15" w:type="dxa"/>
            <w:right w:w="15" w:type="dxa"/>
          </w:tblCellMar>
        </w:tblPrEx>
        <w:trPr>
          <w:trHeight w:val="617" w:hRule="atLeast"/>
        </w:trPr>
        <w:tc>
          <w:tcPr>
            <w:tcW w:w="12780" w:type="dxa"/>
            <w:gridSpan w:val="7"/>
            <w:tcBorders>
              <w:top w:val="single" w:color="auto" w:sz="4" w:space="0"/>
              <w:left w:val="single" w:color="auto" w:sz="4" w:space="0"/>
              <w:bottom w:val="single" w:color="auto" w:sz="4" w:space="0"/>
              <w:right w:val="single" w:color="auto" w:sz="4" w:space="0"/>
              <w:tl2br w:val="nil"/>
              <w:tr2bl w:val="nil"/>
            </w:tcBorders>
            <w:vAlign w:val="center"/>
          </w:tcPr>
          <w:p w14:paraId="13EDEE6D">
            <w:pPr>
              <w:widowControl/>
              <w:jc w:val="left"/>
              <w:textAlignment w:val="center"/>
              <w:rPr>
                <w:rFonts w:ascii="宋体" w:hAnsi="宋体" w:cs="宋体"/>
                <w:b/>
                <w:color w:val="000000"/>
                <w:kern w:val="0"/>
                <w:sz w:val="20"/>
                <w:szCs w:val="20"/>
              </w:rPr>
            </w:pPr>
            <w:r>
              <w:rPr>
                <w:rStyle w:val="23"/>
              </w:rPr>
              <w:t>二、整体绩效目标实现情况（60分）</w:t>
            </w:r>
          </w:p>
        </w:tc>
      </w:tr>
      <w:tr w14:paraId="5CCF936B">
        <w:tblPrEx>
          <w:tblCellMar>
            <w:top w:w="15" w:type="dxa"/>
            <w:left w:w="15" w:type="dxa"/>
            <w:bottom w:w="15" w:type="dxa"/>
            <w:right w:w="15" w:type="dxa"/>
          </w:tblCellMar>
        </w:tblPrEx>
        <w:trPr>
          <w:trHeight w:val="617" w:hRule="atLeast"/>
        </w:trPr>
        <w:tc>
          <w:tcPr>
            <w:tcW w:w="630" w:type="dxa"/>
            <w:tcBorders>
              <w:top w:val="single" w:color="auto" w:sz="4" w:space="0"/>
              <w:left w:val="single" w:color="auto" w:sz="4" w:space="0"/>
              <w:bottom w:val="single" w:color="auto" w:sz="4" w:space="0"/>
              <w:right w:val="single" w:color="auto" w:sz="4" w:space="0"/>
              <w:tl2br w:val="nil"/>
              <w:tr2bl w:val="nil"/>
            </w:tcBorders>
            <w:vAlign w:val="center"/>
          </w:tcPr>
          <w:p w14:paraId="2175EDF2">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一级指标</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223C616B">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二级指标</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3FB7636E">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三级指标</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10F0D2AA">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指标值</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0D63CC2B">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完成值</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0E3358E6">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288CE888">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得分</w:t>
            </w:r>
          </w:p>
        </w:tc>
      </w:tr>
      <w:tr w14:paraId="4063854E">
        <w:tblPrEx>
          <w:tblCellMar>
            <w:top w:w="15" w:type="dxa"/>
            <w:left w:w="15" w:type="dxa"/>
            <w:bottom w:w="15" w:type="dxa"/>
            <w:right w:w="15" w:type="dxa"/>
          </w:tblCellMar>
        </w:tblPrEx>
        <w:trPr>
          <w:trHeight w:val="347" w:hRule="atLeast"/>
        </w:trPr>
        <w:tc>
          <w:tcPr>
            <w:tcW w:w="630" w:type="dxa"/>
            <w:vMerge w:val="restart"/>
            <w:tcBorders>
              <w:top w:val="single" w:color="auto" w:sz="4" w:space="0"/>
              <w:left w:val="single" w:color="auto" w:sz="4" w:space="0"/>
              <w:bottom w:val="nil"/>
              <w:right w:val="single" w:color="auto" w:sz="4" w:space="0"/>
              <w:tl2br w:val="nil"/>
              <w:tr2bl w:val="nil"/>
            </w:tcBorders>
            <w:vAlign w:val="center"/>
          </w:tcPr>
          <w:p w14:paraId="71253FF7">
            <w:pPr>
              <w:widowControl/>
              <w:jc w:val="center"/>
              <w:textAlignment w:val="center"/>
              <w:rPr>
                <w:rFonts w:ascii="宋体" w:hAnsi="宋体" w:cs="宋体"/>
                <w:color w:val="000000"/>
                <w:sz w:val="20"/>
                <w:szCs w:val="20"/>
              </w:rPr>
            </w:pPr>
            <w:r>
              <w:rPr>
                <w:rStyle w:val="23"/>
              </w:rPr>
              <w:t>整体绩效目标实现情况（60）</w:t>
            </w:r>
          </w:p>
        </w:tc>
        <w:tc>
          <w:tcPr>
            <w:tcW w:w="881"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4B013E47">
            <w:pPr>
              <w:widowControl/>
              <w:jc w:val="center"/>
              <w:textAlignment w:val="center"/>
              <w:rPr>
                <w:rFonts w:ascii="宋体" w:hAnsi="宋体" w:cs="宋体"/>
                <w:color w:val="000000"/>
                <w:sz w:val="20"/>
                <w:szCs w:val="20"/>
              </w:rPr>
            </w:pPr>
            <w:r>
              <w:rPr>
                <w:rStyle w:val="23"/>
              </w:rPr>
              <w:t>产出</w:t>
            </w:r>
            <w:r>
              <w:rPr>
                <w:rStyle w:val="23"/>
              </w:rPr>
              <w:br w:type="textWrapping"/>
            </w:r>
            <w:r>
              <w:rPr>
                <w:rStyle w:val="23"/>
              </w:rPr>
              <w:t>（30）</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5826D8B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产出数量（9）</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57DEEDFB">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按计划完成</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010B4D3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C2DBBD2">
            <w:pPr>
              <w:widowControl/>
              <w:jc w:val="left"/>
              <w:textAlignment w:val="center"/>
              <w:rPr>
                <w:rFonts w:ascii="宋体" w:hAnsi="宋体" w:cs="宋体"/>
                <w:color w:val="000000"/>
                <w:sz w:val="20"/>
                <w:szCs w:val="20"/>
              </w:rPr>
            </w:pPr>
            <w:r>
              <w:rPr>
                <w:rStyle w:val="24"/>
              </w:rPr>
              <w:t>①定量指标按照比率*单项指标分值即为该指标得分。</w:t>
            </w:r>
            <w:r>
              <w:rPr>
                <w:rStyle w:val="24"/>
              </w:rPr>
              <w:br w:type="textWrapping"/>
            </w:r>
            <w:r>
              <w:rPr>
                <w:rStyle w:val="24"/>
              </w:rPr>
              <w:t>②定性指标按完成情况划分为基本达成、部分实现、实现程度较低三个档次，每档次分别对应分值区间100%-80%（含）、80%-60%（含）、60%-0%，根据指标实际完成情况在分值区间内合理确定得分。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3710D0FE">
            <w:pPr>
              <w:widowControl/>
              <w:jc w:val="center"/>
              <w:textAlignment w:val="center"/>
              <w:rPr>
                <w:rFonts w:ascii="宋体" w:hAnsi="宋体" w:cs="宋体"/>
                <w:color w:val="000000"/>
                <w:sz w:val="20"/>
                <w:szCs w:val="20"/>
              </w:rPr>
            </w:pPr>
            <w:r>
              <w:rPr>
                <w:rFonts w:hint="eastAsia" w:ascii="宋体" w:hAnsi="宋体" w:cs="宋体"/>
                <w:color w:val="000000"/>
                <w:sz w:val="20"/>
                <w:szCs w:val="20"/>
              </w:rPr>
              <w:t>8.5</w:t>
            </w:r>
          </w:p>
        </w:tc>
      </w:tr>
      <w:tr w14:paraId="2B9F46D3">
        <w:tblPrEx>
          <w:tblCellMar>
            <w:top w:w="15" w:type="dxa"/>
            <w:left w:w="15" w:type="dxa"/>
            <w:bottom w:w="15" w:type="dxa"/>
            <w:right w:w="15" w:type="dxa"/>
          </w:tblCellMar>
        </w:tblPrEx>
        <w:trPr>
          <w:trHeight w:val="242" w:hRule="atLeast"/>
        </w:trPr>
        <w:tc>
          <w:tcPr>
            <w:tcW w:w="630" w:type="dxa"/>
            <w:vMerge w:val="continue"/>
            <w:tcBorders>
              <w:top w:val="nil"/>
              <w:left w:val="single" w:color="auto" w:sz="4" w:space="0"/>
              <w:bottom w:val="nil"/>
              <w:right w:val="single" w:color="auto" w:sz="4" w:space="0"/>
              <w:tl2br w:val="nil"/>
              <w:tr2bl w:val="nil"/>
            </w:tcBorders>
            <w:vAlign w:val="center"/>
          </w:tcPr>
          <w:p w14:paraId="3D3A4BF7"/>
        </w:tc>
        <w:tc>
          <w:tcPr>
            <w:tcW w:w="8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F06A71C"/>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0E55C7D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产出质量（9）</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4D108244">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2928248D">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96B2427"/>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3B1B77A0">
            <w:pPr>
              <w:widowControl/>
              <w:jc w:val="center"/>
              <w:textAlignment w:val="center"/>
              <w:rPr>
                <w:rFonts w:ascii="宋体" w:hAnsi="宋体" w:cs="宋体"/>
                <w:color w:val="000000"/>
                <w:sz w:val="20"/>
                <w:szCs w:val="20"/>
              </w:rPr>
            </w:pPr>
            <w:r>
              <w:rPr>
                <w:rFonts w:hint="eastAsia" w:ascii="宋体" w:hAnsi="宋体" w:cs="宋体"/>
                <w:color w:val="000000"/>
                <w:sz w:val="20"/>
                <w:szCs w:val="20"/>
              </w:rPr>
              <w:t>9</w:t>
            </w:r>
          </w:p>
        </w:tc>
      </w:tr>
      <w:tr w14:paraId="580E1166">
        <w:tblPrEx>
          <w:tblCellMar>
            <w:top w:w="15" w:type="dxa"/>
            <w:left w:w="15" w:type="dxa"/>
            <w:bottom w:w="15" w:type="dxa"/>
            <w:right w:w="15" w:type="dxa"/>
          </w:tblCellMar>
        </w:tblPrEx>
        <w:trPr>
          <w:trHeight w:val="90" w:hRule="atLeast"/>
        </w:trPr>
        <w:tc>
          <w:tcPr>
            <w:tcW w:w="630" w:type="dxa"/>
            <w:vMerge w:val="continue"/>
            <w:tcBorders>
              <w:top w:val="nil"/>
              <w:left w:val="single" w:color="auto" w:sz="4" w:space="0"/>
              <w:bottom w:val="nil"/>
              <w:right w:val="single" w:color="auto" w:sz="4" w:space="0"/>
              <w:tl2br w:val="nil"/>
              <w:tr2bl w:val="nil"/>
            </w:tcBorders>
            <w:vAlign w:val="center"/>
          </w:tcPr>
          <w:p w14:paraId="3DD32A78"/>
        </w:tc>
        <w:tc>
          <w:tcPr>
            <w:tcW w:w="8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61F39D0"/>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39B9746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产出进度（6）</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78A110AC">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按时完成</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208DDD4A">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CECE46B"/>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0FD97A67">
            <w:pPr>
              <w:widowControl/>
              <w:jc w:val="center"/>
              <w:textAlignment w:val="center"/>
              <w:rPr>
                <w:rFonts w:ascii="宋体" w:hAnsi="宋体" w:cs="宋体"/>
                <w:color w:val="000000"/>
                <w:sz w:val="20"/>
                <w:szCs w:val="20"/>
              </w:rPr>
            </w:pPr>
            <w:r>
              <w:rPr>
                <w:rFonts w:hint="eastAsia" w:ascii="宋体" w:hAnsi="宋体" w:cs="宋体"/>
                <w:color w:val="000000"/>
                <w:sz w:val="20"/>
                <w:szCs w:val="20"/>
              </w:rPr>
              <w:t>5.5</w:t>
            </w:r>
          </w:p>
        </w:tc>
      </w:tr>
      <w:tr w14:paraId="15A905AF">
        <w:tblPrEx>
          <w:tblCellMar>
            <w:top w:w="15" w:type="dxa"/>
            <w:left w:w="15" w:type="dxa"/>
            <w:bottom w:w="15" w:type="dxa"/>
            <w:right w:w="15" w:type="dxa"/>
          </w:tblCellMar>
        </w:tblPrEx>
        <w:trPr>
          <w:trHeight w:val="504" w:hRule="atLeast"/>
        </w:trPr>
        <w:tc>
          <w:tcPr>
            <w:tcW w:w="630" w:type="dxa"/>
            <w:vMerge w:val="continue"/>
            <w:tcBorders>
              <w:top w:val="nil"/>
              <w:left w:val="single" w:color="auto" w:sz="4" w:space="0"/>
              <w:bottom w:val="single" w:color="auto" w:sz="4" w:space="0"/>
              <w:right w:val="single" w:color="auto" w:sz="4" w:space="0"/>
              <w:tl2br w:val="nil"/>
              <w:tr2bl w:val="nil"/>
            </w:tcBorders>
            <w:vAlign w:val="center"/>
          </w:tcPr>
          <w:p w14:paraId="7B080CC2"/>
        </w:tc>
        <w:tc>
          <w:tcPr>
            <w:tcW w:w="881"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D953D09"/>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E35F8D1">
            <w:pPr>
              <w:widowControl/>
              <w:textAlignment w:val="center"/>
              <w:rPr>
                <w:rFonts w:ascii="宋体" w:hAnsi="宋体" w:cs="宋体"/>
                <w:color w:val="000000"/>
                <w:sz w:val="20"/>
                <w:szCs w:val="20"/>
              </w:rPr>
            </w:pPr>
            <w:r>
              <w:rPr>
                <w:rFonts w:hint="eastAsia" w:ascii="宋体" w:hAnsi="宋体" w:cs="宋体"/>
                <w:color w:val="000000"/>
                <w:kern w:val="0"/>
                <w:sz w:val="20"/>
                <w:szCs w:val="20"/>
              </w:rPr>
              <w:t>产出成本（6）</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79AA211A">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支出控制在预算内</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74EE342B">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支出控制在预算内</w:t>
            </w:r>
          </w:p>
        </w:tc>
        <w:tc>
          <w:tcPr>
            <w:tcW w:w="5746"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D852361"/>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6D931A4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r>
      <w:tr w14:paraId="49400A86">
        <w:tblPrEx>
          <w:tblCellMar>
            <w:top w:w="15" w:type="dxa"/>
            <w:left w:w="15" w:type="dxa"/>
            <w:bottom w:w="15" w:type="dxa"/>
            <w:right w:w="15" w:type="dxa"/>
          </w:tblCellMar>
        </w:tblPrEx>
        <w:trPr>
          <w:trHeight w:val="579" w:hRule="atLeast"/>
        </w:trPr>
        <w:tc>
          <w:tcPr>
            <w:tcW w:w="630" w:type="dxa"/>
            <w:tcBorders>
              <w:top w:val="single" w:color="auto" w:sz="4" w:space="0"/>
              <w:left w:val="single" w:color="auto" w:sz="4" w:space="0"/>
              <w:bottom w:val="single" w:color="auto" w:sz="4" w:space="0"/>
              <w:right w:val="single" w:color="auto" w:sz="4" w:space="0"/>
              <w:tl2br w:val="nil"/>
              <w:tr2bl w:val="nil"/>
            </w:tcBorders>
            <w:vAlign w:val="center"/>
          </w:tcPr>
          <w:p w14:paraId="726F8BC6">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一级指标</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7D68FA29">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二级指标</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31B96B5D">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三级指标</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7B82FD66">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指标值</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5034D41F">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完成值</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184BC60B">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5C08AF7A">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得分</w:t>
            </w:r>
          </w:p>
        </w:tc>
      </w:tr>
      <w:tr w14:paraId="78CD481E">
        <w:tblPrEx>
          <w:tblCellMar>
            <w:top w:w="15" w:type="dxa"/>
            <w:left w:w="15" w:type="dxa"/>
            <w:bottom w:w="15" w:type="dxa"/>
            <w:right w:w="15" w:type="dxa"/>
          </w:tblCellMar>
        </w:tblPrEx>
        <w:trPr>
          <w:trHeight w:val="444" w:hRule="atLeast"/>
        </w:trPr>
        <w:tc>
          <w:tcPr>
            <w:tcW w:w="630" w:type="dxa"/>
            <w:vMerge w:val="restart"/>
            <w:tcBorders>
              <w:top w:val="single" w:color="auto" w:sz="4" w:space="0"/>
              <w:left w:val="single" w:color="auto" w:sz="4" w:space="0"/>
              <w:bottom w:val="nil"/>
              <w:right w:val="single" w:color="auto" w:sz="4" w:space="0"/>
              <w:tl2br w:val="nil"/>
              <w:tr2bl w:val="nil"/>
            </w:tcBorders>
            <w:vAlign w:val="center"/>
          </w:tcPr>
          <w:p w14:paraId="5E282C48">
            <w:pPr>
              <w:jc w:val="center"/>
              <w:rPr>
                <w:rFonts w:ascii="宋体" w:hAnsi="宋体" w:cs="宋体"/>
                <w:color w:val="000000"/>
                <w:sz w:val="20"/>
                <w:szCs w:val="20"/>
              </w:rPr>
            </w:pPr>
            <w:r>
              <w:rPr>
                <w:rFonts w:hint="eastAsia" w:ascii="宋体" w:hAnsi="宋体" w:cs="宋体"/>
                <w:color w:val="000000"/>
                <w:sz w:val="20"/>
                <w:szCs w:val="20"/>
              </w:rPr>
              <w:t>续上页</w:t>
            </w:r>
          </w:p>
        </w:tc>
        <w:tc>
          <w:tcPr>
            <w:tcW w:w="881" w:type="dxa"/>
            <w:vMerge w:val="restart"/>
            <w:tcBorders>
              <w:top w:val="single" w:color="auto" w:sz="4" w:space="0"/>
              <w:left w:val="single" w:color="auto" w:sz="4" w:space="0"/>
              <w:bottom w:val="nil"/>
              <w:right w:val="single" w:color="auto" w:sz="4" w:space="0"/>
              <w:tl2br w:val="nil"/>
              <w:tr2bl w:val="nil"/>
            </w:tcBorders>
            <w:vAlign w:val="center"/>
          </w:tcPr>
          <w:p w14:paraId="605038DB">
            <w:pPr>
              <w:widowControl/>
              <w:jc w:val="center"/>
              <w:textAlignment w:val="center"/>
              <w:rPr>
                <w:rFonts w:ascii="宋体" w:hAnsi="宋体" w:cs="宋体"/>
                <w:color w:val="000000"/>
                <w:sz w:val="20"/>
                <w:szCs w:val="20"/>
              </w:rPr>
            </w:pPr>
            <w:r>
              <w:rPr>
                <w:rStyle w:val="23"/>
              </w:rPr>
              <w:t>效果</w:t>
            </w:r>
            <w:r>
              <w:rPr>
                <w:rStyle w:val="23"/>
              </w:rPr>
              <w:br w:type="textWrapping"/>
            </w:r>
            <w:r>
              <w:rPr>
                <w:rStyle w:val="23"/>
              </w:rPr>
              <w:t>（30）</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292662AE">
            <w:pPr>
              <w:widowControl/>
              <w:ind w:left="400" w:hanging="400" w:hangingChars="200"/>
              <w:textAlignment w:val="center"/>
              <w:rPr>
                <w:rFonts w:ascii="宋体" w:hAnsi="宋体" w:cs="宋体"/>
                <w:color w:val="000000"/>
                <w:sz w:val="20"/>
                <w:szCs w:val="20"/>
              </w:rPr>
            </w:pPr>
            <w:r>
              <w:rPr>
                <w:rFonts w:hint="eastAsia" w:ascii="宋体" w:hAnsi="宋体" w:cs="宋体"/>
                <w:color w:val="000000"/>
                <w:sz w:val="20"/>
                <w:szCs w:val="20"/>
              </w:rPr>
              <w:t>社会效益呈现（10）</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0A18443C">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31614A5F">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restart"/>
            <w:tcBorders>
              <w:top w:val="single" w:color="auto" w:sz="4" w:space="0"/>
              <w:left w:val="single" w:color="auto" w:sz="4" w:space="0"/>
              <w:bottom w:val="nil"/>
              <w:right w:val="single" w:color="auto" w:sz="4" w:space="0"/>
              <w:tl2br w:val="nil"/>
              <w:tr2bl w:val="nil"/>
            </w:tcBorders>
            <w:vAlign w:val="center"/>
          </w:tcPr>
          <w:p w14:paraId="586A40FF">
            <w:pPr>
              <w:widowControl/>
              <w:jc w:val="left"/>
              <w:textAlignment w:val="center"/>
              <w:rPr>
                <w:rFonts w:ascii="宋体" w:hAnsi="宋体" w:cs="宋体"/>
                <w:color w:val="000000"/>
                <w:sz w:val="20"/>
                <w:szCs w:val="20"/>
              </w:rPr>
            </w:pPr>
            <w:r>
              <w:rPr>
                <w:rStyle w:val="23"/>
              </w:rPr>
              <w:t>①定量指标按照比率*单项指标分值即为该指标得分。</w:t>
            </w:r>
            <w:r>
              <w:rPr>
                <w:rStyle w:val="23"/>
              </w:rPr>
              <w:br w:type="textWrapping"/>
            </w:r>
            <w:r>
              <w:rPr>
                <w:rStyle w:val="23"/>
              </w:rPr>
              <w:t>②定性指标按完成情况划分为基本达成、部分实现、实现程度较低三个档次，每档次分别对应分值区间100%-80%（含）、80%-60%（含）、60%-0%，根据指标实际完成情况在分值区间内合理确定得分。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2BBB3019">
            <w:pPr>
              <w:widowControl/>
              <w:jc w:val="center"/>
              <w:textAlignment w:val="center"/>
              <w:rPr>
                <w:rFonts w:ascii="宋体" w:hAnsi="宋体" w:cs="宋体"/>
                <w:color w:val="000000"/>
                <w:sz w:val="20"/>
                <w:szCs w:val="20"/>
              </w:rPr>
            </w:pPr>
            <w:r>
              <w:rPr>
                <w:rFonts w:hint="eastAsia" w:ascii="宋体" w:hAnsi="宋体" w:cs="宋体"/>
                <w:color w:val="000000"/>
                <w:sz w:val="20"/>
                <w:szCs w:val="20"/>
              </w:rPr>
              <w:t>9.5</w:t>
            </w:r>
          </w:p>
        </w:tc>
      </w:tr>
      <w:tr w14:paraId="365B6C50">
        <w:tblPrEx>
          <w:tblCellMar>
            <w:top w:w="15" w:type="dxa"/>
            <w:left w:w="15" w:type="dxa"/>
            <w:bottom w:w="15" w:type="dxa"/>
            <w:right w:w="15" w:type="dxa"/>
          </w:tblCellMar>
        </w:tblPrEx>
        <w:trPr>
          <w:trHeight w:val="407" w:hRule="atLeast"/>
        </w:trPr>
        <w:tc>
          <w:tcPr>
            <w:tcW w:w="630" w:type="dxa"/>
            <w:vMerge w:val="continue"/>
            <w:tcBorders>
              <w:top w:val="nil"/>
              <w:left w:val="single" w:color="auto" w:sz="4" w:space="0"/>
              <w:bottom w:val="nil"/>
              <w:right w:val="single" w:color="auto" w:sz="4" w:space="0"/>
              <w:tl2br w:val="nil"/>
              <w:tr2bl w:val="nil"/>
            </w:tcBorders>
            <w:vAlign w:val="center"/>
          </w:tcPr>
          <w:p w14:paraId="0435B8A3"/>
        </w:tc>
        <w:tc>
          <w:tcPr>
            <w:tcW w:w="881" w:type="dxa"/>
            <w:vMerge w:val="continue"/>
            <w:tcBorders>
              <w:top w:val="nil"/>
              <w:left w:val="single" w:color="auto" w:sz="4" w:space="0"/>
              <w:bottom w:val="nil"/>
              <w:right w:val="single" w:color="auto" w:sz="4" w:space="0"/>
              <w:tl2br w:val="nil"/>
              <w:tr2bl w:val="nil"/>
            </w:tcBorders>
            <w:vAlign w:val="center"/>
          </w:tcPr>
          <w:p w14:paraId="518C900F"/>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2F923474">
            <w:pPr>
              <w:widowControl/>
              <w:jc w:val="center"/>
              <w:textAlignment w:val="center"/>
              <w:rPr>
                <w:rFonts w:ascii="宋体" w:hAnsi="宋体" w:cs="宋体"/>
                <w:color w:val="000000"/>
                <w:sz w:val="20"/>
                <w:szCs w:val="20"/>
              </w:rPr>
            </w:pPr>
            <w:r>
              <w:rPr>
                <w:rFonts w:hint="eastAsia" w:ascii="宋体" w:hAnsi="宋体" w:cs="宋体"/>
                <w:color w:val="000000"/>
                <w:sz w:val="20"/>
                <w:szCs w:val="20"/>
              </w:rPr>
              <w:t>可持续影响</w:t>
            </w:r>
          </w:p>
          <w:p w14:paraId="5DF9E53C">
            <w:pPr>
              <w:pStyle w:val="2"/>
              <w:ind w:firstLine="400"/>
            </w:pPr>
            <w:r>
              <w:rPr>
                <w:rFonts w:hint="eastAsia" w:ascii="宋体" w:hAnsi="宋体" w:cs="宋体"/>
                <w:color w:val="000000"/>
                <w:sz w:val="20"/>
                <w:szCs w:val="20"/>
              </w:rPr>
              <w:t>（10）</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35E18066">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持续</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40B453D6">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continue"/>
            <w:tcBorders>
              <w:top w:val="nil"/>
              <w:left w:val="single" w:color="auto" w:sz="4" w:space="0"/>
              <w:bottom w:val="nil"/>
              <w:right w:val="single" w:color="auto" w:sz="4" w:space="0"/>
              <w:tl2br w:val="nil"/>
              <w:tr2bl w:val="nil"/>
            </w:tcBorders>
            <w:vAlign w:val="center"/>
          </w:tcPr>
          <w:p w14:paraId="6478DC0E"/>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24E26ADB">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9.5</w:t>
            </w:r>
          </w:p>
        </w:tc>
      </w:tr>
      <w:tr w14:paraId="3B32061F">
        <w:tblPrEx>
          <w:tblCellMar>
            <w:top w:w="15" w:type="dxa"/>
            <w:left w:w="15" w:type="dxa"/>
            <w:bottom w:w="15" w:type="dxa"/>
            <w:right w:w="15" w:type="dxa"/>
          </w:tblCellMar>
        </w:tblPrEx>
        <w:trPr>
          <w:trHeight w:val="270" w:hRule="atLeast"/>
        </w:trPr>
        <w:tc>
          <w:tcPr>
            <w:tcW w:w="630" w:type="dxa"/>
            <w:vMerge w:val="continue"/>
            <w:tcBorders>
              <w:top w:val="nil"/>
              <w:left w:val="single" w:color="auto" w:sz="4" w:space="0"/>
              <w:bottom w:val="single" w:color="auto" w:sz="4" w:space="0"/>
              <w:right w:val="single" w:color="auto" w:sz="4" w:space="0"/>
              <w:tl2br w:val="nil"/>
              <w:tr2bl w:val="nil"/>
            </w:tcBorders>
            <w:vAlign w:val="center"/>
          </w:tcPr>
          <w:p w14:paraId="40279B5E"/>
        </w:tc>
        <w:tc>
          <w:tcPr>
            <w:tcW w:w="881" w:type="dxa"/>
            <w:vMerge w:val="continue"/>
            <w:tcBorders>
              <w:top w:val="nil"/>
              <w:left w:val="single" w:color="auto" w:sz="4" w:space="0"/>
              <w:bottom w:val="single" w:color="auto" w:sz="4" w:space="0"/>
              <w:right w:val="single" w:color="auto" w:sz="4" w:space="0"/>
              <w:tl2br w:val="nil"/>
              <w:tr2bl w:val="nil"/>
            </w:tcBorders>
            <w:vAlign w:val="center"/>
          </w:tcPr>
          <w:p w14:paraId="167D0FCF"/>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08D925E3">
            <w:pPr>
              <w:widowControl/>
              <w:jc w:val="center"/>
              <w:textAlignment w:val="center"/>
              <w:rPr>
                <w:rFonts w:ascii="宋体" w:hAnsi="宋体" w:cs="宋体"/>
                <w:color w:val="000000"/>
                <w:sz w:val="20"/>
                <w:szCs w:val="20"/>
              </w:rPr>
            </w:pPr>
            <w:r>
              <w:rPr>
                <w:rFonts w:hint="eastAsia" w:ascii="宋体" w:hAnsi="宋体" w:cs="宋体"/>
                <w:color w:val="000000"/>
                <w:sz w:val="20"/>
                <w:szCs w:val="20"/>
              </w:rPr>
              <w:t>服务对象满意度（10）</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7E824BC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68F423F9">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基本达成</w:t>
            </w:r>
          </w:p>
        </w:tc>
        <w:tc>
          <w:tcPr>
            <w:tcW w:w="5746" w:type="dxa"/>
            <w:vMerge w:val="continue"/>
            <w:tcBorders>
              <w:top w:val="nil"/>
              <w:left w:val="single" w:color="auto" w:sz="4" w:space="0"/>
              <w:bottom w:val="single" w:color="auto" w:sz="4" w:space="0"/>
              <w:right w:val="single" w:color="auto" w:sz="4" w:space="0"/>
              <w:tl2br w:val="nil"/>
              <w:tr2bl w:val="nil"/>
            </w:tcBorders>
            <w:vAlign w:val="center"/>
          </w:tcPr>
          <w:p w14:paraId="191D9ED2"/>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483BD468">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9</w:t>
            </w:r>
          </w:p>
        </w:tc>
      </w:tr>
      <w:tr w14:paraId="608A2357">
        <w:tblPrEx>
          <w:tblCellMar>
            <w:top w:w="15" w:type="dxa"/>
            <w:left w:w="15" w:type="dxa"/>
            <w:bottom w:w="15" w:type="dxa"/>
            <w:right w:w="15" w:type="dxa"/>
          </w:tblCellMar>
        </w:tblPrEx>
        <w:trPr>
          <w:trHeight w:val="595" w:hRule="atLeast"/>
        </w:trPr>
        <w:tc>
          <w:tcPr>
            <w:tcW w:w="12780" w:type="dxa"/>
            <w:gridSpan w:val="7"/>
            <w:tcBorders>
              <w:top w:val="single" w:color="auto" w:sz="4" w:space="0"/>
              <w:left w:val="single" w:color="auto" w:sz="4" w:space="0"/>
              <w:bottom w:val="single" w:color="auto" w:sz="4" w:space="0"/>
              <w:right w:val="single" w:color="auto" w:sz="4" w:space="0"/>
              <w:tl2br w:val="nil"/>
              <w:tr2bl w:val="nil"/>
            </w:tcBorders>
            <w:vAlign w:val="center"/>
          </w:tcPr>
          <w:p w14:paraId="629F5603">
            <w:pPr>
              <w:widowControl/>
              <w:jc w:val="left"/>
              <w:textAlignment w:val="center"/>
              <w:rPr>
                <w:rFonts w:ascii="宋体" w:hAnsi="宋体" w:cs="宋体"/>
                <w:color w:val="000000"/>
                <w:kern w:val="0"/>
                <w:sz w:val="20"/>
                <w:szCs w:val="20"/>
              </w:rPr>
            </w:pPr>
            <w:r>
              <w:rPr>
                <w:rStyle w:val="23"/>
              </w:rPr>
              <w:t>三、预算管理情况（20分）</w:t>
            </w:r>
          </w:p>
        </w:tc>
      </w:tr>
      <w:tr w14:paraId="67ADE0DA">
        <w:tblPrEx>
          <w:tblCellMar>
            <w:top w:w="15" w:type="dxa"/>
            <w:left w:w="15" w:type="dxa"/>
            <w:bottom w:w="15" w:type="dxa"/>
            <w:right w:w="15" w:type="dxa"/>
          </w:tblCellMar>
        </w:tblPrEx>
        <w:trPr>
          <w:trHeight w:val="686" w:hRule="atLeast"/>
        </w:trPr>
        <w:tc>
          <w:tcPr>
            <w:tcW w:w="630" w:type="dxa"/>
            <w:tcBorders>
              <w:top w:val="single" w:color="auto" w:sz="4" w:space="0"/>
              <w:left w:val="single" w:color="auto" w:sz="4" w:space="0"/>
              <w:bottom w:val="single" w:color="auto" w:sz="4" w:space="0"/>
              <w:right w:val="single" w:color="auto" w:sz="4" w:space="0"/>
              <w:tl2br w:val="nil"/>
              <w:tr2bl w:val="nil"/>
            </w:tcBorders>
            <w:vAlign w:val="center"/>
          </w:tcPr>
          <w:p w14:paraId="01B3C858">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一级指标</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3A808003">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二级指标</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7401A6F6">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三级指标</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5C6CACD6">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指标值</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524AC135">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完成值</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32E5252C">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1605B279">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得分</w:t>
            </w:r>
          </w:p>
        </w:tc>
      </w:tr>
      <w:tr w14:paraId="2EF384CA">
        <w:tblPrEx>
          <w:tblCellMar>
            <w:top w:w="15" w:type="dxa"/>
            <w:left w:w="15" w:type="dxa"/>
            <w:bottom w:w="15" w:type="dxa"/>
            <w:right w:w="15" w:type="dxa"/>
          </w:tblCellMar>
        </w:tblPrEx>
        <w:trPr>
          <w:trHeight w:val="1438" w:hRule="atLeast"/>
        </w:trPr>
        <w:tc>
          <w:tcPr>
            <w:tcW w:w="630"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7F0267AD">
            <w:pPr>
              <w:widowControl/>
              <w:jc w:val="center"/>
              <w:textAlignment w:val="center"/>
              <w:rPr>
                <w:rFonts w:ascii="宋体" w:hAnsi="宋体" w:cs="宋体"/>
                <w:color w:val="000000"/>
                <w:sz w:val="20"/>
                <w:szCs w:val="20"/>
              </w:rPr>
            </w:pPr>
            <w:r>
              <w:rPr>
                <w:rStyle w:val="23"/>
              </w:rPr>
              <w:t>预算管理情况</w:t>
            </w:r>
            <w:r>
              <w:rPr>
                <w:rStyle w:val="23"/>
              </w:rPr>
              <w:br w:type="textWrapping"/>
            </w:r>
            <w:r>
              <w:rPr>
                <w:rStyle w:val="23"/>
              </w:rPr>
              <w:t>（20）</w:t>
            </w:r>
          </w:p>
        </w:tc>
        <w:tc>
          <w:tcPr>
            <w:tcW w:w="881" w:type="dxa"/>
            <w:vMerge w:val="restart"/>
            <w:tcBorders>
              <w:top w:val="single" w:color="auto" w:sz="4" w:space="0"/>
              <w:left w:val="single" w:color="auto" w:sz="4" w:space="0"/>
              <w:bottom w:val="nil"/>
              <w:right w:val="single" w:color="auto" w:sz="4" w:space="0"/>
              <w:tl2br w:val="nil"/>
              <w:tr2bl w:val="nil"/>
            </w:tcBorders>
            <w:vAlign w:val="center"/>
          </w:tcPr>
          <w:p w14:paraId="40AB4480">
            <w:pPr>
              <w:widowControl/>
              <w:jc w:val="center"/>
              <w:textAlignment w:val="center"/>
              <w:rPr>
                <w:rFonts w:ascii="宋体" w:hAnsi="宋体" w:cs="宋体"/>
                <w:color w:val="000000"/>
                <w:sz w:val="20"/>
                <w:szCs w:val="20"/>
              </w:rPr>
            </w:pPr>
            <w:r>
              <w:rPr>
                <w:rStyle w:val="23"/>
              </w:rPr>
              <w:t>财务管理（4）</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75AF5A5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财务管理制度健全性（1）</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4CEC98E3">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健全</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252C6C7C">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健全</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5CD1CB35">
            <w:pPr>
              <w:widowControl/>
              <w:jc w:val="left"/>
              <w:textAlignment w:val="center"/>
              <w:rPr>
                <w:rFonts w:ascii="宋体" w:hAnsi="宋体" w:cs="宋体"/>
                <w:color w:val="000000"/>
                <w:sz w:val="20"/>
                <w:szCs w:val="20"/>
              </w:rPr>
            </w:pPr>
            <w:r>
              <w:rPr>
                <w:rStyle w:val="25"/>
                <w:sz w:val="20"/>
                <w:szCs w:val="20"/>
              </w:rPr>
              <w:t>①预算资金管理办法、绩效跟踪管理办法、资产管理办法等各项制度是否健全；②部门内部财务管理制度是否完整、合规；③会计核算制度是否完整、合规。每有一项不合格扣0.5分，扣完为止。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0E0E1DA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r>
      <w:tr w14:paraId="1CAF2EE5">
        <w:tblPrEx>
          <w:tblCellMar>
            <w:top w:w="15" w:type="dxa"/>
            <w:left w:w="15" w:type="dxa"/>
            <w:bottom w:w="15" w:type="dxa"/>
            <w:right w:w="15" w:type="dxa"/>
          </w:tblCellMar>
        </w:tblPrEx>
        <w:trPr>
          <w:trHeight w:val="2224" w:hRule="atLeast"/>
        </w:trPr>
        <w:tc>
          <w:tcPr>
            <w:tcW w:w="630"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0080EC1"/>
        </w:tc>
        <w:tc>
          <w:tcPr>
            <w:tcW w:w="881" w:type="dxa"/>
            <w:vMerge w:val="continue"/>
            <w:tcBorders>
              <w:top w:val="nil"/>
              <w:left w:val="single" w:color="auto" w:sz="4" w:space="0"/>
              <w:bottom w:val="single" w:color="auto" w:sz="4" w:space="0"/>
              <w:right w:val="single" w:color="auto" w:sz="4" w:space="0"/>
              <w:tl2br w:val="nil"/>
              <w:tr2bl w:val="nil"/>
            </w:tcBorders>
            <w:vAlign w:val="center"/>
          </w:tcPr>
          <w:p w14:paraId="06A12DA4"/>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C2BA98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资金使用合规性和安全性（2）</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23124F91">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资金使用合规安全</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7AF8FAE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资金使用合规安全</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78697AAE">
            <w:pPr>
              <w:widowControl/>
              <w:jc w:val="left"/>
              <w:textAlignment w:val="center"/>
              <w:rPr>
                <w:rFonts w:ascii="宋体" w:hAnsi="宋体" w:cs="宋体"/>
                <w:color w:val="000000"/>
                <w:sz w:val="20"/>
                <w:szCs w:val="20"/>
              </w:rPr>
            </w:pPr>
            <w:r>
              <w:rPr>
                <w:rStyle w:val="25"/>
                <w:sz w:val="20"/>
                <w:szCs w:val="20"/>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68B085F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r>
      <w:tr w14:paraId="51B9F85E">
        <w:tblPrEx>
          <w:tblCellMar>
            <w:top w:w="15" w:type="dxa"/>
            <w:left w:w="15" w:type="dxa"/>
            <w:bottom w:w="15" w:type="dxa"/>
            <w:right w:w="15" w:type="dxa"/>
          </w:tblCellMar>
        </w:tblPrEx>
        <w:trPr>
          <w:trHeight w:val="1045" w:hRule="atLeast"/>
        </w:trPr>
        <w:tc>
          <w:tcPr>
            <w:tcW w:w="630" w:type="dxa"/>
            <w:tcBorders>
              <w:top w:val="single" w:color="auto" w:sz="4" w:space="0"/>
              <w:left w:val="single" w:color="auto" w:sz="4" w:space="0"/>
              <w:bottom w:val="single" w:color="auto" w:sz="4" w:space="0"/>
              <w:right w:val="single" w:color="auto" w:sz="4" w:space="0"/>
              <w:tl2br w:val="nil"/>
              <w:tr2bl w:val="nil"/>
            </w:tcBorders>
            <w:vAlign w:val="center"/>
          </w:tcPr>
          <w:p w14:paraId="48B78DFC">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一级指标</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55AEB30C">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二级指标</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2DBD0A20">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三级指标</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204639F1">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指标值</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0B3EDF78">
            <w:pPr>
              <w:widowControl/>
              <w:jc w:val="center"/>
              <w:textAlignment w:val="center"/>
              <w:rPr>
                <w:rFonts w:ascii="宋体" w:hAnsi="宋体" w:cs="宋体"/>
                <w:b/>
                <w:color w:val="000000"/>
                <w:kern w:val="0"/>
                <w:sz w:val="20"/>
                <w:szCs w:val="20"/>
              </w:rPr>
            </w:pPr>
            <w:r>
              <w:rPr>
                <w:rFonts w:hint="eastAsia" w:ascii="宋体" w:hAnsi="宋体" w:cs="宋体"/>
                <w:b/>
                <w:color w:val="000000"/>
                <w:kern w:val="0"/>
                <w:sz w:val="20"/>
                <w:szCs w:val="20"/>
              </w:rPr>
              <w:t>完成值</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3CD1B771">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03D6AE8D">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rPr>
              <w:t>得分</w:t>
            </w:r>
          </w:p>
        </w:tc>
      </w:tr>
      <w:tr w14:paraId="28737F8B">
        <w:tblPrEx>
          <w:tblCellMar>
            <w:top w:w="15" w:type="dxa"/>
            <w:left w:w="15" w:type="dxa"/>
            <w:bottom w:w="15" w:type="dxa"/>
            <w:right w:w="15" w:type="dxa"/>
          </w:tblCellMar>
        </w:tblPrEx>
        <w:trPr>
          <w:trHeight w:val="865" w:hRule="atLeast"/>
        </w:trPr>
        <w:tc>
          <w:tcPr>
            <w:tcW w:w="630" w:type="dxa"/>
            <w:vMerge w:val="restart"/>
            <w:tcBorders>
              <w:top w:val="single" w:color="auto" w:sz="4" w:space="0"/>
              <w:left w:val="single" w:color="auto" w:sz="4" w:space="0"/>
              <w:bottom w:val="nil"/>
              <w:right w:val="single" w:color="auto" w:sz="4" w:space="0"/>
              <w:tl2br w:val="nil"/>
              <w:tr2bl w:val="nil"/>
            </w:tcBorders>
            <w:vAlign w:val="center"/>
          </w:tcPr>
          <w:p w14:paraId="3DD2E03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续上页</w:t>
            </w:r>
          </w:p>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0F9B47B7">
            <w:pPr>
              <w:jc w:val="center"/>
              <w:rPr>
                <w:rFonts w:ascii="宋体" w:hAnsi="宋体" w:cs="宋体"/>
                <w:color w:val="000000"/>
                <w:sz w:val="20"/>
                <w:szCs w:val="20"/>
              </w:rPr>
            </w:pPr>
            <w:r>
              <w:rPr>
                <w:rFonts w:hint="eastAsia" w:ascii="宋体" w:hAnsi="宋体" w:cs="宋体"/>
                <w:color w:val="000000"/>
                <w:sz w:val="20"/>
                <w:szCs w:val="20"/>
              </w:rPr>
              <w:t>续上页</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A11E42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会计基础信息完善性（1）</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16B9C7FA">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完善</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2F45F1D0">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完善</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333DBBC5">
            <w:pPr>
              <w:widowControl/>
              <w:jc w:val="left"/>
              <w:textAlignment w:val="center"/>
              <w:rPr>
                <w:rFonts w:ascii="宋体" w:hAnsi="宋体" w:cs="宋体"/>
                <w:color w:val="000000"/>
                <w:sz w:val="20"/>
                <w:szCs w:val="20"/>
              </w:rPr>
            </w:pPr>
            <w:r>
              <w:rPr>
                <w:rStyle w:val="25"/>
                <w:sz w:val="20"/>
                <w:szCs w:val="20"/>
              </w:rPr>
              <w:t>①基础数据信息和会计信息资料是否真实；②基础数据信息和会计信息资料是否完整；③基础数据信息和会计信息资料是否准确。每有一项不合格扣0.5分，扣完为止。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0CC061F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r>
      <w:tr w14:paraId="444D9800">
        <w:tblPrEx>
          <w:tblCellMar>
            <w:top w:w="15" w:type="dxa"/>
            <w:left w:w="15" w:type="dxa"/>
            <w:bottom w:w="15" w:type="dxa"/>
            <w:right w:w="15" w:type="dxa"/>
          </w:tblCellMar>
        </w:tblPrEx>
        <w:trPr>
          <w:trHeight w:val="1950" w:hRule="atLeast"/>
        </w:trPr>
        <w:tc>
          <w:tcPr>
            <w:tcW w:w="630" w:type="dxa"/>
            <w:vMerge w:val="continue"/>
            <w:tcBorders>
              <w:top w:val="nil"/>
              <w:left w:val="single" w:color="auto" w:sz="4" w:space="0"/>
              <w:bottom w:val="nil"/>
              <w:right w:val="single" w:color="auto" w:sz="4" w:space="0"/>
              <w:tl2br w:val="nil"/>
              <w:tr2bl w:val="nil"/>
            </w:tcBorders>
            <w:vAlign w:val="center"/>
          </w:tcPr>
          <w:p w14:paraId="645CDA94"/>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2847CC30">
            <w:pPr>
              <w:widowControl/>
              <w:jc w:val="center"/>
              <w:textAlignment w:val="center"/>
              <w:rPr>
                <w:rFonts w:ascii="宋体" w:hAnsi="宋体" w:cs="宋体"/>
                <w:color w:val="000000"/>
                <w:sz w:val="20"/>
                <w:szCs w:val="20"/>
              </w:rPr>
            </w:pPr>
            <w:r>
              <w:rPr>
                <w:rStyle w:val="23"/>
              </w:rPr>
              <w:t>资产管理</w:t>
            </w:r>
            <w:r>
              <w:rPr>
                <w:rStyle w:val="23"/>
              </w:rPr>
              <w:br w:type="textWrapping"/>
            </w:r>
            <w:r>
              <w:rPr>
                <w:rStyle w:val="23"/>
              </w:rPr>
              <w:t>（4）</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4FC6147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资产管理规范性（4）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38A12C30">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600F5DEF">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292A3CC3">
            <w:pPr>
              <w:widowControl/>
              <w:jc w:val="left"/>
              <w:textAlignment w:val="center"/>
              <w:rPr>
                <w:rFonts w:ascii="宋体" w:hAnsi="宋体" w:cs="宋体"/>
                <w:color w:val="000000"/>
                <w:sz w:val="20"/>
                <w:szCs w:val="20"/>
              </w:rPr>
            </w:pPr>
            <w:r>
              <w:rPr>
                <w:rStyle w:val="24"/>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768191D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14:paraId="4C87BE0D">
        <w:tblPrEx>
          <w:tblCellMar>
            <w:top w:w="15" w:type="dxa"/>
            <w:left w:w="15" w:type="dxa"/>
            <w:bottom w:w="15" w:type="dxa"/>
            <w:right w:w="15" w:type="dxa"/>
          </w:tblCellMar>
        </w:tblPrEx>
        <w:trPr>
          <w:trHeight w:val="964" w:hRule="atLeast"/>
        </w:trPr>
        <w:tc>
          <w:tcPr>
            <w:tcW w:w="630" w:type="dxa"/>
            <w:vMerge w:val="continue"/>
            <w:tcBorders>
              <w:top w:val="nil"/>
              <w:left w:val="single" w:color="auto" w:sz="4" w:space="0"/>
              <w:bottom w:val="nil"/>
              <w:right w:val="single" w:color="auto" w:sz="4" w:space="0"/>
              <w:tl2br w:val="nil"/>
              <w:tr2bl w:val="nil"/>
            </w:tcBorders>
            <w:vAlign w:val="center"/>
          </w:tcPr>
          <w:p w14:paraId="66BCFCE5"/>
        </w:tc>
        <w:tc>
          <w:tcPr>
            <w:tcW w:w="881" w:type="dxa"/>
            <w:tcBorders>
              <w:top w:val="single" w:color="auto" w:sz="4" w:space="0"/>
              <w:left w:val="single" w:color="auto" w:sz="4" w:space="0"/>
              <w:bottom w:val="single" w:color="auto" w:sz="4" w:space="0"/>
              <w:right w:val="single" w:color="auto" w:sz="4" w:space="0"/>
              <w:tl2br w:val="nil"/>
              <w:tr2bl w:val="nil"/>
            </w:tcBorders>
            <w:vAlign w:val="center"/>
          </w:tcPr>
          <w:p w14:paraId="4ABCAF06">
            <w:pPr>
              <w:widowControl/>
              <w:jc w:val="center"/>
              <w:textAlignment w:val="center"/>
              <w:rPr>
                <w:rFonts w:ascii="宋体" w:hAnsi="宋体" w:cs="宋体"/>
                <w:color w:val="000000"/>
                <w:sz w:val="20"/>
                <w:szCs w:val="20"/>
              </w:rPr>
            </w:pPr>
            <w:r>
              <w:rPr>
                <w:rStyle w:val="23"/>
              </w:rPr>
              <w:t>绩效管理</w:t>
            </w:r>
            <w:r>
              <w:rPr>
                <w:rStyle w:val="23"/>
              </w:rPr>
              <w:br w:type="textWrapping"/>
            </w:r>
            <w:r>
              <w:rPr>
                <w:rStyle w:val="23"/>
              </w:rPr>
              <w:t>（4）</w:t>
            </w:r>
          </w:p>
        </w:tc>
        <w:tc>
          <w:tcPr>
            <w:tcW w:w="1308" w:type="dxa"/>
            <w:tcBorders>
              <w:top w:val="single" w:color="auto" w:sz="4" w:space="0"/>
              <w:left w:val="single" w:color="auto" w:sz="4" w:space="0"/>
              <w:bottom w:val="single" w:color="auto" w:sz="4" w:space="0"/>
              <w:right w:val="single" w:color="auto" w:sz="4" w:space="0"/>
              <w:tl2br w:val="nil"/>
              <w:tr2bl w:val="nil"/>
            </w:tcBorders>
            <w:vAlign w:val="center"/>
          </w:tcPr>
          <w:p w14:paraId="3C2B185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绩效管理情况</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5869C5D8">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604FBE5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6B9EF588">
            <w:pPr>
              <w:widowControl/>
              <w:jc w:val="left"/>
              <w:textAlignment w:val="center"/>
              <w:rPr>
                <w:rFonts w:ascii="宋体" w:hAnsi="宋体" w:cs="宋体"/>
                <w:color w:val="000000"/>
                <w:sz w:val="20"/>
                <w:szCs w:val="20"/>
              </w:rPr>
            </w:pPr>
            <w:r>
              <w:rPr>
                <w:rStyle w:val="25"/>
                <w:sz w:val="20"/>
                <w:szCs w:val="20"/>
              </w:rPr>
              <w:t>①部门（单位）是否及时对绩效信息进行汇总分析整理；②部门（单位）是否对绩效目标偏离情况及时进行矫正。每有一项不合格扣2分。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73620433">
            <w:pPr>
              <w:widowControl/>
              <w:jc w:val="center"/>
              <w:textAlignment w:val="center"/>
              <w:rPr>
                <w:rFonts w:ascii="宋体" w:hAnsi="宋体" w:cs="宋体"/>
                <w:color w:val="000000"/>
                <w:sz w:val="20"/>
                <w:szCs w:val="20"/>
              </w:rPr>
            </w:pPr>
            <w:r>
              <w:rPr>
                <w:rFonts w:hint="eastAsia" w:ascii="宋体" w:hAnsi="宋体" w:cs="宋体"/>
                <w:color w:val="000000"/>
                <w:sz w:val="20"/>
                <w:szCs w:val="20"/>
              </w:rPr>
              <w:t>2</w:t>
            </w:r>
          </w:p>
        </w:tc>
      </w:tr>
      <w:tr w14:paraId="1DF1D48C">
        <w:tblPrEx>
          <w:tblCellMar>
            <w:top w:w="15" w:type="dxa"/>
            <w:left w:w="15" w:type="dxa"/>
            <w:bottom w:w="15" w:type="dxa"/>
            <w:right w:w="15" w:type="dxa"/>
          </w:tblCellMar>
        </w:tblPrEx>
        <w:trPr>
          <w:trHeight w:val="556" w:hRule="atLeast"/>
        </w:trPr>
        <w:tc>
          <w:tcPr>
            <w:tcW w:w="630" w:type="dxa"/>
            <w:vMerge w:val="continue"/>
            <w:tcBorders>
              <w:top w:val="nil"/>
              <w:left w:val="single" w:color="auto" w:sz="4" w:space="0"/>
              <w:bottom w:val="nil"/>
              <w:right w:val="single" w:color="auto" w:sz="4" w:space="0"/>
              <w:tl2br w:val="nil"/>
              <w:tr2bl w:val="nil"/>
            </w:tcBorders>
            <w:vAlign w:val="center"/>
          </w:tcPr>
          <w:p w14:paraId="58A87616"/>
        </w:tc>
        <w:tc>
          <w:tcPr>
            <w:tcW w:w="21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D623CD">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307B3B41">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2023</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0076A25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2024</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0237AD62">
            <w:pPr>
              <w:widowControl/>
              <w:jc w:val="center"/>
              <w:textAlignment w:val="center"/>
              <w:rPr>
                <w:rStyle w:val="24"/>
              </w:rPr>
            </w:pPr>
            <w:r>
              <w:rPr>
                <w:rStyle w:val="24"/>
              </w:rPr>
              <w:t>评分标准</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7B4AACD9">
            <w:pPr>
              <w:widowControl/>
              <w:jc w:val="center"/>
              <w:textAlignment w:val="center"/>
              <w:rPr>
                <w:rFonts w:ascii="宋体" w:hAnsi="宋体" w:cs="宋体"/>
                <w:color w:val="000000"/>
                <w:sz w:val="20"/>
                <w:szCs w:val="20"/>
              </w:rPr>
            </w:pPr>
            <w:r>
              <w:rPr>
                <w:rFonts w:hint="eastAsia" w:ascii="宋体" w:hAnsi="宋体" w:cs="宋体"/>
                <w:color w:val="000000"/>
                <w:sz w:val="20"/>
                <w:szCs w:val="20"/>
              </w:rPr>
              <w:t>得分</w:t>
            </w:r>
          </w:p>
        </w:tc>
      </w:tr>
      <w:tr w14:paraId="1FAEFC56">
        <w:tblPrEx>
          <w:tblCellMar>
            <w:top w:w="15" w:type="dxa"/>
            <w:left w:w="15" w:type="dxa"/>
            <w:bottom w:w="15" w:type="dxa"/>
            <w:right w:w="15" w:type="dxa"/>
          </w:tblCellMar>
        </w:tblPrEx>
        <w:trPr>
          <w:trHeight w:val="823" w:hRule="atLeast"/>
        </w:trPr>
        <w:tc>
          <w:tcPr>
            <w:tcW w:w="630" w:type="dxa"/>
            <w:vMerge w:val="continue"/>
            <w:tcBorders>
              <w:top w:val="nil"/>
              <w:left w:val="single" w:color="auto" w:sz="4" w:space="0"/>
              <w:bottom w:val="nil"/>
              <w:right w:val="single" w:color="auto" w:sz="4" w:space="0"/>
              <w:tl2br w:val="nil"/>
              <w:tr2bl w:val="nil"/>
            </w:tcBorders>
            <w:vAlign w:val="center"/>
          </w:tcPr>
          <w:p w14:paraId="7CD442C1"/>
        </w:tc>
        <w:tc>
          <w:tcPr>
            <w:tcW w:w="21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30B565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结转结余率（4）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18178107">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18.72%</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555E32FB">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11.90%</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436D48A1">
            <w:pPr>
              <w:widowControl/>
              <w:jc w:val="left"/>
              <w:textAlignment w:val="center"/>
              <w:rPr>
                <w:rFonts w:ascii="宋体" w:hAnsi="宋体" w:cs="宋体"/>
                <w:color w:val="000000"/>
                <w:sz w:val="20"/>
                <w:szCs w:val="20"/>
              </w:rPr>
            </w:pPr>
            <w:r>
              <w:rPr>
                <w:rStyle w:val="24"/>
              </w:rPr>
              <w:t>部门结转结余率低于上年的不扣分；高于上年结余率的，每高出1个百分点扣0.4分，扣完为止。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00B7F749">
            <w:pPr>
              <w:widowControl/>
              <w:jc w:val="center"/>
              <w:textAlignment w:val="center"/>
              <w:rPr>
                <w:rFonts w:ascii="宋体" w:hAnsi="宋体" w:cs="宋体"/>
                <w:color w:val="000000"/>
                <w:sz w:val="20"/>
                <w:szCs w:val="20"/>
              </w:rPr>
            </w:pPr>
            <w:r>
              <w:rPr>
                <w:rFonts w:hint="eastAsia" w:ascii="宋体" w:hAnsi="宋体" w:cs="宋体"/>
                <w:color w:val="000000"/>
                <w:sz w:val="20"/>
                <w:szCs w:val="20"/>
              </w:rPr>
              <w:t>4</w:t>
            </w:r>
          </w:p>
        </w:tc>
      </w:tr>
      <w:tr w14:paraId="26270ADA">
        <w:tblPrEx>
          <w:tblCellMar>
            <w:top w:w="15" w:type="dxa"/>
            <w:left w:w="15" w:type="dxa"/>
            <w:bottom w:w="15" w:type="dxa"/>
            <w:right w:w="15" w:type="dxa"/>
          </w:tblCellMar>
        </w:tblPrEx>
        <w:trPr>
          <w:trHeight w:val="1098" w:hRule="atLeast"/>
        </w:trPr>
        <w:tc>
          <w:tcPr>
            <w:tcW w:w="630" w:type="dxa"/>
            <w:vMerge w:val="continue"/>
            <w:tcBorders>
              <w:top w:val="nil"/>
              <w:left w:val="single" w:color="auto" w:sz="4" w:space="0"/>
              <w:bottom w:val="single" w:color="auto" w:sz="4" w:space="0"/>
              <w:right w:val="single" w:color="auto" w:sz="4" w:space="0"/>
              <w:tl2br w:val="nil"/>
              <w:tr2bl w:val="nil"/>
            </w:tcBorders>
            <w:vAlign w:val="center"/>
          </w:tcPr>
          <w:p w14:paraId="36A1495E"/>
        </w:tc>
        <w:tc>
          <w:tcPr>
            <w:tcW w:w="21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324F43E">
            <w:pPr>
              <w:widowControl/>
              <w:jc w:val="center"/>
              <w:textAlignment w:val="center"/>
              <w:rPr>
                <w:rFonts w:ascii="宋体" w:hAnsi="宋体" w:cs="宋体"/>
                <w:color w:val="000000"/>
                <w:sz w:val="20"/>
                <w:szCs w:val="20"/>
              </w:rPr>
            </w:pPr>
            <w:r>
              <w:rPr>
                <w:rStyle w:val="23"/>
              </w:rPr>
              <w:t>部门预决算差异率（4）</w:t>
            </w:r>
          </w:p>
        </w:tc>
        <w:tc>
          <w:tcPr>
            <w:tcW w:w="1360" w:type="dxa"/>
            <w:tcBorders>
              <w:top w:val="single" w:color="auto" w:sz="4" w:space="0"/>
              <w:left w:val="single" w:color="auto" w:sz="4" w:space="0"/>
              <w:bottom w:val="single" w:color="auto" w:sz="4" w:space="0"/>
              <w:right w:val="single" w:color="auto" w:sz="4" w:space="0"/>
              <w:tl2br w:val="nil"/>
              <w:tr2bl w:val="nil"/>
            </w:tcBorders>
            <w:vAlign w:val="center"/>
          </w:tcPr>
          <w:p w14:paraId="602C3057">
            <w:pPr>
              <w:widowControl/>
              <w:jc w:val="center"/>
              <w:textAlignment w:val="center"/>
              <w:rPr>
                <w:rStyle w:val="23"/>
              </w:rPr>
            </w:pPr>
            <w:r>
              <w:rPr>
                <w:rStyle w:val="23"/>
              </w:rPr>
              <w:t>——</w:t>
            </w:r>
          </w:p>
        </w:tc>
        <w:tc>
          <w:tcPr>
            <w:tcW w:w="1480" w:type="dxa"/>
            <w:tcBorders>
              <w:top w:val="single" w:color="auto" w:sz="4" w:space="0"/>
              <w:left w:val="single" w:color="auto" w:sz="4" w:space="0"/>
              <w:bottom w:val="single" w:color="auto" w:sz="4" w:space="0"/>
              <w:right w:val="single" w:color="auto" w:sz="4" w:space="0"/>
              <w:tl2br w:val="nil"/>
              <w:tr2bl w:val="nil"/>
            </w:tcBorders>
            <w:vAlign w:val="center"/>
          </w:tcPr>
          <w:p w14:paraId="6D1A020A">
            <w:pPr>
              <w:widowControl/>
              <w:jc w:val="center"/>
              <w:textAlignment w:val="center"/>
              <w:rPr>
                <w:rStyle w:val="23"/>
                <w:rFonts w:hint="default" w:eastAsia="宋体"/>
                <w:lang w:val="en-US" w:eastAsia="zh-CN"/>
              </w:rPr>
            </w:pPr>
            <w:r>
              <w:rPr>
                <w:rStyle w:val="23"/>
                <w:rFonts w:hint="eastAsia"/>
                <w:lang w:val="en-US" w:eastAsia="zh-CN"/>
              </w:rPr>
              <w:t>10.31%</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23786ED5">
            <w:pPr>
              <w:widowControl/>
              <w:jc w:val="left"/>
              <w:textAlignment w:val="center"/>
              <w:rPr>
                <w:rFonts w:ascii="宋体" w:hAnsi="宋体" w:cs="宋体"/>
                <w:color w:val="000000"/>
                <w:sz w:val="20"/>
                <w:szCs w:val="20"/>
              </w:rPr>
            </w:pPr>
            <w:r>
              <w:rPr>
                <w:rStyle w:val="23"/>
              </w:rPr>
              <w:t>部门预决算差异率高于市级平均差异率的，每高出10%（含），扣0.4分，扣完为止。</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44F262E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14:paraId="7B62AB71">
        <w:tblPrEx>
          <w:tblCellMar>
            <w:top w:w="15" w:type="dxa"/>
            <w:left w:w="15" w:type="dxa"/>
            <w:bottom w:w="15" w:type="dxa"/>
            <w:right w:w="15" w:type="dxa"/>
          </w:tblCellMar>
        </w:tblPrEx>
        <w:trPr>
          <w:trHeight w:val="588" w:hRule="atLeast"/>
        </w:trPr>
        <w:tc>
          <w:tcPr>
            <w:tcW w:w="565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EFC9EE">
            <w:pPr>
              <w:widowControl/>
              <w:jc w:val="center"/>
              <w:textAlignment w:val="center"/>
              <w:rPr>
                <w:rStyle w:val="23"/>
                <w:b/>
                <w:bCs/>
              </w:rPr>
            </w:pPr>
            <w:r>
              <w:rPr>
                <w:rStyle w:val="23"/>
                <w:b/>
                <w:bCs/>
              </w:rPr>
              <w:t>合计：</w:t>
            </w:r>
          </w:p>
        </w:tc>
        <w:tc>
          <w:tcPr>
            <w:tcW w:w="5746" w:type="dxa"/>
            <w:tcBorders>
              <w:top w:val="single" w:color="auto" w:sz="4" w:space="0"/>
              <w:left w:val="single" w:color="auto" w:sz="4" w:space="0"/>
              <w:bottom w:val="single" w:color="auto" w:sz="4" w:space="0"/>
              <w:right w:val="single" w:color="auto" w:sz="4" w:space="0"/>
              <w:tl2br w:val="nil"/>
              <w:tr2bl w:val="nil"/>
            </w:tcBorders>
            <w:vAlign w:val="center"/>
          </w:tcPr>
          <w:p w14:paraId="5740B140">
            <w:pPr>
              <w:widowControl/>
              <w:jc w:val="center"/>
              <w:textAlignment w:val="center"/>
              <w:rPr>
                <w:rStyle w:val="23"/>
                <w:b/>
                <w:bCs/>
              </w:rPr>
            </w:pPr>
            <w:r>
              <w:rPr>
                <w:rStyle w:val="23"/>
                <w:b/>
                <w:bCs/>
              </w:rPr>
              <w:t>——</w:t>
            </w:r>
          </w:p>
        </w:tc>
        <w:tc>
          <w:tcPr>
            <w:tcW w:w="1375" w:type="dxa"/>
            <w:tcBorders>
              <w:top w:val="single" w:color="auto" w:sz="4" w:space="0"/>
              <w:left w:val="single" w:color="auto" w:sz="4" w:space="0"/>
              <w:bottom w:val="single" w:color="auto" w:sz="4" w:space="0"/>
              <w:right w:val="single" w:color="auto" w:sz="4" w:space="0"/>
              <w:tl2br w:val="nil"/>
              <w:tr2bl w:val="nil"/>
            </w:tcBorders>
            <w:vAlign w:val="center"/>
          </w:tcPr>
          <w:p w14:paraId="4D473B7F">
            <w:pPr>
              <w:widowControl/>
              <w:jc w:val="center"/>
              <w:textAlignment w:val="center"/>
              <w:rPr>
                <w:rFonts w:ascii="宋体" w:hAnsi="宋体" w:cs="宋体"/>
                <w:b/>
                <w:bCs/>
                <w:color w:val="000000"/>
                <w:kern w:val="0"/>
                <w:sz w:val="20"/>
                <w:szCs w:val="20"/>
              </w:rPr>
            </w:pPr>
            <w:r>
              <w:rPr>
                <w:rFonts w:ascii="宋体" w:hAnsi="宋体" w:cs="宋体"/>
                <w:b/>
                <w:bCs/>
                <w:color w:val="000000"/>
                <w:kern w:val="0"/>
                <w:sz w:val="20"/>
                <w:szCs w:val="20"/>
              </w:rPr>
              <w:t>92.</w:t>
            </w:r>
            <w:r>
              <w:rPr>
                <w:rFonts w:hint="eastAsia" w:ascii="宋体" w:hAnsi="宋体" w:cs="宋体"/>
                <w:b/>
                <w:bCs/>
                <w:color w:val="000000"/>
                <w:kern w:val="0"/>
                <w:sz w:val="20"/>
                <w:szCs w:val="20"/>
              </w:rPr>
              <w:t>59</w:t>
            </w:r>
          </w:p>
        </w:tc>
      </w:tr>
    </w:tbl>
    <w:p w14:paraId="2C7F5657"/>
    <w:sectPr>
      <w:pgSz w:w="16838" w:h="11906" w:orient="landscape"/>
      <w:pgMar w:top="1531" w:right="2098" w:bottom="1531" w:left="1985"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2D0E6A-4EF1-4D99-A337-14E23B2E52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embedRegular r:id="rId2" w:fontKey="{A8EF2F4B-2590-4DCE-80F8-1AA865372BEB}"/>
  </w:font>
  <w:font w:name="仿宋_GB2312">
    <w:panose1 w:val="02010609030101010101"/>
    <w:charset w:val="86"/>
    <w:family w:val="modern"/>
    <w:pitch w:val="default"/>
    <w:sig w:usb0="00000001" w:usb1="080E0000" w:usb2="00000000" w:usb3="00000000" w:csb0="00040000" w:csb1="00000000"/>
    <w:embedRegular r:id="rId3" w:fontKey="{C7068466-C4A9-445E-8E26-EFC91AD61046}"/>
  </w:font>
  <w:font w:name="华文中宋">
    <w:panose1 w:val="02010600040101010101"/>
    <w:charset w:val="86"/>
    <w:family w:val="auto"/>
    <w:pitch w:val="default"/>
    <w:sig w:usb0="00000287" w:usb1="080F0000" w:usb2="00000000" w:usb3="00000000" w:csb0="0004009F" w:csb1="DFD70000"/>
    <w:embedRegular r:id="rId4" w:fontKey="{35D88693-870E-4BEB-BF1A-82C6E9791122}"/>
  </w:font>
  <w:font w:name="楷体_GB2312">
    <w:panose1 w:val="02010609030101010101"/>
    <w:charset w:val="86"/>
    <w:family w:val="modern"/>
    <w:pitch w:val="default"/>
    <w:sig w:usb0="00000001" w:usb1="080E0000" w:usb2="00000000" w:usb3="00000000" w:csb0="00040000" w:csb1="00000000"/>
    <w:embedRegular r:id="rId5" w:fontKey="{17EA0B56-D352-4BBC-BF81-4E71743FDFC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4E2F8">
    <w:pPr>
      <w:pStyle w:val="8"/>
    </w:pPr>
    <w:r>
      <w:pict>
        <v:rect id="文本框 1" o:spid="_x0000_s1026" o:spt="1" style="position:absolute;left:0pt;margin-top:0pt;height:10.35pt;width:15pt;mso-position-horizontal:center;mso-position-horizontal-relative:margin;mso-wrap-style:none;z-index:251659264;mso-width-relative:page;mso-height-relative:page;" filled="f" stroked="f" coordsize="21600,21600" o:gfxdata="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X+/mfRAAAAAwEAAA8AAAAAAAAAAQAgAAAAIgAAAGRycy9kb3ducmV2&#10;LnhtbFBLAQIUABQAAAAIAIdO4kD0kvM3AwIAAPQDAAAOAAAAAAAAAAEAIAAAACABAABkcnMvZTJv&#10;RG9jLnhtbFBLBQYAAAAABgAGAFkBAACVBQAAAAA=&#10;">
          <v:path/>
          <v:fill on="f" focussize="0,0"/>
          <v:stroke on="f"/>
          <v:imagedata o:title=""/>
          <o:lock v:ext="edit"/>
          <v:textbox inset="0mm,0mm,0mm,0mm" style="mso-fit-shape-to-text:t;">
            <w:txbxContent>
              <w:p w14:paraId="5A176D0C">
                <w:pPr>
                  <w:pStyle w:val="8"/>
                </w:pPr>
                <w:r>
                  <w:fldChar w:fldCharType="begin"/>
                </w:r>
                <w:r>
                  <w:instrText xml:space="preserve"> PAGE  \* MERGEFORMAT </w:instrText>
                </w:r>
                <w:r>
                  <w:fldChar w:fldCharType="separate"/>
                </w:r>
                <w:r>
                  <w:t>2</w:t>
                </w:r>
                <w: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ulTrailSpace/>
    <w:doNotExpandShiftReturn/>
    <w:adjustLineHeightInTable/>
    <w:useFELayout/>
    <w:compatSetting w:name="compatibilityMode" w:uri="http://schemas.microsoft.com/office/word" w:val="12"/>
  </w:compat>
  <w:rsids>
    <w:rsidRoot w:val="0058370D"/>
    <w:rsid w:val="003E68F9"/>
    <w:rsid w:val="0058370D"/>
    <w:rsid w:val="006C107F"/>
    <w:rsid w:val="00905E7F"/>
    <w:rsid w:val="04731DD5"/>
    <w:rsid w:val="0E390BE2"/>
    <w:rsid w:val="1EF6685C"/>
    <w:rsid w:val="1FB11D3B"/>
    <w:rsid w:val="25E863C9"/>
    <w:rsid w:val="27FF37BA"/>
    <w:rsid w:val="2E1856A1"/>
    <w:rsid w:val="33A81699"/>
    <w:rsid w:val="3ED156C2"/>
    <w:rsid w:val="412C07B8"/>
    <w:rsid w:val="467E000A"/>
    <w:rsid w:val="48655C50"/>
    <w:rsid w:val="4CB91BB2"/>
    <w:rsid w:val="4D6C7B95"/>
    <w:rsid w:val="4F2E704C"/>
    <w:rsid w:val="4FDF7053"/>
    <w:rsid w:val="52C54D8A"/>
    <w:rsid w:val="61D655E5"/>
    <w:rsid w:val="64F37F89"/>
    <w:rsid w:val="65BF72F2"/>
    <w:rsid w:val="67437EAC"/>
    <w:rsid w:val="68B7332E"/>
    <w:rsid w:val="7B4F485C"/>
    <w:rsid w:val="7CA554B7"/>
    <w:rsid w:val="7F000F23"/>
    <w:rsid w:val="DF1F5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qFormat/>
    <w:uiPriority w:val="0"/>
    <w:pPr>
      <w:keepNext/>
      <w:keepLines/>
      <w:spacing w:before="260" w:after="260" w:line="415" w:lineRule="auto"/>
      <w:outlineLvl w:val="1"/>
    </w:pPr>
    <w:rPr>
      <w:rFonts w:eastAsia="黑体"/>
      <w:b/>
      <w:bCs/>
      <w:sz w:val="32"/>
      <w:szCs w:val="32"/>
    </w:rPr>
  </w:style>
  <w:style w:type="paragraph" w:styleId="5">
    <w:name w:val="heading 3"/>
    <w:basedOn w:val="1"/>
    <w:next w:val="1"/>
    <w:link w:val="18"/>
    <w:qFormat/>
    <w:uiPriority w:val="0"/>
    <w:pPr>
      <w:keepNext/>
      <w:keepLines/>
      <w:spacing w:before="260" w:after="260" w:line="415"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 w:type="paragraph" w:styleId="6">
    <w:name w:val="annotation text"/>
    <w:basedOn w:val="1"/>
    <w:qFormat/>
    <w:uiPriority w:val="0"/>
    <w:pPr>
      <w:jc w:val="left"/>
    </w:pPr>
  </w:style>
  <w:style w:type="paragraph" w:styleId="7">
    <w:name w:val="Body Text"/>
    <w:basedOn w:val="1"/>
    <w:qFormat/>
    <w:uiPriority w:val="0"/>
    <w:rPr>
      <w:rFonts w:ascii="Calibri" w:hAnsi="Calibri" w:eastAsia="仿宋_GB2312"/>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toc 2"/>
    <w:basedOn w:val="1"/>
    <w:next w:val="1"/>
    <w:qFormat/>
    <w:uiPriority w:val="0"/>
    <w:pPr>
      <w:ind w:left="200" w:leftChars="200"/>
    </w:pPr>
  </w:style>
  <w:style w:type="paragraph" w:styleId="12">
    <w:name w:val="annotation subject"/>
    <w:basedOn w:val="6"/>
    <w:next w:val="6"/>
    <w:qFormat/>
    <w:uiPriority w:val="0"/>
    <w:rPr>
      <w:b/>
      <w:bCs/>
    </w:rPr>
  </w:style>
  <w:style w:type="character" w:styleId="15">
    <w:name w:val="annotation reference"/>
    <w:qFormat/>
    <w:uiPriority w:val="0"/>
    <w:rPr>
      <w:sz w:val="21"/>
      <w:szCs w:val="21"/>
    </w:rPr>
  </w:style>
  <w:style w:type="character" w:customStyle="1" w:styleId="16">
    <w:name w:val="标题 1 Char"/>
    <w:basedOn w:val="14"/>
    <w:link w:val="3"/>
    <w:qFormat/>
    <w:uiPriority w:val="0"/>
    <w:rPr>
      <w:rFonts w:ascii="Times New Roman" w:hAnsi="Times New Roman" w:eastAsia="宋体" w:cs="Times New Roman"/>
      <w:b/>
      <w:bCs/>
      <w:kern w:val="44"/>
      <w:sz w:val="44"/>
      <w:szCs w:val="44"/>
      <w:lang w:val="en-US" w:eastAsia="zh-CN" w:bidi="ar-SA"/>
    </w:rPr>
  </w:style>
  <w:style w:type="character" w:customStyle="1" w:styleId="17">
    <w:name w:val="标题 2 Char"/>
    <w:basedOn w:val="14"/>
    <w:link w:val="4"/>
    <w:qFormat/>
    <w:uiPriority w:val="0"/>
    <w:rPr>
      <w:rFonts w:ascii="Times New Roman" w:hAnsi="Times New Roman" w:eastAsia="黑体" w:cs="Times New Roman"/>
      <w:b/>
      <w:bCs/>
      <w:kern w:val="2"/>
      <w:sz w:val="32"/>
      <w:szCs w:val="32"/>
      <w:lang w:val="en-US" w:eastAsia="zh-CN" w:bidi="ar-SA"/>
    </w:rPr>
  </w:style>
  <w:style w:type="character" w:customStyle="1" w:styleId="18">
    <w:name w:val="标题 3 Char"/>
    <w:basedOn w:val="14"/>
    <w:link w:val="5"/>
    <w:qFormat/>
    <w:uiPriority w:val="0"/>
    <w:rPr>
      <w:rFonts w:ascii="Times New Roman" w:hAnsi="Times New Roman" w:eastAsia="宋体" w:cs="Times New Roman"/>
      <w:b/>
      <w:bCs/>
      <w:kern w:val="2"/>
      <w:sz w:val="32"/>
      <w:szCs w:val="32"/>
      <w:lang w:val="en-US" w:eastAsia="zh-CN" w:bidi="ar-SA"/>
    </w:rPr>
  </w:style>
  <w:style w:type="paragraph" w:customStyle="1" w:styleId="19">
    <w:name w:val="列表段落"/>
    <w:basedOn w:val="1"/>
    <w:qFormat/>
    <w:uiPriority w:val="0"/>
    <w:pPr>
      <w:ind w:firstLine="200" w:firstLineChars="200"/>
    </w:p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2">
    <w:name w:val="修订1"/>
    <w:qFormat/>
    <w:uiPriority w:val="0"/>
    <w:rPr>
      <w:rFonts w:ascii="Times New Roman" w:hAnsi="Times New Roman" w:eastAsia="宋体" w:cs="Times New Roman"/>
      <w:kern w:val="2"/>
      <w:sz w:val="21"/>
      <w:szCs w:val="24"/>
      <w:lang w:val="en-US" w:eastAsia="zh-CN" w:bidi="ar-SA"/>
    </w:rPr>
  </w:style>
  <w:style w:type="character" w:customStyle="1" w:styleId="23">
    <w:name w:val="font41"/>
    <w:qFormat/>
    <w:uiPriority w:val="0"/>
    <w:rPr>
      <w:rFonts w:ascii="宋体" w:hAnsi="宋体" w:eastAsia="宋体" w:cs="宋体"/>
      <w:color w:val="000000"/>
      <w:sz w:val="20"/>
      <w:szCs w:val="20"/>
      <w:u w:val="none"/>
    </w:rPr>
  </w:style>
  <w:style w:type="character" w:customStyle="1" w:styleId="24">
    <w:name w:val="font91"/>
    <w:qFormat/>
    <w:uiPriority w:val="0"/>
    <w:rPr>
      <w:rFonts w:ascii="宋体" w:hAnsi="宋体" w:eastAsia="宋体" w:cs="宋体"/>
      <w:color w:val="000000"/>
      <w:sz w:val="20"/>
      <w:szCs w:val="20"/>
      <w:u w:val="none"/>
    </w:rPr>
  </w:style>
  <w:style w:type="character" w:customStyle="1" w:styleId="25">
    <w:name w:val="font11"/>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ln>
        <a:ln w="12700" cap="flat" cmpd="sng">
          <a:solidFill>
            <a:schemeClr val="phClr"/>
          </a:solidFill>
          <a:prstDash val="solid"/>
        </a:ln>
        <a:ln w="19050" cap="flat" cmpd="sng">
          <a:solidFill>
            <a:schemeClr val="phClr"/>
          </a:solidFill>
          <a:prstDash val="solid"/>
        </a:ln>
      </a:lnStyleLst>
      <a:effectStyleLst>
        <a:effectStyle>
          <a:effectLst/>
        </a:effectStyle>
        <a:effectStyle>
          <a:effectLst/>
        </a:effectStyle>
        <a:effectStyle>
          <a:effectLst>
            <a:outerShdw blurRad="57150" dist="19050" dir="5400000"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5336</Words>
  <Characters>5755</Characters>
  <Lines>42</Lines>
  <Paragraphs>12</Paragraphs>
  <TotalTime>62</TotalTime>
  <ScaleCrop>false</ScaleCrop>
  <LinksUpToDate>false</LinksUpToDate>
  <CharactersWithSpaces>5755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2025-05-19T15:15:00Z</dcterms:created>
  <dc:creator>23223</dc:creator>
  <cp:lastModifiedBy>向往*</cp:lastModifiedBy>
  <dcterms:modified xsi:type="dcterms:W3CDTF">2025-08-26T03:14:04Z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eyJoZGlkIjoiYmQwZDQ3YmM4OWZhMDc0M2U3OThlNmFjZGNhNmQ5NWMiLCJ1c2VySWQiOiIzMzAzMTM0NTcifQ==</vt:lpwstr>
  </property>
  <property fmtid="{D5CDD505-2E9C-101B-9397-08002B2CF9AE}" pid="3" name="KSOProductBuildVer">
    <vt:lpwstr>2052-12.1.0.21915</vt:lpwstr>
  </property>
  <property fmtid="{D5CDD505-2E9C-101B-9397-08002B2CF9AE}" pid="4" name="ICV">
    <vt:lpwstr>2F4320771D114549A5F122D0C85064EA_13</vt:lpwstr>
  </property>
</Properties>
</file>