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20" w:lineRule="exact"/>
        <w:jc w:val="both"/>
        <w:textAlignment w:val="auto"/>
        <w:rPr>
          <w:rFonts w:ascii="黑体" w:hAnsi="宋体" w:eastAsia="黑体" w:cs="黑体"/>
          <w:color w:val="000000"/>
          <w:sz w:val="48"/>
          <w:szCs w:val="48"/>
        </w:rPr>
      </w:pPr>
    </w:p>
    <w:p>
      <w:pPr>
        <w:jc w:val="center"/>
        <w:rPr>
          <w:rFonts w:ascii="华文中宋" w:hAnsi="华文中宋" w:eastAsia="华文中宋" w:cs="华文中宋"/>
          <w:bCs/>
          <w:sz w:val="36"/>
          <w:szCs w:val="44"/>
        </w:rPr>
      </w:pPr>
      <w:r>
        <w:rPr>
          <w:rFonts w:hint="eastAsia" w:ascii="华文中宋" w:hAnsi="华文中宋" w:eastAsia="华文中宋" w:cs="华文中宋"/>
          <w:bCs/>
          <w:sz w:val="36"/>
          <w:szCs w:val="44"/>
        </w:rPr>
        <w:t>202</w:t>
      </w:r>
      <w:r>
        <w:rPr>
          <w:rFonts w:hint="eastAsia" w:ascii="华文中宋" w:hAnsi="华文中宋" w:eastAsia="华文中宋" w:cs="华文中宋"/>
          <w:bCs/>
          <w:sz w:val="36"/>
          <w:szCs w:val="44"/>
          <w:lang w:val="en-US" w:eastAsia="zh-CN"/>
        </w:rPr>
        <w:t>3</w:t>
      </w:r>
      <w:r>
        <w:rPr>
          <w:rFonts w:hint="eastAsia" w:ascii="华文中宋" w:hAnsi="华文中宋" w:eastAsia="华文中宋" w:cs="华文中宋"/>
          <w:bCs/>
          <w:sz w:val="36"/>
          <w:szCs w:val="44"/>
        </w:rPr>
        <w:t>年度中央对北京公共文化服务体系建设补助资金转移支付预算执行情况绩效自评报告</w:t>
      </w:r>
    </w:p>
    <w:p/>
    <w:p>
      <w:pPr>
        <w:adjustRightInd w:val="0"/>
        <w:snapToGrid w:val="0"/>
        <w:spacing w:line="360" w:lineRule="auto"/>
        <w:ind w:firstLine="640" w:firstLineChars="200"/>
        <w:outlineLvl w:val="0"/>
        <w:rPr>
          <w:rFonts w:eastAsia="黑体"/>
          <w:bCs/>
          <w:sz w:val="32"/>
          <w:szCs w:val="32"/>
        </w:rPr>
      </w:pPr>
      <w:r>
        <w:rPr>
          <w:rFonts w:eastAsia="黑体"/>
          <w:bCs/>
          <w:sz w:val="32"/>
          <w:szCs w:val="32"/>
        </w:rPr>
        <w:t>一、</w:t>
      </w:r>
      <w:r>
        <w:rPr>
          <w:rFonts w:hint="eastAsia" w:eastAsia="黑体"/>
          <w:bCs/>
          <w:sz w:val="32"/>
          <w:szCs w:val="32"/>
        </w:rPr>
        <w:t>转移支付基本</w:t>
      </w:r>
      <w:r>
        <w:rPr>
          <w:rFonts w:eastAsia="黑体"/>
          <w:bCs/>
          <w:sz w:val="32"/>
          <w:szCs w:val="32"/>
        </w:rPr>
        <w:t>情况</w:t>
      </w:r>
    </w:p>
    <w:p>
      <w:pPr>
        <w:adjustRightInd w:val="0"/>
        <w:snapToGrid w:val="0"/>
        <w:spacing w:line="360" w:lineRule="auto"/>
        <w:ind w:firstLine="640" w:firstLineChars="200"/>
        <w:outlineLvl w:val="1"/>
        <w:rPr>
          <w:rFonts w:eastAsia="楷体_GB2312"/>
          <w:sz w:val="32"/>
          <w:szCs w:val="32"/>
        </w:rPr>
      </w:pPr>
      <w:r>
        <w:rPr>
          <w:rFonts w:eastAsia="楷体_GB2312"/>
          <w:sz w:val="32"/>
          <w:szCs w:val="32"/>
        </w:rPr>
        <w:t>（一）</w:t>
      </w:r>
      <w:r>
        <w:rPr>
          <w:rFonts w:hint="eastAsia" w:eastAsia="楷体_GB2312"/>
          <w:sz w:val="32"/>
          <w:szCs w:val="32"/>
        </w:rPr>
        <w:t>地方公共文化服务体系建设补助资金转移支付概况</w:t>
      </w:r>
    </w:p>
    <w:p>
      <w:pPr>
        <w:adjustRightInd w:val="0"/>
        <w:snapToGrid w:val="0"/>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cs="仿宋_GB2312"/>
          <w:sz w:val="32"/>
          <w:szCs w:val="32"/>
        </w:rPr>
        <w:t>2023年，中央支持地方公共文化服务体系建设补助资金下达我局预算共2955万元，其中首都图书馆图书购置项目2000万元，濒危剧种免票或低票价演出项目50万元，公共文化云建设项目550万元，全国智慧图书馆体系建设项目355万元</w:t>
      </w:r>
      <w:r>
        <w:rPr>
          <w:rFonts w:hint="eastAsia" w:ascii="仿宋_GB2312" w:hAnsi="仿宋_GB2312" w:cs="仿宋_GB2312"/>
          <w:sz w:val="32"/>
          <w:szCs w:val="32"/>
          <w:lang w:eastAsia="zh-CN"/>
        </w:rPr>
        <w:t>。</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中央下达我局2023年中央支持地方公共文化服务体系建设补助资金绩效目标如下：</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1.首都图书馆图书购置项目</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购置中外文图书、古籍、报刊、视听资料和地方文献约33.179万册件（其中中央资金对应购置数量为32.829万册件，北京市配套资金对应购置数量为0.35万件册），扩充图书馆馆藏，维护馆藏的全面性、系统性、连续性和可持续性，为图书馆开展服务提供文献保障，满足读者多样化的阅读需求，吸引读者走进图书馆、利用图书馆。</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2.濒危剧种免票或低票价演出项目</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为贯彻落实中央领导同志关于剧种保护的相关指示精神和国务院办公厅《关于支持戏曲传承发展的若干政策》（国办发</w:t>
      </w:r>
      <w:r>
        <w:rPr>
          <w:rFonts w:hint="eastAsia" w:ascii="宋体" w:hAnsi="宋体" w:eastAsia="宋体" w:cs="仿宋_GB2312"/>
          <w:sz w:val="32"/>
          <w:szCs w:val="32"/>
        </w:rPr>
        <w:t>﹝2</w:t>
      </w:r>
      <w:r>
        <w:rPr>
          <w:rFonts w:ascii="宋体" w:hAnsi="宋体" w:eastAsia="宋体" w:cs="仿宋_GB2312"/>
          <w:sz w:val="32"/>
          <w:szCs w:val="32"/>
        </w:rPr>
        <w:t>015</w:t>
      </w:r>
      <w:r>
        <w:rPr>
          <w:rFonts w:hint="eastAsia" w:ascii="宋体" w:hAnsi="宋体" w:eastAsia="宋体" w:cs="仿宋_GB2312"/>
          <w:sz w:val="32"/>
          <w:szCs w:val="32"/>
        </w:rPr>
        <w:t>﹞</w:t>
      </w:r>
      <w:r>
        <w:rPr>
          <w:rFonts w:hint="eastAsia" w:ascii="仿宋_GB2312" w:hAnsi="仿宋_GB2312" w:cs="仿宋_GB2312"/>
          <w:sz w:val="32"/>
          <w:szCs w:val="32"/>
        </w:rPr>
        <w:t>52号），进一步加强北京曲剧的传承力度，切实改善北京曲剧的生存发展状况，使北京曲剧剧种有人演、有人传、有人看，2023年计划完成100场公益性演出（免费或低票价演出），演出剧目选择观众喜闻乐见的北京曲剧传统剧目。通过这一项目实施，推广北京曲剧的受众群体，锻炼曲剧人的艺术造诣，展示北京曲剧的独特魅力。</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3.公共文化云建设</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开展全民艺术普及相关直录播25场次；开展区域和地方性群众文化活动5场；开展学才艺课程建设80门（每门课不少于6个章节）；采集场馆及其活动信息不少于779条；开展北京数字文化馆赶大集专区建设1个；建设或优化艺术普及数字资源时长33小时。提高基本公共文化服务的覆盖面和适用性，进一步加强首都公共数字文化建设，增强全民艺术普及数字化服务水平，持续增强人民幸福感、获得感。</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4.全国智慧图书馆体系建设项目</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坚持以人为本、统筹规划、共建共享、突出特色的建设思路，建立覆盖全北京市的智慧图书馆体系，为实现北京市统一的立体化、多维化、富媒体化的知识内容服务奠定基础，为实现图书馆聚合效能增值提效。建设基础支撑平台1个，开展基础数字资源项目3个，建设知识资源细颗粒度建设和标签标引3万条。</w:t>
      </w:r>
    </w:p>
    <w:p>
      <w:pPr>
        <w:adjustRightInd w:val="0"/>
        <w:snapToGrid w:val="0"/>
        <w:spacing w:line="360" w:lineRule="auto"/>
        <w:ind w:firstLine="640" w:firstLineChars="200"/>
        <w:outlineLvl w:val="1"/>
        <w:rPr>
          <w:rFonts w:hint="default" w:eastAsia="楷体_GB2312"/>
          <w:sz w:val="32"/>
          <w:szCs w:val="32"/>
          <w:lang w:val="en-US" w:eastAsia="zh-CN"/>
        </w:rPr>
      </w:pPr>
      <w:bookmarkStart w:id="0" w:name="_Toc8120"/>
      <w:bookmarkStart w:id="1" w:name="_Toc19881"/>
      <w:r>
        <w:rPr>
          <w:rFonts w:eastAsia="楷体_GB2312"/>
          <w:sz w:val="32"/>
          <w:szCs w:val="32"/>
        </w:rPr>
        <w:t>（二）</w:t>
      </w:r>
      <w:bookmarkEnd w:id="0"/>
      <w:bookmarkEnd w:id="1"/>
      <w:r>
        <w:rPr>
          <w:rFonts w:hint="eastAsia" w:eastAsia="楷体_GB2312"/>
          <w:sz w:val="32"/>
          <w:szCs w:val="32"/>
          <w:lang w:val="en-US" w:eastAsia="zh-CN"/>
        </w:rPr>
        <w:t>资金投入情况分析</w:t>
      </w:r>
    </w:p>
    <w:p>
      <w:pPr>
        <w:adjustRightInd w:val="0"/>
        <w:snapToGrid w:val="0"/>
        <w:spacing w:line="360" w:lineRule="auto"/>
        <w:ind w:firstLine="640" w:firstLineChars="200"/>
        <w:rPr>
          <w:rFonts w:hint="eastAsia" w:ascii="仿宋_GB2312" w:hAnsi="仿宋_GB2312" w:cs="仿宋_GB2312"/>
          <w:sz w:val="32"/>
          <w:szCs w:val="32"/>
        </w:rPr>
      </w:pPr>
      <w:r>
        <w:rPr>
          <w:rFonts w:hint="eastAsia" w:ascii="仿宋_GB2312" w:hAnsi="仿宋_GB2312" w:cs="仿宋_GB2312"/>
          <w:sz w:val="32"/>
          <w:szCs w:val="32"/>
        </w:rPr>
        <w:t>1.资金投入情况</w:t>
      </w:r>
    </w:p>
    <w:p>
      <w:pPr>
        <w:adjustRightInd w:val="0"/>
        <w:snapToGrid w:val="0"/>
        <w:spacing w:line="360" w:lineRule="auto"/>
        <w:ind w:firstLine="640" w:firstLineChars="200"/>
        <w:rPr>
          <w:rFonts w:hint="eastAsia" w:ascii="仿宋_GB2312" w:hAnsi="仿宋_GB2312" w:cs="仿宋_GB2312"/>
          <w:sz w:val="32"/>
          <w:szCs w:val="32"/>
        </w:rPr>
      </w:pPr>
      <w:r>
        <w:rPr>
          <w:rFonts w:hint="eastAsia" w:ascii="仿宋_GB2312" w:hAnsi="仿宋_GB2312" w:cs="仿宋_GB2312"/>
          <w:sz w:val="32"/>
          <w:szCs w:val="32"/>
        </w:rPr>
        <w:t>2023年，公共文化服务体系建设项目共投入资金3155.87万元，其中：中央支持地方公共文化服务体系建设补助资金2955万元，占投入总资金的93.64%；地方投入资金200.87万元，占投入总资金的6.36%。截至2023年底，实际支出2754.25万元，执行率87.27%，其中：中央转移支付资金支出2556.94万元，执行率86.53%；地方资金支出197.31万元，执行率98.23%。</w:t>
      </w:r>
    </w:p>
    <w:p>
      <w:pPr>
        <w:adjustRightInd w:val="0"/>
        <w:snapToGrid w:val="0"/>
        <w:spacing w:line="360" w:lineRule="auto"/>
        <w:ind w:firstLine="640" w:firstLineChars="200"/>
      </w:pPr>
      <w:r>
        <w:rPr>
          <w:rFonts w:hint="eastAsia" w:ascii="仿宋_GB2312" w:hAnsi="仿宋_GB2312" w:cs="仿宋_GB2312"/>
          <w:sz w:val="32"/>
          <w:szCs w:val="32"/>
        </w:rPr>
        <w:t>2.资金执行情况</w:t>
      </w:r>
    </w:p>
    <w:p>
      <w:pPr>
        <w:numPr>
          <w:ilvl w:val="0"/>
          <w:numId w:val="1"/>
        </w:num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首都图书馆图书购置项目2023年共投入资金2167.40万元，截至2023年底，实际支出1885.64万元，执行率87.00%，其中：中央转移支付资金2000万元，支出1718.24万元，执行率85.91%；地方资金167.40万元，支出167.40万元，执行率100.00%。</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（2）濒危剧种免票或低票价演出项目50万元，支出50万元，全部为中央财政资金，执行率100.00%。</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（3）公共文化云建设项目583.47万元，支出465.91万元，执行率79.85%，有一部分尾款待文旅部验收后支付</w:t>
      </w:r>
      <w:r>
        <w:rPr>
          <w:rFonts w:hint="eastAsia" w:ascii="仿宋_GB2312" w:hAnsi="仿宋_GB2312" w:cs="仿宋_GB2312"/>
          <w:sz w:val="32"/>
          <w:szCs w:val="32"/>
          <w:lang w:eastAsia="zh-CN"/>
        </w:rPr>
        <w:t>。</w:t>
      </w:r>
      <w:r>
        <w:rPr>
          <w:rFonts w:hint="eastAsia" w:ascii="仿宋_GB2312" w:hAnsi="仿宋_GB2312" w:cs="仿宋_GB2312"/>
          <w:sz w:val="32"/>
          <w:szCs w:val="32"/>
        </w:rPr>
        <w:t>其中：中央转移支付资金550万元，支出436万元，执行率79.27%；地方资金33.47万元，支出29.91万元，执行率89.36%。</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（4）全国智慧图书馆项目355.00万元，支出352.70万元，全部为中央财政资金，执行率99.35%。</w:t>
      </w:r>
    </w:p>
    <w:p>
      <w:pPr>
        <w:adjustRightInd w:val="0"/>
        <w:snapToGrid w:val="0"/>
        <w:spacing w:line="360" w:lineRule="auto"/>
        <w:ind w:firstLine="640" w:firstLineChars="200"/>
        <w:outlineLvl w:val="1"/>
        <w:rPr>
          <w:rFonts w:ascii="楷体_GB2312" w:hAnsi="楷体_GB2312" w:eastAsia="楷体_GB2312" w:cs="楷体_GB2312"/>
          <w:sz w:val="32"/>
          <w:szCs w:val="32"/>
        </w:rPr>
      </w:pPr>
      <w:bookmarkStart w:id="2" w:name="_Toc32187"/>
      <w:bookmarkStart w:id="3" w:name="_Toc26241"/>
      <w:r>
        <w:rPr>
          <w:rFonts w:hint="eastAsia" w:ascii="楷体_GB2312" w:hAnsi="楷体_GB2312" w:eastAsia="楷体_GB2312" w:cs="楷体_GB2312"/>
          <w:sz w:val="32"/>
          <w:szCs w:val="32"/>
        </w:rPr>
        <w:t>（</w:t>
      </w:r>
      <w:r>
        <w:rPr>
          <w:rFonts w:hint="eastAsia" w:ascii="楷体_GB2312" w:hAnsi="楷体_GB2312" w:eastAsia="楷体_GB2312" w:cs="楷体_GB2312"/>
          <w:sz w:val="32"/>
          <w:szCs w:val="32"/>
          <w:lang w:val="en-US" w:eastAsia="zh-CN"/>
        </w:rPr>
        <w:t>三</w:t>
      </w:r>
      <w:r>
        <w:rPr>
          <w:rFonts w:hint="eastAsia" w:ascii="楷体_GB2312" w:hAnsi="楷体_GB2312" w:eastAsia="楷体_GB2312" w:cs="楷体_GB2312"/>
          <w:sz w:val="32"/>
          <w:szCs w:val="32"/>
        </w:rPr>
        <w:t>）资金管理情况分析</w:t>
      </w:r>
      <w:bookmarkEnd w:id="2"/>
      <w:bookmarkEnd w:id="3"/>
    </w:p>
    <w:p>
      <w:pPr>
        <w:adjustRightInd w:val="0"/>
        <w:snapToGrid w:val="0"/>
        <w:spacing w:line="360" w:lineRule="auto"/>
        <w:ind w:firstLine="600" w:firstLineChars="200"/>
        <w:rPr>
          <w:rFonts w:ascii="仿宋_GB2312" w:hAnsi="仿宋_GB2312" w:cs="仿宋_GB2312"/>
          <w:szCs w:val="30"/>
        </w:rPr>
      </w:pPr>
      <w:r>
        <w:rPr>
          <w:rFonts w:hint="eastAsia" w:ascii="仿宋_GB2312" w:hAnsi="仿宋_GB2312" w:cs="仿宋_GB2312"/>
          <w:szCs w:val="30"/>
        </w:rPr>
        <w:t>制度建设方面，按照《中央补助地方公共文化服务体系建设专项资金管理办法》（财教〔2015〕527号）要求，该专项涉及的各层级单位制定了相关管理办法，具体情况如下：</w:t>
      </w:r>
    </w:p>
    <w:p>
      <w:pPr>
        <w:adjustRightInd w:val="0"/>
        <w:snapToGrid w:val="0"/>
        <w:spacing w:line="360" w:lineRule="auto"/>
        <w:ind w:firstLine="600" w:firstLineChars="200"/>
        <w:rPr>
          <w:rFonts w:ascii="仿宋_GB2312" w:hAnsi="仿宋_GB2312" w:cs="仿宋_GB2312"/>
          <w:szCs w:val="30"/>
        </w:rPr>
      </w:pPr>
      <w:r>
        <w:rPr>
          <w:rFonts w:hint="eastAsia" w:ascii="仿宋_GB2312" w:hAnsi="仿宋_GB2312" w:cs="仿宋_GB2312"/>
          <w:szCs w:val="30"/>
        </w:rPr>
        <w:t>一是市级主管部门层面，在业务管理方面，我局牵头制定了《首都图书馆图书购置实施方案》，明确了图书购置的数量、质量和验收标准；制定了《2023年濒危剧种免票或低票价演出项目实施方案》，明确了报请专题会审议、建立例会制度、项目验收的管理措施；制定了《2023年公共文化云建设方案》，明确了数字文化馆建设目标、建设标准、成果提交等内容；制定了《北京市2023年全国智慧图书馆体系建设项目资源建设方案》，明确了项目建设目标、建设标准、测算依据等。在财务管理方面，为保证资金安全、有效使用，我局严格按照《北京市文化和旅游局财务管理办法（试行）》《北京市文化和旅游局资金支出管理办法（试行）》等制度使用、管理项目资金，并严格按规定在收到资金后的30日内将资金逐级拨付至实施单位。</w:t>
      </w:r>
    </w:p>
    <w:p>
      <w:pPr>
        <w:adjustRightInd w:val="0"/>
        <w:snapToGrid w:val="0"/>
        <w:spacing w:line="360" w:lineRule="auto"/>
        <w:ind w:firstLine="600" w:firstLineChars="200"/>
        <w:rPr>
          <w:rFonts w:ascii="仿宋_GB2312" w:hAnsi="仿宋_GB2312" w:cs="仿宋_GB2312"/>
          <w:szCs w:val="30"/>
        </w:rPr>
      </w:pPr>
      <w:r>
        <w:rPr>
          <w:rFonts w:hint="eastAsia" w:ascii="仿宋_GB2312" w:hAnsi="仿宋_GB2312" w:cs="仿宋_GB2312"/>
          <w:szCs w:val="30"/>
        </w:rPr>
        <w:t>二是各实施单位层面，各子项目涉及的各层级实施单位均制定了相关业务、财务管理制度，为项目规范有效实施提供了制度保障。如首都图书馆制定有《首都图书馆财务管理办法》（首图内发〔2020〕30号）、《首都图书馆采购管理办法》等资金管理办法，对首都图书馆的日常财务管理、采购管理、合同管理、项目经费使用和监管等内容进行了明确规定，规范了项目的预算编制、预算执行和监管。此外，首都图书馆还制定有《首都图书馆馆藏发展政策》《首都图书馆文献资产管理办法》《首都图书馆中文图书采访条例》《首都图书馆少儿图书采访条例》《首都图书馆特藏竞拍工作规章》《首都图书馆视听资料中心采访工作条例》《北京地方文献采访工作条例》《首都图书馆报刊文献采选条例》《首都图书馆中外文报刊入藏标准及范围》等业务管理办法，进一步明确了各类图书文献资产的入藏要求、采选范围等内容，从文献采选、验收、入藏、日常管理等方面对项目管理进行约束。北京市曲剧团严格按照《北京市曲剧团有限责任公司财务会计核算制度》《北京市曲剧团有限责任公司财务会计基础工作规范》《北京市曲剧团有限责任公司财务预算管理办法》《北京市曲剧团有限责任公司过渡期合同审核财务报销审批管理办法》等制度核算和使用补助资金。北京市文化馆制定了《北京市文化馆内部控制规范手册》《北京市文化馆内部控制制度汇编》等制度，对北京市文化馆的日常财务管理、采购管理、合同管理、项目经费使用和监管等内容进行了明确规定，规范了数字文化馆项目的预算编制、预算执行和监管。西城区图书馆为保证资金安全、有效使用，对“古籍文献专题数据库项目经费”严格执行“三重一大”决策制度，并落实西城区财政局绩效目标考核制度，同时成立技术厂商遴选小组，对资金使用进行约束。</w:t>
      </w:r>
    </w:p>
    <w:p>
      <w:pPr>
        <w:adjustRightInd w:val="0"/>
        <w:snapToGrid w:val="0"/>
        <w:spacing w:line="360" w:lineRule="auto"/>
        <w:ind w:firstLine="640" w:firstLineChars="200"/>
        <w:rPr>
          <w:rFonts w:hint="eastAsia" w:ascii="仿宋_GB2312" w:hAnsi="仿宋_GB2312" w:cs="仿宋_GB2312"/>
          <w:sz w:val="32"/>
          <w:szCs w:val="32"/>
        </w:rPr>
      </w:pPr>
      <w:r>
        <w:rPr>
          <w:rFonts w:hint="eastAsia" w:ascii="仿宋_GB2312" w:hAnsi="仿宋_GB2312" w:cs="仿宋_GB2312"/>
          <w:sz w:val="32"/>
          <w:szCs w:val="32"/>
        </w:rPr>
        <w:t>监管措施制定和落实方面，在健全各层级制度体系的基础上，我局对转移支付资金的使用建立了监管机制，包括建立绩效管理制度、确定绩效目标、对项目执行过程进行跟踪监管等。项目结束后，我局要求各层级实施单位对年度工作完成情况和资金使用情况进行总结，全面分析绩效目标完成情况和资金使用效益。</w:t>
      </w:r>
    </w:p>
    <w:p>
      <w:pPr>
        <w:pStyle w:val="7"/>
        <w:adjustRightInd w:val="0"/>
        <w:snapToGrid w:val="0"/>
        <w:spacing w:line="360" w:lineRule="auto"/>
        <w:ind w:left="0" w:firstLine="640" w:firstLineChars="200"/>
        <w:contextualSpacing w:val="0"/>
        <w:outlineLvl w:val="0"/>
        <w:rPr>
          <w:rFonts w:ascii="黑体" w:hAnsi="黑体" w:eastAsia="黑体" w:cs="黑体"/>
          <w:sz w:val="32"/>
          <w:szCs w:val="32"/>
        </w:rPr>
      </w:pPr>
      <w:r>
        <w:rPr>
          <w:rFonts w:hint="eastAsia" w:ascii="黑体" w:hAnsi="黑体" w:eastAsia="黑体" w:cs="黑体"/>
          <w:sz w:val="32"/>
          <w:szCs w:val="32"/>
        </w:rPr>
        <w:t>二、绩效目标实现情况</w:t>
      </w:r>
    </w:p>
    <w:p>
      <w:pPr>
        <w:adjustRightInd w:val="0"/>
        <w:snapToGrid w:val="0"/>
        <w:spacing w:line="360" w:lineRule="auto"/>
        <w:ind w:firstLine="640" w:firstLineChars="200"/>
        <w:outlineLvl w:val="1"/>
      </w:pPr>
      <w:r>
        <w:rPr>
          <w:rFonts w:hint="eastAsia" w:ascii="楷体_GB2312" w:hAnsi="楷体_GB2312" w:eastAsia="楷体_GB2312" w:cs="楷体_GB2312"/>
          <w:sz w:val="32"/>
          <w:szCs w:val="32"/>
        </w:rPr>
        <w:t>（一）总体绩效目标完成情况分析</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2023年，我市完成中央下达绩效目标情况如下：</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1.首都图书馆图书购置费项目</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购置了各类文献20.9744万册件，馆藏文献数量得到了扩充，良好的达成了维护馆藏的全面性、系统性、连续性和可持续性，为图书馆开展服务提供文献保障，满足读者多样化的阅读需求，吸引读者走进图书馆、利用图书馆的目标。</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2.濒危剧种免票或低票价演出项目</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实际完成演出100场，其中免费公益演出10场，低票价演出90场，经典传统剧目占比90%。演出剧目包括演出剧目包括《龙须沟》《茶馆》《正红旗下》《四世同堂》《林则徐在北京》等5部北京曲剧剧目，惠及大兴区、通州区、朝阳区、西城区、东城区、海淀区、昌平区7个区，惠及观众15000人次，平均上座率85%，高质量的完成演出任务。</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3.公共文化云建设项目</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全市开展全民艺术普及相关直录播27场次；开展5场区域性群众文化活动；开展学才艺课程建设80门；全市采集1108条场馆及其活动信息；建设1个北京数字文化馆赶大集专区，建设或优化艺术普及数字资源时长33小时。</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4.全国智慧图书馆体系建设项目</w:t>
      </w:r>
    </w:p>
    <w:p>
      <w:pPr>
        <w:adjustRightInd w:val="0"/>
        <w:snapToGrid w:val="0"/>
        <w:spacing w:line="360" w:lineRule="auto"/>
        <w:ind w:firstLine="640" w:firstLineChars="200"/>
        <w:rPr>
          <w:rFonts w:hint="eastAsia" w:ascii="楷体_GB2312" w:hAnsi="楷体_GB2312" w:eastAsia="楷体_GB2312" w:cs="楷体_GB2312"/>
          <w:sz w:val="32"/>
          <w:szCs w:val="32"/>
        </w:rPr>
      </w:pPr>
      <w:r>
        <w:rPr>
          <w:rFonts w:hint="eastAsia" w:ascii="仿宋_GB2312" w:hAnsi="仿宋_GB2312" w:cs="仿宋_GB2312"/>
          <w:sz w:val="32"/>
          <w:szCs w:val="32"/>
        </w:rPr>
        <w:t>截至2023年底，实际完成基础支撑平台1个，基础数字资源项目3个，建设完成知识资源细颗粒度建设和标签标引3.0484万条。</w:t>
      </w:r>
    </w:p>
    <w:p>
      <w:pPr>
        <w:adjustRightInd w:val="0"/>
        <w:snapToGrid w:val="0"/>
        <w:spacing w:line="360" w:lineRule="auto"/>
        <w:ind w:firstLine="640" w:firstLineChars="200"/>
        <w:outlineLvl w:val="1"/>
        <w:rPr>
          <w:rFonts w:ascii="楷体_GB2312" w:hAnsi="楷体_GB2312" w:eastAsia="楷体_GB2312" w:cs="楷体_GB2312"/>
          <w:sz w:val="32"/>
          <w:szCs w:val="32"/>
          <w:highlight w:val="yellow"/>
        </w:rPr>
      </w:pPr>
      <w:bookmarkStart w:id="4" w:name="_Toc8901"/>
      <w:bookmarkStart w:id="5" w:name="_Toc30986"/>
      <w:r>
        <w:rPr>
          <w:rFonts w:hint="eastAsia" w:ascii="楷体_GB2312" w:hAnsi="楷体_GB2312" w:eastAsia="楷体_GB2312" w:cs="楷体_GB2312"/>
          <w:sz w:val="32"/>
          <w:szCs w:val="32"/>
        </w:rPr>
        <w:t>（</w:t>
      </w:r>
      <w:r>
        <w:rPr>
          <w:rFonts w:hint="eastAsia" w:ascii="楷体_GB2312" w:hAnsi="楷体_GB2312" w:eastAsia="楷体_GB2312" w:cs="楷体_GB2312"/>
          <w:sz w:val="32"/>
          <w:szCs w:val="32"/>
          <w:lang w:val="en-US" w:eastAsia="zh-CN"/>
        </w:rPr>
        <w:t>二</w:t>
      </w:r>
      <w:r>
        <w:rPr>
          <w:rFonts w:hint="eastAsia" w:ascii="楷体_GB2312" w:hAnsi="楷体_GB2312" w:eastAsia="楷体_GB2312" w:cs="楷体_GB2312"/>
          <w:sz w:val="32"/>
          <w:szCs w:val="32"/>
        </w:rPr>
        <w:t>）绩效指标完成情况分析</w:t>
      </w:r>
      <w:bookmarkEnd w:id="4"/>
      <w:bookmarkEnd w:id="5"/>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2023年，我局较好完成本专项各项目的绩效指标。各项指标完成情况如下：</w:t>
      </w:r>
    </w:p>
    <w:p>
      <w:pPr>
        <w:adjustRightInd w:val="0"/>
        <w:snapToGrid w:val="0"/>
        <w:spacing w:line="360" w:lineRule="auto"/>
        <w:ind w:firstLine="640" w:firstLineChars="200"/>
        <w:rPr>
          <w:rFonts w:ascii="仿宋_GB2312" w:hAnsi="仿宋_GB2312" w:cs="仿宋_GB2312"/>
          <w:bCs/>
          <w:sz w:val="32"/>
          <w:szCs w:val="32"/>
        </w:rPr>
      </w:pPr>
      <w:r>
        <w:rPr>
          <w:rFonts w:hint="eastAsia" w:ascii="仿宋_GB2312" w:hAnsi="仿宋_GB2312" w:cs="仿宋_GB2312"/>
          <w:bCs/>
          <w:sz w:val="32"/>
          <w:szCs w:val="32"/>
        </w:rPr>
        <w:t>1.</w:t>
      </w:r>
      <w:r>
        <w:rPr>
          <w:rFonts w:hint="eastAsia" w:ascii="仿宋_GB2312" w:hAnsi="仿宋_GB2312" w:cs="仿宋_GB2312"/>
          <w:sz w:val="32"/>
          <w:szCs w:val="32"/>
        </w:rPr>
        <w:t>首都图书馆图书购置项目</w:t>
      </w:r>
    </w:p>
    <w:p>
      <w:pPr>
        <w:adjustRightInd w:val="0"/>
        <w:snapToGrid w:val="0"/>
        <w:spacing w:line="360" w:lineRule="auto"/>
        <w:ind w:firstLine="640" w:firstLineChars="200"/>
        <w:rPr>
          <w:rFonts w:ascii="黑体" w:hAnsi="黑体" w:eastAsia="黑体" w:cs="黑体"/>
          <w:sz w:val="28"/>
          <w:szCs w:val="28"/>
        </w:rPr>
      </w:pPr>
      <w:r>
        <w:rPr>
          <w:rFonts w:hint="eastAsia" w:ascii="仿宋_GB2312" w:hAnsi="仿宋_GB2312" w:cs="仿宋_GB2312"/>
          <w:sz w:val="32"/>
          <w:szCs w:val="32"/>
        </w:rPr>
        <w:t>2023年，该项目各项指标基本完成。</w:t>
      </w:r>
      <w:r>
        <w:rPr>
          <w:rFonts w:hint="eastAsia" w:ascii="仿宋_GB2312" w:hAnsi="仿宋_GB2312" w:cs="仿宋_GB2312"/>
          <w:bCs/>
          <w:sz w:val="32"/>
          <w:szCs w:val="32"/>
        </w:rPr>
        <w:t xml:space="preserve">各项指标完成情况详见下表： </w:t>
      </w:r>
    </w:p>
    <w:p>
      <w:pPr>
        <w:adjustRightInd w:val="0"/>
        <w:snapToGrid w:val="0"/>
        <w:spacing w:line="360" w:lineRule="auto"/>
        <w:jc w:val="center"/>
        <w:rPr>
          <w:rFonts w:ascii="黑体" w:hAnsi="黑体" w:eastAsia="黑体" w:cs="黑体"/>
          <w:sz w:val="28"/>
          <w:szCs w:val="28"/>
        </w:rPr>
      </w:pPr>
      <w:r>
        <w:rPr>
          <w:rFonts w:hint="eastAsia" w:ascii="黑体" w:hAnsi="黑体" w:eastAsia="黑体" w:cs="黑体"/>
          <w:sz w:val="28"/>
          <w:szCs w:val="28"/>
        </w:rPr>
        <w:t>表</w:t>
      </w:r>
      <w:r>
        <w:rPr>
          <w:rFonts w:hint="eastAsia" w:ascii="黑体" w:hAnsi="黑体" w:eastAsia="黑体" w:cs="黑体"/>
          <w:sz w:val="28"/>
          <w:szCs w:val="28"/>
          <w:lang w:val="en-US" w:eastAsia="zh-CN"/>
        </w:rPr>
        <w:t>1</w:t>
      </w:r>
      <w:r>
        <w:rPr>
          <w:rFonts w:hint="eastAsia" w:ascii="黑体" w:hAnsi="黑体" w:eastAsia="黑体" w:cs="黑体"/>
          <w:sz w:val="28"/>
          <w:szCs w:val="28"/>
        </w:rPr>
        <w:t>：首都图书馆图书购置项目2023年度绩效指标完成情况表</w:t>
      </w:r>
    </w:p>
    <w:tbl>
      <w:tblPr>
        <w:tblStyle w:val="9"/>
        <w:tblW w:w="9277" w:type="dxa"/>
        <w:jc w:val="center"/>
        <w:tblLayout w:type="fixed"/>
        <w:tblCellMar>
          <w:top w:w="0" w:type="dxa"/>
          <w:left w:w="0" w:type="dxa"/>
          <w:bottom w:w="0" w:type="dxa"/>
          <w:right w:w="0" w:type="dxa"/>
        </w:tblCellMar>
      </w:tblPr>
      <w:tblGrid>
        <w:gridCol w:w="502"/>
        <w:gridCol w:w="1455"/>
        <w:gridCol w:w="2010"/>
        <w:gridCol w:w="1560"/>
        <w:gridCol w:w="1428"/>
        <w:gridCol w:w="2322"/>
      </w:tblGrid>
      <w:tr>
        <w:tblPrEx>
          <w:tblCellMar>
            <w:top w:w="0" w:type="dxa"/>
            <w:left w:w="0" w:type="dxa"/>
            <w:bottom w:w="0" w:type="dxa"/>
            <w:right w:w="0" w:type="dxa"/>
          </w:tblCellMar>
        </w:tblPrEx>
        <w:trPr>
          <w:trHeight w:val="600" w:hRule="atLeast"/>
          <w:tblHeader/>
          <w:jc w:val="center"/>
        </w:trPr>
        <w:tc>
          <w:tcPr>
            <w:tcW w:w="502"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一级指标</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二级指标</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年度指标值</w:t>
            </w:r>
          </w:p>
        </w:tc>
        <w:tc>
          <w:tcPr>
            <w:tcW w:w="1428"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完成值</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eastAsia="宋体" w:cs="宋体"/>
                <w:b/>
                <w:color w:val="000000"/>
                <w:kern w:val="0"/>
                <w:sz w:val="20"/>
                <w:szCs w:val="20"/>
                <w:lang w:bidi="ar"/>
              </w:rPr>
            </w:pPr>
            <w:r>
              <w:rPr>
                <w:rFonts w:hint="eastAsia" w:ascii="宋体" w:hAnsi="宋体" w:eastAsia="宋体" w:cs="宋体"/>
                <w:b/>
                <w:color w:val="000000"/>
                <w:kern w:val="0"/>
                <w:sz w:val="20"/>
                <w:szCs w:val="20"/>
                <w:lang w:bidi="ar"/>
              </w:rPr>
              <w:t>未完成原因及改进措施</w:t>
            </w:r>
          </w:p>
        </w:tc>
      </w:tr>
      <w:tr>
        <w:tblPrEx>
          <w:tblCellMar>
            <w:top w:w="0" w:type="dxa"/>
            <w:left w:w="0" w:type="dxa"/>
            <w:bottom w:w="0" w:type="dxa"/>
            <w:right w:w="0" w:type="dxa"/>
          </w:tblCellMar>
        </w:tblPrEx>
        <w:trPr>
          <w:cantSplit/>
          <w:trHeight w:val="600" w:hRule="atLeast"/>
          <w:jc w:val="center"/>
        </w:trPr>
        <w:tc>
          <w:tcPr>
            <w:tcW w:w="502" w:type="dxa"/>
            <w:vMerge w:val="restart"/>
            <w:tcBorders>
              <w:top w:val="single" w:color="000000" w:sz="4" w:space="0"/>
              <w:left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hint="eastAsia" w:ascii="宋体" w:hAnsi="宋体" w:eastAsia="宋体" w:cs="宋体"/>
                <w:color w:val="000000"/>
                <w:sz w:val="20"/>
                <w:szCs w:val="20"/>
                <w:lang w:val="en-US" w:eastAsia="zh-CN"/>
              </w:rPr>
            </w:pPr>
            <w:r>
              <w:rPr>
                <w:rFonts w:hint="eastAsia" w:ascii="宋体" w:hAnsi="宋体" w:eastAsia="宋体" w:cs="宋体"/>
                <w:color w:val="000000"/>
                <w:sz w:val="20"/>
                <w:szCs w:val="20"/>
                <w:lang w:val="en-US" w:eastAsia="zh-CN"/>
              </w:rPr>
              <w:t>产出</w:t>
            </w:r>
          </w:p>
          <w:p>
            <w:pPr>
              <w:widowControl/>
              <w:jc w:val="center"/>
              <w:textAlignment w:val="center"/>
              <w:rPr>
                <w:rFonts w:hint="default" w:ascii="宋体" w:hAnsi="宋体" w:eastAsia="宋体" w:cs="宋体"/>
                <w:color w:val="000000"/>
                <w:sz w:val="20"/>
                <w:szCs w:val="20"/>
                <w:lang w:val="en-US" w:eastAsia="zh-CN"/>
              </w:rPr>
            </w:pPr>
            <w:r>
              <w:rPr>
                <w:rFonts w:hint="eastAsia" w:ascii="宋体" w:hAnsi="宋体" w:eastAsia="宋体" w:cs="宋体"/>
                <w:color w:val="000000"/>
                <w:sz w:val="20"/>
                <w:szCs w:val="20"/>
                <w:lang w:val="en-US" w:eastAsia="zh-CN"/>
              </w:rPr>
              <w:t>指标</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数量指标</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购置各类文献</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≥33.179万册</w:t>
            </w:r>
          </w:p>
        </w:tc>
        <w:tc>
          <w:tcPr>
            <w:tcW w:w="1428"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0"/>
                <w:szCs w:val="20"/>
                <w:lang w:bidi="ar"/>
              </w:rPr>
              <w:t>20.9744万册</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原因：中文图书因有效投标人不足三家进行了二次招标，中文图书采购受到很大影响；由于对市场情况预估不足，部分文献采购平均单价高于预测单价。</w:t>
            </w:r>
          </w:p>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改进措施：加强前期调研，充分考虑市场变化因素，科学预测采购单价。</w:t>
            </w:r>
          </w:p>
        </w:tc>
      </w:tr>
      <w:tr>
        <w:tblPrEx>
          <w:tblCellMar>
            <w:top w:w="0" w:type="dxa"/>
            <w:left w:w="0" w:type="dxa"/>
            <w:bottom w:w="0" w:type="dxa"/>
            <w:right w:w="0" w:type="dxa"/>
          </w:tblCellMar>
        </w:tblPrEx>
        <w:trPr>
          <w:trHeight w:val="423" w:hRule="atLeast"/>
          <w:jc w:val="center"/>
        </w:trPr>
        <w:tc>
          <w:tcPr>
            <w:tcW w:w="502" w:type="dxa"/>
            <w:vMerge w:val="continue"/>
            <w:tcBorders>
              <w:left w:val="single" w:color="000000" w:sz="4" w:space="0"/>
              <w:right w:val="single" w:color="000000" w:sz="4" w:space="0"/>
            </w:tcBorders>
            <w:shd w:val="clear" w:color="auto" w:fill="auto"/>
            <w:noWrap/>
            <w:tcMar>
              <w:top w:w="8" w:type="dxa"/>
              <w:left w:w="8" w:type="dxa"/>
              <w:right w:w="8" w:type="dxa"/>
            </w:tcMar>
            <w:vAlign w:val="center"/>
          </w:tcPr>
          <w:p>
            <w:pPr>
              <w:jc w:val="center"/>
              <w:rPr>
                <w:rFonts w:hint="default" w:ascii="宋体" w:hAnsi="宋体" w:eastAsia="宋体" w:cs="宋体"/>
                <w:color w:val="000000"/>
                <w:sz w:val="20"/>
                <w:szCs w:val="20"/>
                <w:lang w:val="en-US" w:eastAsia="zh-CN"/>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质量指标</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文献验收合格率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100.00%</w:t>
            </w:r>
          </w:p>
        </w:tc>
        <w:tc>
          <w:tcPr>
            <w:tcW w:w="1428"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0"/>
                <w:szCs w:val="20"/>
                <w:lang w:bidi="ar"/>
              </w:rPr>
              <w:t>100%</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w:t>
            </w:r>
          </w:p>
        </w:tc>
      </w:tr>
      <w:tr>
        <w:tblPrEx>
          <w:tblCellMar>
            <w:top w:w="0" w:type="dxa"/>
            <w:left w:w="0" w:type="dxa"/>
            <w:bottom w:w="0" w:type="dxa"/>
            <w:right w:w="0" w:type="dxa"/>
          </w:tblCellMar>
        </w:tblPrEx>
        <w:trPr>
          <w:trHeight w:val="600" w:hRule="atLeast"/>
          <w:jc w:val="center"/>
        </w:trPr>
        <w:tc>
          <w:tcPr>
            <w:tcW w:w="502" w:type="dxa"/>
            <w:vMerge w:val="continue"/>
            <w:tcBorders>
              <w:left w:val="single" w:color="000000" w:sz="4" w:space="0"/>
              <w:right w:val="single" w:color="000000" w:sz="4" w:space="0"/>
            </w:tcBorders>
            <w:shd w:val="clear" w:color="auto" w:fill="auto"/>
            <w:noWrap/>
            <w:tcMar>
              <w:top w:w="8" w:type="dxa"/>
              <w:left w:w="8" w:type="dxa"/>
              <w:right w:w="8" w:type="dxa"/>
            </w:tcMar>
            <w:vAlign w:val="center"/>
          </w:tcPr>
          <w:p>
            <w:pPr>
              <w:jc w:val="center"/>
              <w:rPr>
                <w:rFonts w:ascii="宋体" w:hAnsi="宋体" w:eastAsia="宋体" w:cs="宋体"/>
                <w:color w:val="000000"/>
                <w:sz w:val="20"/>
                <w:szCs w:val="20"/>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时效指标</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方案制定和前期准备时间</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5月底以前</w:t>
            </w:r>
          </w:p>
        </w:tc>
        <w:tc>
          <w:tcPr>
            <w:tcW w:w="1428"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0"/>
                <w:szCs w:val="20"/>
                <w:lang w:bidi="ar"/>
              </w:rPr>
              <w:t>11月20日</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中文图书因有效投标人不足三家进行了二次招标</w:t>
            </w:r>
          </w:p>
        </w:tc>
      </w:tr>
      <w:tr>
        <w:tblPrEx>
          <w:tblCellMar>
            <w:top w:w="0" w:type="dxa"/>
            <w:left w:w="0" w:type="dxa"/>
            <w:bottom w:w="0" w:type="dxa"/>
            <w:right w:w="0" w:type="dxa"/>
          </w:tblCellMar>
        </w:tblPrEx>
        <w:trPr>
          <w:trHeight w:val="600" w:hRule="atLeast"/>
          <w:jc w:val="center"/>
        </w:trPr>
        <w:tc>
          <w:tcPr>
            <w:tcW w:w="502" w:type="dxa"/>
            <w:vMerge w:val="continue"/>
            <w:tcBorders>
              <w:left w:val="single" w:color="000000" w:sz="4" w:space="0"/>
              <w:right w:val="single" w:color="000000" w:sz="4" w:space="0"/>
            </w:tcBorders>
            <w:shd w:val="clear" w:color="auto" w:fill="auto"/>
            <w:noWrap/>
            <w:tcMar>
              <w:top w:w="8" w:type="dxa"/>
              <w:left w:w="8" w:type="dxa"/>
              <w:right w:w="8" w:type="dxa"/>
            </w:tcMar>
            <w:vAlign w:val="center"/>
          </w:tcPr>
          <w:p>
            <w:pPr>
              <w:jc w:val="center"/>
              <w:rPr>
                <w:rFonts w:ascii="宋体" w:hAnsi="宋体" w:eastAsia="宋体" w:cs="宋体"/>
                <w:color w:val="000000"/>
                <w:sz w:val="20"/>
                <w:szCs w:val="20"/>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时效指标</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采购时间</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12月底以前</w:t>
            </w:r>
          </w:p>
        </w:tc>
        <w:tc>
          <w:tcPr>
            <w:tcW w:w="1428"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0"/>
                <w:szCs w:val="20"/>
                <w:lang w:bidi="ar"/>
              </w:rPr>
              <w:t>中文图书采购工作尚未结束，其他均完成</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中文图书因有效投标人不足三家进行了二次招标，影响了采购进度；下一步将加快推进相关工作的开展。</w:t>
            </w:r>
          </w:p>
        </w:tc>
      </w:tr>
      <w:tr>
        <w:tblPrEx>
          <w:tblCellMar>
            <w:top w:w="0" w:type="dxa"/>
            <w:left w:w="0" w:type="dxa"/>
            <w:bottom w:w="0" w:type="dxa"/>
            <w:right w:w="0" w:type="dxa"/>
          </w:tblCellMar>
        </w:tblPrEx>
        <w:trPr>
          <w:trHeight w:val="600" w:hRule="atLeast"/>
          <w:jc w:val="center"/>
        </w:trPr>
        <w:tc>
          <w:tcPr>
            <w:tcW w:w="502" w:type="dxa"/>
            <w:vMerge w:val="continue"/>
            <w:tcBorders>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jc w:val="center"/>
              <w:rPr>
                <w:rFonts w:ascii="宋体" w:hAnsi="宋体" w:eastAsia="宋体" w:cs="宋体"/>
                <w:color w:val="000000"/>
                <w:kern w:val="0"/>
                <w:sz w:val="20"/>
                <w:szCs w:val="20"/>
                <w:lang w:bidi="ar"/>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时效指标</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验收时间</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12月底以前</w:t>
            </w:r>
          </w:p>
        </w:tc>
        <w:tc>
          <w:tcPr>
            <w:tcW w:w="1428"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0"/>
                <w:szCs w:val="20"/>
                <w:lang w:bidi="ar"/>
              </w:rPr>
              <w:t>中文图书验收工作尚未结束，其他均完成</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中文图书因有效投标人不足三家进行了二次招标，影响了验收进度；下一步将加快推进相关工作的开展。</w:t>
            </w:r>
          </w:p>
        </w:tc>
      </w:tr>
      <w:tr>
        <w:tblPrEx>
          <w:tblCellMar>
            <w:top w:w="0" w:type="dxa"/>
            <w:left w:w="0" w:type="dxa"/>
            <w:bottom w:w="0" w:type="dxa"/>
            <w:right w:w="0" w:type="dxa"/>
          </w:tblCellMar>
        </w:tblPrEx>
        <w:trPr>
          <w:trHeight w:val="600" w:hRule="atLeast"/>
          <w:jc w:val="center"/>
        </w:trPr>
        <w:tc>
          <w:tcPr>
            <w:tcW w:w="502"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成本指标</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经济成本指标</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项目总成本控制数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≤2167.4万元</w:t>
            </w:r>
          </w:p>
        </w:tc>
        <w:tc>
          <w:tcPr>
            <w:tcW w:w="1428"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0"/>
                <w:szCs w:val="20"/>
                <w:lang w:bidi="ar"/>
              </w:rPr>
              <w:t>1885.63552万元</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hint="eastAsia" w:ascii="宋体" w:hAnsi="宋体" w:eastAsia="宋体" w:cs="宋体"/>
                <w:color w:val="000000"/>
                <w:kern w:val="0"/>
                <w:sz w:val="20"/>
                <w:szCs w:val="20"/>
                <w:lang w:eastAsia="zh-CN" w:bidi="ar"/>
              </w:rPr>
            </w:pPr>
            <w:r>
              <w:rPr>
                <w:rFonts w:hint="eastAsia" w:ascii="宋体" w:hAnsi="宋体" w:eastAsia="宋体" w:cs="宋体"/>
                <w:color w:val="000000"/>
                <w:kern w:val="0"/>
                <w:sz w:val="20"/>
                <w:szCs w:val="20"/>
                <w:lang w:eastAsia="zh-CN" w:bidi="ar"/>
              </w:rPr>
              <w:t>——</w:t>
            </w:r>
          </w:p>
        </w:tc>
      </w:tr>
      <w:tr>
        <w:tblPrEx>
          <w:tblCellMar>
            <w:top w:w="0" w:type="dxa"/>
            <w:left w:w="0" w:type="dxa"/>
            <w:bottom w:w="0" w:type="dxa"/>
            <w:right w:w="0" w:type="dxa"/>
          </w:tblCellMar>
        </w:tblPrEx>
        <w:trPr>
          <w:trHeight w:val="600" w:hRule="atLeast"/>
          <w:jc w:val="center"/>
        </w:trPr>
        <w:tc>
          <w:tcPr>
            <w:tcW w:w="502"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效</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益</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指</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标</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社会效益指标</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年流通人次</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≥150万人</w:t>
            </w:r>
          </w:p>
        </w:tc>
        <w:tc>
          <w:tcPr>
            <w:tcW w:w="1428"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0"/>
                <w:szCs w:val="20"/>
                <w:lang w:bidi="ar"/>
              </w:rPr>
              <w:t>489.17万人</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hint="eastAsia" w:ascii="宋体" w:hAnsi="宋体" w:eastAsia="宋体" w:cs="宋体"/>
                <w:color w:val="000000"/>
                <w:kern w:val="0"/>
                <w:sz w:val="20"/>
                <w:szCs w:val="20"/>
                <w:lang w:eastAsia="zh-CN" w:bidi="ar"/>
              </w:rPr>
            </w:pPr>
            <w:r>
              <w:rPr>
                <w:rFonts w:hint="eastAsia" w:ascii="宋体" w:hAnsi="宋体" w:eastAsia="宋体" w:cs="宋体"/>
                <w:color w:val="000000"/>
                <w:kern w:val="0"/>
                <w:sz w:val="20"/>
                <w:szCs w:val="20"/>
                <w:lang w:eastAsia="zh-CN" w:bidi="ar"/>
              </w:rPr>
              <w:t>——</w:t>
            </w:r>
          </w:p>
        </w:tc>
      </w:tr>
      <w:tr>
        <w:tblPrEx>
          <w:tblCellMar>
            <w:top w:w="0" w:type="dxa"/>
            <w:left w:w="0" w:type="dxa"/>
            <w:bottom w:w="0" w:type="dxa"/>
            <w:right w:w="0" w:type="dxa"/>
          </w:tblCellMar>
        </w:tblPrEx>
        <w:trPr>
          <w:trHeight w:val="600" w:hRule="atLeast"/>
          <w:jc w:val="center"/>
        </w:trPr>
        <w:tc>
          <w:tcPr>
            <w:tcW w:w="50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jc w:val="center"/>
              <w:rPr>
                <w:rFonts w:ascii="宋体" w:hAnsi="宋体" w:eastAsia="宋体" w:cs="宋体"/>
                <w:color w:val="000000"/>
                <w:kern w:val="0"/>
                <w:sz w:val="20"/>
                <w:szCs w:val="20"/>
                <w:lang w:bidi="ar"/>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社会效益指标</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年文献外借量</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≥50万册</w:t>
            </w:r>
          </w:p>
        </w:tc>
        <w:tc>
          <w:tcPr>
            <w:tcW w:w="1428"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0"/>
                <w:szCs w:val="20"/>
                <w:lang w:bidi="ar"/>
              </w:rPr>
              <w:t>118.39万册</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hint="eastAsia" w:ascii="宋体" w:hAnsi="宋体" w:eastAsia="宋体" w:cs="宋体"/>
                <w:color w:val="000000"/>
                <w:kern w:val="0"/>
                <w:sz w:val="20"/>
                <w:szCs w:val="20"/>
                <w:lang w:eastAsia="zh-CN" w:bidi="ar"/>
              </w:rPr>
            </w:pPr>
            <w:r>
              <w:rPr>
                <w:rFonts w:hint="eastAsia" w:ascii="宋体" w:hAnsi="宋体" w:eastAsia="宋体" w:cs="宋体"/>
                <w:color w:val="000000"/>
                <w:kern w:val="0"/>
                <w:sz w:val="20"/>
                <w:szCs w:val="20"/>
                <w:lang w:eastAsia="zh-CN" w:bidi="ar"/>
              </w:rPr>
              <w:t>——</w:t>
            </w:r>
          </w:p>
        </w:tc>
      </w:tr>
      <w:tr>
        <w:tblPrEx>
          <w:tblCellMar>
            <w:top w:w="0" w:type="dxa"/>
            <w:left w:w="0" w:type="dxa"/>
            <w:bottom w:w="0" w:type="dxa"/>
            <w:right w:w="0" w:type="dxa"/>
          </w:tblCellMar>
        </w:tblPrEx>
        <w:trPr>
          <w:trHeight w:val="600" w:hRule="atLeast"/>
          <w:jc w:val="center"/>
        </w:trPr>
        <w:tc>
          <w:tcPr>
            <w:tcW w:w="502"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满意度指标</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服务对象</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满意度指标</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读者满意度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≥80%</w:t>
            </w:r>
          </w:p>
        </w:tc>
        <w:tc>
          <w:tcPr>
            <w:tcW w:w="1428"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99.65%</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hint="eastAsia" w:ascii="宋体" w:hAnsi="宋体" w:eastAsia="宋体" w:cs="宋体"/>
                <w:color w:val="000000"/>
                <w:kern w:val="0"/>
                <w:sz w:val="20"/>
                <w:szCs w:val="20"/>
                <w:lang w:eastAsia="zh-CN" w:bidi="ar"/>
              </w:rPr>
            </w:pPr>
            <w:r>
              <w:rPr>
                <w:rFonts w:hint="eastAsia" w:ascii="宋体" w:hAnsi="宋体" w:eastAsia="宋体" w:cs="宋体"/>
                <w:color w:val="000000"/>
                <w:kern w:val="0"/>
                <w:sz w:val="20"/>
                <w:szCs w:val="20"/>
                <w:lang w:eastAsia="zh-CN" w:bidi="ar"/>
              </w:rPr>
              <w:t>——</w:t>
            </w:r>
          </w:p>
        </w:tc>
      </w:tr>
    </w:tbl>
    <w:p>
      <w:pPr>
        <w:adjustRightInd w:val="0"/>
        <w:snapToGrid w:val="0"/>
        <w:spacing w:line="360" w:lineRule="auto"/>
        <w:rPr>
          <w:rFonts w:ascii="宋体" w:hAnsi="宋体" w:eastAsia="宋体" w:cs="宋体"/>
          <w:sz w:val="20"/>
          <w:szCs w:val="20"/>
        </w:rPr>
      </w:pP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2.濒危剧种免票或低票价演出项目</w:t>
      </w:r>
    </w:p>
    <w:p>
      <w:pPr>
        <w:adjustRightInd w:val="0"/>
        <w:snapToGrid w:val="0"/>
        <w:spacing w:line="360" w:lineRule="auto"/>
        <w:ind w:firstLine="640" w:firstLineChars="200"/>
        <w:rPr>
          <w:rFonts w:hint="eastAsia" w:ascii="仿宋_GB2312" w:hAnsi="仿宋_GB2312" w:cs="仿宋_GB2312"/>
          <w:sz w:val="32"/>
          <w:szCs w:val="32"/>
        </w:rPr>
      </w:pPr>
      <w:r>
        <w:rPr>
          <w:rFonts w:hint="eastAsia" w:ascii="仿宋_GB2312" w:hAnsi="仿宋_GB2312" w:cs="仿宋_GB2312"/>
          <w:sz w:val="32"/>
          <w:szCs w:val="32"/>
        </w:rPr>
        <w:t>2023年，该项目各项指标均达到计划标准。各项指标完成情况详见下表：</w:t>
      </w:r>
    </w:p>
    <w:p>
      <w:pPr>
        <w:adjustRightInd w:val="0"/>
        <w:snapToGrid w:val="0"/>
        <w:jc w:val="center"/>
        <w:rPr>
          <w:rFonts w:ascii="黑体" w:hAnsi="黑体" w:eastAsia="黑体" w:cs="黑体"/>
          <w:sz w:val="28"/>
          <w:szCs w:val="28"/>
        </w:rPr>
      </w:pPr>
      <w:r>
        <w:rPr>
          <w:rFonts w:hint="eastAsia" w:ascii="黑体" w:hAnsi="黑体" w:eastAsia="黑体" w:cs="黑体"/>
          <w:sz w:val="28"/>
          <w:szCs w:val="28"/>
        </w:rPr>
        <w:t>表</w:t>
      </w:r>
      <w:r>
        <w:rPr>
          <w:rFonts w:hint="eastAsia" w:ascii="黑体" w:hAnsi="黑体" w:eastAsia="黑体" w:cs="黑体"/>
          <w:sz w:val="28"/>
          <w:szCs w:val="28"/>
          <w:lang w:val="en-US" w:eastAsia="zh-CN"/>
        </w:rPr>
        <w:t>2</w:t>
      </w:r>
      <w:r>
        <w:rPr>
          <w:rFonts w:hint="eastAsia" w:ascii="黑体" w:hAnsi="黑体" w:eastAsia="黑体" w:cs="黑体"/>
          <w:sz w:val="28"/>
          <w:szCs w:val="28"/>
        </w:rPr>
        <w:t>：濒危剧种免票或低票价演出项目</w:t>
      </w:r>
    </w:p>
    <w:p>
      <w:pPr>
        <w:adjustRightInd w:val="0"/>
        <w:snapToGrid w:val="0"/>
        <w:jc w:val="center"/>
        <w:rPr>
          <w:rFonts w:ascii="黑体" w:hAnsi="黑体" w:eastAsia="黑体" w:cs="黑体"/>
          <w:sz w:val="28"/>
          <w:szCs w:val="28"/>
        </w:rPr>
      </w:pPr>
      <w:r>
        <w:rPr>
          <w:rFonts w:hint="eastAsia" w:ascii="黑体" w:hAnsi="黑体" w:eastAsia="黑体" w:cs="黑体"/>
          <w:sz w:val="28"/>
          <w:szCs w:val="28"/>
        </w:rPr>
        <w:t>2023年度绩效指标完成情况</w:t>
      </w:r>
    </w:p>
    <w:tbl>
      <w:tblPr>
        <w:tblStyle w:val="9"/>
        <w:tblW w:w="8635" w:type="dxa"/>
        <w:tblInd w:w="-1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8"/>
        <w:gridCol w:w="1455"/>
        <w:gridCol w:w="1732"/>
        <w:gridCol w:w="2133"/>
        <w:gridCol w:w="2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blHeader/>
        </w:trPr>
        <w:tc>
          <w:tcPr>
            <w:tcW w:w="1178" w:type="dxa"/>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一级指标</w:t>
            </w:r>
          </w:p>
        </w:tc>
        <w:tc>
          <w:tcPr>
            <w:tcW w:w="1455" w:type="dxa"/>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二级指标</w:t>
            </w:r>
          </w:p>
        </w:tc>
        <w:tc>
          <w:tcPr>
            <w:tcW w:w="1732" w:type="dxa"/>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三级指标</w:t>
            </w:r>
          </w:p>
        </w:tc>
        <w:tc>
          <w:tcPr>
            <w:tcW w:w="2133" w:type="dxa"/>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年度指标值</w:t>
            </w:r>
          </w:p>
        </w:tc>
        <w:tc>
          <w:tcPr>
            <w:tcW w:w="2137" w:type="dxa"/>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全年实际完成值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1178" w:type="dxa"/>
            <w:vMerge w:val="restart"/>
            <w:shd w:val="clear" w:color="auto" w:fill="auto"/>
            <w:vAlign w:val="center"/>
          </w:tcPr>
          <w:p>
            <w:pPr>
              <w:widowControl/>
              <w:jc w:val="center"/>
              <w:textAlignment w:val="center"/>
              <w:rPr>
                <w:rFonts w:hint="default" w:ascii="宋体" w:hAnsi="宋体" w:eastAsia="宋体" w:cs="宋体"/>
                <w:color w:val="000000"/>
                <w:sz w:val="20"/>
                <w:szCs w:val="20"/>
                <w:lang w:val="en-US" w:eastAsia="zh-CN"/>
              </w:rPr>
            </w:pPr>
            <w:r>
              <w:rPr>
                <w:rFonts w:hint="eastAsia" w:ascii="宋体" w:hAnsi="宋体" w:eastAsia="宋体" w:cs="宋体"/>
                <w:color w:val="000000"/>
                <w:sz w:val="20"/>
                <w:szCs w:val="20"/>
                <w:lang w:val="en-US" w:eastAsia="zh-CN"/>
              </w:rPr>
              <w:t>产出指标</w:t>
            </w:r>
          </w:p>
        </w:tc>
        <w:tc>
          <w:tcPr>
            <w:tcW w:w="1455" w:type="dxa"/>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数量指标</w:t>
            </w:r>
          </w:p>
        </w:tc>
        <w:tc>
          <w:tcPr>
            <w:tcW w:w="1732" w:type="dxa"/>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演出场次</w:t>
            </w:r>
          </w:p>
        </w:tc>
        <w:tc>
          <w:tcPr>
            <w:tcW w:w="2133" w:type="dxa"/>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≥100场</w:t>
            </w:r>
          </w:p>
        </w:tc>
        <w:tc>
          <w:tcPr>
            <w:tcW w:w="2137" w:type="dxa"/>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178" w:type="dxa"/>
            <w:vMerge w:val="continue"/>
            <w:tcBorders/>
            <w:shd w:val="clear" w:color="auto" w:fill="auto"/>
            <w:vAlign w:val="center"/>
          </w:tcPr>
          <w:p>
            <w:pPr>
              <w:jc w:val="center"/>
              <w:rPr>
                <w:rFonts w:ascii="宋体" w:hAnsi="宋体" w:eastAsia="宋体" w:cs="宋体"/>
                <w:color w:val="000000"/>
                <w:sz w:val="20"/>
                <w:szCs w:val="20"/>
              </w:rPr>
            </w:pPr>
          </w:p>
        </w:tc>
        <w:tc>
          <w:tcPr>
            <w:tcW w:w="1455" w:type="dxa"/>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数量指标</w:t>
            </w:r>
          </w:p>
        </w:tc>
        <w:tc>
          <w:tcPr>
            <w:tcW w:w="1732" w:type="dxa"/>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演出剧目</w:t>
            </w:r>
          </w:p>
        </w:tc>
        <w:tc>
          <w:tcPr>
            <w:tcW w:w="2133" w:type="dxa"/>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≥4篇（部）</w:t>
            </w:r>
          </w:p>
        </w:tc>
        <w:tc>
          <w:tcPr>
            <w:tcW w:w="2137" w:type="dxa"/>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16部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1178" w:type="dxa"/>
            <w:vMerge w:val="continue"/>
            <w:tcBorders/>
            <w:shd w:val="clear" w:color="auto" w:fill="auto"/>
            <w:vAlign w:val="center"/>
          </w:tcPr>
          <w:p>
            <w:pPr>
              <w:jc w:val="center"/>
              <w:rPr>
                <w:rFonts w:hint="default" w:ascii="宋体" w:hAnsi="宋体" w:eastAsia="宋体" w:cs="宋体"/>
                <w:color w:val="000000"/>
                <w:sz w:val="20"/>
                <w:szCs w:val="20"/>
                <w:lang w:val="en-US" w:eastAsia="zh-CN"/>
              </w:rPr>
            </w:pPr>
          </w:p>
        </w:tc>
        <w:tc>
          <w:tcPr>
            <w:tcW w:w="1455" w:type="dxa"/>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质量指标</w:t>
            </w:r>
          </w:p>
        </w:tc>
        <w:tc>
          <w:tcPr>
            <w:tcW w:w="1732" w:type="dxa"/>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项目演出质量</w:t>
            </w:r>
          </w:p>
        </w:tc>
        <w:tc>
          <w:tcPr>
            <w:tcW w:w="2133" w:type="dxa"/>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通过业务和财务双方工作验收</w:t>
            </w:r>
          </w:p>
        </w:tc>
        <w:tc>
          <w:tcPr>
            <w:tcW w:w="2137" w:type="dxa"/>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1178" w:type="dxa"/>
            <w:vMerge w:val="continue"/>
            <w:tcBorders/>
            <w:shd w:val="clear" w:color="auto" w:fill="auto"/>
            <w:vAlign w:val="center"/>
          </w:tcPr>
          <w:p>
            <w:pPr>
              <w:jc w:val="center"/>
              <w:rPr>
                <w:rFonts w:ascii="宋体" w:hAnsi="宋体" w:eastAsia="宋体" w:cs="宋体"/>
                <w:color w:val="000000"/>
                <w:sz w:val="20"/>
                <w:szCs w:val="20"/>
              </w:rPr>
            </w:pPr>
          </w:p>
        </w:tc>
        <w:tc>
          <w:tcPr>
            <w:tcW w:w="1455" w:type="dxa"/>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时效指标</w:t>
            </w:r>
          </w:p>
        </w:tc>
        <w:tc>
          <w:tcPr>
            <w:tcW w:w="1732" w:type="dxa"/>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全部完成时间</w:t>
            </w:r>
          </w:p>
        </w:tc>
        <w:tc>
          <w:tcPr>
            <w:tcW w:w="2133" w:type="dxa"/>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≤12月</w:t>
            </w:r>
          </w:p>
        </w:tc>
        <w:tc>
          <w:tcPr>
            <w:tcW w:w="2137" w:type="dxa"/>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11月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178" w:type="dxa"/>
            <w:vMerge w:val="restart"/>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成本指标</w:t>
            </w:r>
          </w:p>
        </w:tc>
        <w:tc>
          <w:tcPr>
            <w:tcW w:w="1455" w:type="dxa"/>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经济成本指标</w:t>
            </w:r>
          </w:p>
        </w:tc>
        <w:tc>
          <w:tcPr>
            <w:tcW w:w="1732" w:type="dxa"/>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单场成本</w:t>
            </w:r>
          </w:p>
        </w:tc>
        <w:tc>
          <w:tcPr>
            <w:tcW w:w="2133" w:type="dxa"/>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≤0.5万元/场</w:t>
            </w:r>
          </w:p>
        </w:tc>
        <w:tc>
          <w:tcPr>
            <w:tcW w:w="2137" w:type="dxa"/>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0.5万元/场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 w:hRule="atLeast"/>
        </w:trPr>
        <w:tc>
          <w:tcPr>
            <w:tcW w:w="1178" w:type="dxa"/>
            <w:vMerge w:val="continue"/>
            <w:shd w:val="clear" w:color="auto" w:fill="auto"/>
            <w:vAlign w:val="center"/>
          </w:tcPr>
          <w:p>
            <w:pPr>
              <w:jc w:val="center"/>
              <w:rPr>
                <w:rFonts w:ascii="宋体" w:hAnsi="宋体" w:eastAsia="宋体" w:cs="宋体"/>
                <w:color w:val="000000"/>
                <w:sz w:val="20"/>
                <w:szCs w:val="20"/>
              </w:rPr>
            </w:pPr>
          </w:p>
        </w:tc>
        <w:tc>
          <w:tcPr>
            <w:tcW w:w="1455" w:type="dxa"/>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经济成本指标</w:t>
            </w:r>
          </w:p>
        </w:tc>
        <w:tc>
          <w:tcPr>
            <w:tcW w:w="1732" w:type="dxa"/>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项目预算控制数</w:t>
            </w:r>
          </w:p>
        </w:tc>
        <w:tc>
          <w:tcPr>
            <w:tcW w:w="2133" w:type="dxa"/>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≤50万元</w:t>
            </w:r>
          </w:p>
        </w:tc>
        <w:tc>
          <w:tcPr>
            <w:tcW w:w="2137" w:type="dxa"/>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78" w:type="dxa"/>
            <w:vMerge w:val="restart"/>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效</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益</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指</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标</w:t>
            </w:r>
          </w:p>
        </w:tc>
        <w:tc>
          <w:tcPr>
            <w:tcW w:w="1455" w:type="dxa"/>
            <w:vMerge w:val="restart"/>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社会效益指标</w:t>
            </w:r>
          </w:p>
        </w:tc>
        <w:tc>
          <w:tcPr>
            <w:tcW w:w="1732" w:type="dxa"/>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预计整体项目结束观众观看人次</w:t>
            </w:r>
          </w:p>
        </w:tc>
        <w:tc>
          <w:tcPr>
            <w:tcW w:w="2133" w:type="dxa"/>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≥10000人次</w:t>
            </w:r>
          </w:p>
        </w:tc>
        <w:tc>
          <w:tcPr>
            <w:tcW w:w="2137" w:type="dxa"/>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15000人次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7" w:hRule="atLeast"/>
        </w:trPr>
        <w:tc>
          <w:tcPr>
            <w:tcW w:w="1178" w:type="dxa"/>
            <w:vMerge w:val="continue"/>
            <w:shd w:val="clear" w:color="auto" w:fill="auto"/>
            <w:vAlign w:val="center"/>
          </w:tcPr>
          <w:p>
            <w:pPr>
              <w:jc w:val="center"/>
              <w:rPr>
                <w:rFonts w:ascii="宋体" w:hAnsi="宋体" w:eastAsia="宋体" w:cs="宋体"/>
                <w:color w:val="000000"/>
                <w:sz w:val="20"/>
                <w:szCs w:val="20"/>
              </w:rPr>
            </w:pPr>
          </w:p>
        </w:tc>
        <w:tc>
          <w:tcPr>
            <w:tcW w:w="1455" w:type="dxa"/>
            <w:vMerge w:val="continue"/>
            <w:shd w:val="clear" w:color="auto" w:fill="auto"/>
            <w:vAlign w:val="center"/>
          </w:tcPr>
          <w:p>
            <w:pPr>
              <w:jc w:val="center"/>
              <w:rPr>
                <w:rFonts w:ascii="宋体" w:hAnsi="宋体" w:eastAsia="宋体" w:cs="宋体"/>
                <w:color w:val="000000"/>
                <w:sz w:val="20"/>
                <w:szCs w:val="20"/>
              </w:rPr>
            </w:pPr>
          </w:p>
        </w:tc>
        <w:tc>
          <w:tcPr>
            <w:tcW w:w="1732" w:type="dxa"/>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提高北京曲剧在广大观众群体里的认知度，喜爱度，努力掀起热爱北京曲剧的新的浪潮。</w:t>
            </w:r>
          </w:p>
        </w:tc>
        <w:tc>
          <w:tcPr>
            <w:tcW w:w="2133" w:type="dxa"/>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提高</w:t>
            </w:r>
          </w:p>
        </w:tc>
        <w:tc>
          <w:tcPr>
            <w:tcW w:w="2137" w:type="dxa"/>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178" w:type="dxa"/>
            <w:vMerge w:val="continue"/>
            <w:shd w:val="clear" w:color="auto" w:fill="auto"/>
            <w:vAlign w:val="center"/>
          </w:tcPr>
          <w:p>
            <w:pPr>
              <w:jc w:val="center"/>
              <w:rPr>
                <w:rFonts w:ascii="宋体" w:hAnsi="宋体" w:eastAsia="宋体" w:cs="宋体"/>
                <w:color w:val="000000"/>
                <w:sz w:val="20"/>
                <w:szCs w:val="20"/>
              </w:rPr>
            </w:pPr>
          </w:p>
        </w:tc>
        <w:tc>
          <w:tcPr>
            <w:tcW w:w="1455" w:type="dxa"/>
            <w:vMerge w:val="continue"/>
            <w:shd w:val="clear" w:color="auto" w:fill="auto"/>
            <w:vAlign w:val="center"/>
          </w:tcPr>
          <w:p>
            <w:pPr>
              <w:jc w:val="center"/>
              <w:rPr>
                <w:rFonts w:ascii="宋体" w:hAnsi="宋体" w:eastAsia="宋体" w:cs="宋体"/>
                <w:color w:val="000000"/>
                <w:sz w:val="20"/>
                <w:szCs w:val="20"/>
              </w:rPr>
            </w:pPr>
          </w:p>
        </w:tc>
        <w:tc>
          <w:tcPr>
            <w:tcW w:w="1732" w:type="dxa"/>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上座率</w:t>
            </w:r>
          </w:p>
        </w:tc>
        <w:tc>
          <w:tcPr>
            <w:tcW w:w="2133" w:type="dxa"/>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≥70%</w:t>
            </w:r>
          </w:p>
        </w:tc>
        <w:tc>
          <w:tcPr>
            <w:tcW w:w="2137" w:type="dxa"/>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trPr>
        <w:tc>
          <w:tcPr>
            <w:tcW w:w="1178" w:type="dxa"/>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满意度指标</w:t>
            </w:r>
          </w:p>
        </w:tc>
        <w:tc>
          <w:tcPr>
            <w:tcW w:w="1455" w:type="dxa"/>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服务对象</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满意度指标</w:t>
            </w:r>
          </w:p>
        </w:tc>
        <w:tc>
          <w:tcPr>
            <w:tcW w:w="1732" w:type="dxa"/>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观众满意度指标</w:t>
            </w:r>
          </w:p>
        </w:tc>
        <w:tc>
          <w:tcPr>
            <w:tcW w:w="2133" w:type="dxa"/>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85%</w:t>
            </w:r>
          </w:p>
        </w:tc>
        <w:tc>
          <w:tcPr>
            <w:tcW w:w="2137" w:type="dxa"/>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99.33%</w:t>
            </w:r>
          </w:p>
        </w:tc>
      </w:tr>
    </w:tbl>
    <w:p>
      <w:pPr>
        <w:adjustRightInd w:val="0"/>
        <w:snapToGrid w:val="0"/>
        <w:spacing w:line="360" w:lineRule="auto"/>
        <w:rPr>
          <w:rFonts w:ascii="宋体" w:hAnsi="宋体" w:eastAsia="宋体"/>
          <w:sz w:val="20"/>
          <w:szCs w:val="20"/>
        </w:rPr>
      </w:pPr>
    </w:p>
    <w:p>
      <w:pPr>
        <w:adjustRightInd w:val="0"/>
        <w:snapToGrid w:val="0"/>
        <w:spacing w:line="360" w:lineRule="auto"/>
        <w:ind w:firstLine="640" w:firstLineChars="200"/>
        <w:rPr>
          <w:rFonts w:hint="eastAsia" w:ascii="仿宋_GB2312" w:hAnsi="仿宋_GB2312" w:cs="仿宋_GB2312"/>
          <w:sz w:val="32"/>
          <w:szCs w:val="32"/>
        </w:rPr>
      </w:pP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3.公共文化云建设项目</w:t>
      </w:r>
    </w:p>
    <w:p>
      <w:pPr>
        <w:adjustRightInd w:val="0"/>
        <w:snapToGrid w:val="0"/>
        <w:spacing w:line="360" w:lineRule="auto"/>
        <w:ind w:firstLine="640" w:firstLineChars="200"/>
        <w:rPr>
          <w:rFonts w:ascii="黑体" w:hAnsi="黑体" w:eastAsia="黑体" w:cs="黑体"/>
          <w:sz w:val="28"/>
          <w:szCs w:val="28"/>
        </w:rPr>
      </w:pPr>
      <w:r>
        <w:rPr>
          <w:rFonts w:hint="eastAsia" w:ascii="仿宋_GB2312" w:hAnsi="仿宋_GB2312" w:cs="仿宋_GB2312"/>
          <w:sz w:val="32"/>
          <w:szCs w:val="32"/>
        </w:rPr>
        <w:t>该项目基本按计划完成了中央下达的各项绩效指标。各项指标完成情况详见下表：</w:t>
      </w:r>
    </w:p>
    <w:p>
      <w:pPr>
        <w:adjustRightInd w:val="0"/>
        <w:snapToGrid w:val="0"/>
        <w:spacing w:line="360" w:lineRule="auto"/>
        <w:jc w:val="center"/>
        <w:rPr>
          <w:rFonts w:ascii="黑体" w:hAnsi="黑体" w:eastAsia="黑体" w:cs="黑体"/>
          <w:sz w:val="28"/>
          <w:szCs w:val="28"/>
        </w:rPr>
      </w:pPr>
      <w:r>
        <w:rPr>
          <w:rFonts w:hint="eastAsia" w:ascii="黑体" w:hAnsi="黑体" w:eastAsia="黑体" w:cs="黑体"/>
          <w:sz w:val="28"/>
          <w:szCs w:val="28"/>
        </w:rPr>
        <w:t>表</w:t>
      </w:r>
      <w:r>
        <w:rPr>
          <w:rFonts w:hint="eastAsia" w:ascii="黑体" w:hAnsi="黑体" w:eastAsia="黑体" w:cs="黑体"/>
          <w:sz w:val="28"/>
          <w:szCs w:val="28"/>
          <w:lang w:val="en-US" w:eastAsia="zh-CN"/>
        </w:rPr>
        <w:t>3</w:t>
      </w:r>
      <w:r>
        <w:rPr>
          <w:rFonts w:hint="eastAsia" w:ascii="黑体" w:hAnsi="黑体" w:eastAsia="黑体" w:cs="黑体"/>
          <w:sz w:val="28"/>
          <w:szCs w:val="28"/>
        </w:rPr>
        <w:t>：公共文化云建设项目2023年度绩效指标完成情况</w:t>
      </w:r>
    </w:p>
    <w:tbl>
      <w:tblPr>
        <w:tblStyle w:val="9"/>
        <w:tblW w:w="8598" w:type="dxa"/>
        <w:tblInd w:w="-183" w:type="dxa"/>
        <w:tblLayout w:type="fixed"/>
        <w:tblCellMar>
          <w:top w:w="0" w:type="dxa"/>
          <w:left w:w="108" w:type="dxa"/>
          <w:bottom w:w="0" w:type="dxa"/>
          <w:right w:w="108" w:type="dxa"/>
        </w:tblCellMar>
      </w:tblPr>
      <w:tblGrid>
        <w:gridCol w:w="863"/>
        <w:gridCol w:w="1072"/>
        <w:gridCol w:w="2588"/>
        <w:gridCol w:w="3120"/>
        <w:gridCol w:w="955"/>
      </w:tblGrid>
      <w:tr>
        <w:tblPrEx>
          <w:tblCellMar>
            <w:top w:w="0" w:type="dxa"/>
            <w:left w:w="108" w:type="dxa"/>
            <w:bottom w:w="0" w:type="dxa"/>
            <w:right w:w="108" w:type="dxa"/>
          </w:tblCellMar>
        </w:tblPrEx>
        <w:trPr>
          <w:trHeight w:val="510" w:hRule="atLeast"/>
          <w:tblHeader/>
        </w:trPr>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一级</w:t>
            </w:r>
            <w:r>
              <w:rPr>
                <w:rFonts w:hint="eastAsia" w:ascii="宋体" w:hAnsi="宋体" w:eastAsia="宋体" w:cs="宋体"/>
                <w:b/>
                <w:bCs/>
                <w:color w:val="000000"/>
                <w:kern w:val="0"/>
                <w:sz w:val="20"/>
                <w:szCs w:val="20"/>
                <w:lang w:bidi="ar"/>
              </w:rPr>
              <w:br w:type="textWrapping"/>
            </w:r>
            <w:r>
              <w:rPr>
                <w:rFonts w:hint="eastAsia" w:ascii="宋体" w:hAnsi="宋体" w:eastAsia="宋体" w:cs="宋体"/>
                <w:b/>
                <w:bCs/>
                <w:color w:val="000000"/>
                <w:kern w:val="0"/>
                <w:sz w:val="20"/>
                <w:szCs w:val="20"/>
                <w:lang w:bidi="ar"/>
              </w:rPr>
              <w:t>指标</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二级指标</w:t>
            </w:r>
          </w:p>
        </w:tc>
        <w:tc>
          <w:tcPr>
            <w:tcW w:w="25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三级指标</w:t>
            </w:r>
          </w:p>
        </w:tc>
        <w:tc>
          <w:tcPr>
            <w:tcW w:w="31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年度指标值</w:t>
            </w:r>
          </w:p>
        </w:tc>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完成值</w:t>
            </w:r>
          </w:p>
        </w:tc>
      </w:tr>
      <w:tr>
        <w:tblPrEx>
          <w:tblCellMar>
            <w:top w:w="0" w:type="dxa"/>
            <w:left w:w="108" w:type="dxa"/>
            <w:bottom w:w="0" w:type="dxa"/>
            <w:right w:w="108" w:type="dxa"/>
          </w:tblCellMar>
        </w:tblPrEx>
        <w:trPr>
          <w:trHeight w:val="270" w:hRule="atLeast"/>
        </w:trPr>
        <w:tc>
          <w:tcPr>
            <w:tcW w:w="863"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sz w:val="20"/>
                <w:szCs w:val="20"/>
                <w:lang w:val="en-US" w:eastAsia="zh-CN"/>
              </w:rPr>
            </w:pPr>
            <w:r>
              <w:rPr>
                <w:rFonts w:hint="eastAsia" w:ascii="宋体" w:hAnsi="宋体" w:eastAsia="宋体" w:cs="宋体"/>
                <w:color w:val="000000"/>
                <w:sz w:val="20"/>
                <w:szCs w:val="20"/>
                <w:lang w:val="en-US" w:eastAsia="zh-CN"/>
              </w:rPr>
              <w:t>产出指标</w:t>
            </w:r>
          </w:p>
        </w:tc>
        <w:tc>
          <w:tcPr>
            <w:tcW w:w="10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数量指标</w:t>
            </w:r>
          </w:p>
        </w:tc>
        <w:tc>
          <w:tcPr>
            <w:tcW w:w="25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直录播场次</w:t>
            </w:r>
          </w:p>
        </w:tc>
        <w:tc>
          <w:tcPr>
            <w:tcW w:w="31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≥25场次</w:t>
            </w:r>
          </w:p>
        </w:tc>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27场次</w:t>
            </w:r>
          </w:p>
        </w:tc>
      </w:tr>
      <w:tr>
        <w:tblPrEx>
          <w:tblCellMar>
            <w:top w:w="0" w:type="dxa"/>
            <w:left w:w="108" w:type="dxa"/>
            <w:bottom w:w="0" w:type="dxa"/>
            <w:right w:w="108" w:type="dxa"/>
          </w:tblCellMar>
        </w:tblPrEx>
        <w:trPr>
          <w:trHeight w:val="270" w:hRule="atLeast"/>
        </w:trPr>
        <w:tc>
          <w:tcPr>
            <w:tcW w:w="863"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5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区域性群众文化活动</w:t>
            </w:r>
          </w:p>
        </w:tc>
        <w:tc>
          <w:tcPr>
            <w:tcW w:w="31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≥5场次</w:t>
            </w:r>
          </w:p>
        </w:tc>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5场次</w:t>
            </w:r>
          </w:p>
        </w:tc>
      </w:tr>
      <w:tr>
        <w:tblPrEx>
          <w:tblCellMar>
            <w:top w:w="0" w:type="dxa"/>
            <w:left w:w="108" w:type="dxa"/>
            <w:bottom w:w="0" w:type="dxa"/>
            <w:right w:w="108" w:type="dxa"/>
          </w:tblCellMar>
        </w:tblPrEx>
        <w:trPr>
          <w:trHeight w:val="270" w:hRule="atLeast"/>
        </w:trPr>
        <w:tc>
          <w:tcPr>
            <w:tcW w:w="863" w:type="dxa"/>
            <w:vMerge w:val="continue"/>
            <w:tcBorders>
              <w:left w:val="single" w:color="000000" w:sz="4" w:space="0"/>
              <w:right w:val="single" w:color="000000" w:sz="4" w:space="0"/>
            </w:tcBorders>
            <w:shd w:val="clear" w:color="auto" w:fill="auto"/>
            <w:vAlign w:val="center"/>
          </w:tcPr>
          <w:p>
            <w:pPr>
              <w:jc w:val="center"/>
              <w:rPr>
                <w:rFonts w:hint="default" w:ascii="宋体" w:hAnsi="宋体" w:eastAsia="宋体" w:cs="宋体"/>
                <w:color w:val="000000"/>
                <w:sz w:val="20"/>
                <w:szCs w:val="20"/>
                <w:lang w:val="en-US" w:eastAsia="zh-CN"/>
              </w:rPr>
            </w:pPr>
          </w:p>
        </w:tc>
        <w:tc>
          <w:tcPr>
            <w:tcW w:w="10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5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学才艺课程</w:t>
            </w:r>
          </w:p>
        </w:tc>
        <w:tc>
          <w:tcPr>
            <w:tcW w:w="31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≥80门</w:t>
            </w:r>
          </w:p>
        </w:tc>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80门</w:t>
            </w:r>
          </w:p>
        </w:tc>
      </w:tr>
      <w:tr>
        <w:tblPrEx>
          <w:tblCellMar>
            <w:top w:w="0" w:type="dxa"/>
            <w:left w:w="108" w:type="dxa"/>
            <w:bottom w:w="0" w:type="dxa"/>
            <w:right w:w="108" w:type="dxa"/>
          </w:tblCellMar>
        </w:tblPrEx>
        <w:trPr>
          <w:trHeight w:val="270" w:hRule="atLeast"/>
        </w:trPr>
        <w:tc>
          <w:tcPr>
            <w:tcW w:w="863"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5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订场馆信息</w:t>
            </w:r>
          </w:p>
        </w:tc>
        <w:tc>
          <w:tcPr>
            <w:tcW w:w="31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≥779条</w:t>
            </w:r>
          </w:p>
        </w:tc>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1108条</w:t>
            </w:r>
          </w:p>
        </w:tc>
      </w:tr>
      <w:tr>
        <w:tblPrEx>
          <w:tblCellMar>
            <w:top w:w="0" w:type="dxa"/>
            <w:left w:w="108" w:type="dxa"/>
            <w:bottom w:w="0" w:type="dxa"/>
            <w:right w:w="108" w:type="dxa"/>
          </w:tblCellMar>
        </w:tblPrEx>
        <w:trPr>
          <w:trHeight w:val="270" w:hRule="atLeast"/>
        </w:trPr>
        <w:tc>
          <w:tcPr>
            <w:tcW w:w="863"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5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建设赶大集专区</w:t>
            </w:r>
          </w:p>
        </w:tc>
        <w:tc>
          <w:tcPr>
            <w:tcW w:w="31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1个</w:t>
            </w:r>
          </w:p>
        </w:tc>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1个</w:t>
            </w:r>
          </w:p>
        </w:tc>
      </w:tr>
      <w:tr>
        <w:tblPrEx>
          <w:tblCellMar>
            <w:top w:w="0" w:type="dxa"/>
            <w:left w:w="108" w:type="dxa"/>
            <w:bottom w:w="0" w:type="dxa"/>
            <w:right w:w="108" w:type="dxa"/>
          </w:tblCellMar>
        </w:tblPrEx>
        <w:trPr>
          <w:trHeight w:val="537" w:hRule="atLeast"/>
        </w:trPr>
        <w:tc>
          <w:tcPr>
            <w:tcW w:w="863"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5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全民艺术普及数字资源</w:t>
            </w:r>
          </w:p>
        </w:tc>
        <w:tc>
          <w:tcPr>
            <w:tcW w:w="31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≥33小时</w:t>
            </w:r>
          </w:p>
        </w:tc>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33小时</w:t>
            </w:r>
          </w:p>
        </w:tc>
      </w:tr>
      <w:tr>
        <w:tblPrEx>
          <w:tblCellMar>
            <w:top w:w="0" w:type="dxa"/>
            <w:left w:w="108" w:type="dxa"/>
            <w:bottom w:w="0" w:type="dxa"/>
            <w:right w:w="108" w:type="dxa"/>
          </w:tblCellMar>
        </w:tblPrEx>
        <w:trPr>
          <w:trHeight w:val="270" w:hRule="atLeast"/>
        </w:trPr>
        <w:tc>
          <w:tcPr>
            <w:tcW w:w="863"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72"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质量指标</w:t>
            </w:r>
          </w:p>
        </w:tc>
        <w:tc>
          <w:tcPr>
            <w:tcW w:w="25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通过国家云平台直录播审核并播出的比例</w:t>
            </w:r>
          </w:p>
        </w:tc>
        <w:tc>
          <w:tcPr>
            <w:tcW w:w="31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r>
      <w:tr>
        <w:tblPrEx>
          <w:tblCellMar>
            <w:top w:w="0" w:type="dxa"/>
            <w:left w:w="108" w:type="dxa"/>
            <w:bottom w:w="0" w:type="dxa"/>
            <w:right w:w="108" w:type="dxa"/>
          </w:tblCellMar>
        </w:tblPrEx>
        <w:trPr>
          <w:trHeight w:val="510" w:hRule="atLeast"/>
        </w:trPr>
        <w:tc>
          <w:tcPr>
            <w:tcW w:w="863"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72"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5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直录播活动质量</w:t>
            </w:r>
          </w:p>
        </w:tc>
        <w:tc>
          <w:tcPr>
            <w:tcW w:w="31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满足公共文化云建设项目“十四五”建设指南要求</w:t>
            </w:r>
          </w:p>
        </w:tc>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r>
      <w:tr>
        <w:tblPrEx>
          <w:tblCellMar>
            <w:top w:w="0" w:type="dxa"/>
            <w:left w:w="108" w:type="dxa"/>
            <w:bottom w:w="0" w:type="dxa"/>
            <w:right w:w="108" w:type="dxa"/>
          </w:tblCellMar>
        </w:tblPrEx>
        <w:trPr>
          <w:trHeight w:val="765" w:hRule="atLeast"/>
        </w:trPr>
        <w:tc>
          <w:tcPr>
            <w:tcW w:w="863"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72"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5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区域性群众文化活动</w:t>
            </w:r>
          </w:p>
        </w:tc>
        <w:tc>
          <w:tcPr>
            <w:tcW w:w="31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线上活动的举办和专题页建设并适用于 web、app、H5，兼容 IOS 和安卓系统</w:t>
            </w:r>
          </w:p>
        </w:tc>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r>
      <w:tr>
        <w:tblPrEx>
          <w:tblCellMar>
            <w:top w:w="0" w:type="dxa"/>
            <w:left w:w="108" w:type="dxa"/>
            <w:bottom w:w="0" w:type="dxa"/>
            <w:right w:w="108" w:type="dxa"/>
          </w:tblCellMar>
        </w:tblPrEx>
        <w:trPr>
          <w:trHeight w:val="510" w:hRule="atLeast"/>
        </w:trPr>
        <w:tc>
          <w:tcPr>
            <w:tcW w:w="863"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72"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5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学才艺课程内容</w:t>
            </w:r>
          </w:p>
        </w:tc>
        <w:tc>
          <w:tcPr>
            <w:tcW w:w="31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满足公共文化云建设项目“十四五”建设指南要求</w:t>
            </w:r>
          </w:p>
        </w:tc>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r>
      <w:tr>
        <w:tblPrEx>
          <w:tblCellMar>
            <w:top w:w="0" w:type="dxa"/>
            <w:left w:w="108" w:type="dxa"/>
            <w:bottom w:w="0" w:type="dxa"/>
            <w:right w:w="108" w:type="dxa"/>
          </w:tblCellMar>
        </w:tblPrEx>
        <w:trPr>
          <w:trHeight w:val="510" w:hRule="atLeast"/>
        </w:trPr>
        <w:tc>
          <w:tcPr>
            <w:tcW w:w="863"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72"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5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学才艺课程结构</w:t>
            </w:r>
          </w:p>
        </w:tc>
        <w:tc>
          <w:tcPr>
            <w:tcW w:w="31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每门课程不少于6个章节；每门课程总时长不少于45分钟</w:t>
            </w:r>
          </w:p>
        </w:tc>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r>
      <w:tr>
        <w:tblPrEx>
          <w:tblCellMar>
            <w:top w:w="0" w:type="dxa"/>
            <w:left w:w="108" w:type="dxa"/>
            <w:bottom w:w="0" w:type="dxa"/>
            <w:right w:w="108" w:type="dxa"/>
          </w:tblCellMar>
        </w:tblPrEx>
        <w:trPr>
          <w:trHeight w:val="270" w:hRule="atLeast"/>
        </w:trPr>
        <w:tc>
          <w:tcPr>
            <w:tcW w:w="863"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72"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5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学才艺课程视频</w:t>
            </w:r>
          </w:p>
        </w:tc>
        <w:tc>
          <w:tcPr>
            <w:tcW w:w="31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课程要求画质高清、声音清楚</w:t>
            </w:r>
          </w:p>
        </w:tc>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r>
      <w:tr>
        <w:tblPrEx>
          <w:tblCellMar>
            <w:top w:w="0" w:type="dxa"/>
            <w:left w:w="108" w:type="dxa"/>
            <w:bottom w:w="0" w:type="dxa"/>
            <w:right w:w="108" w:type="dxa"/>
          </w:tblCellMar>
        </w:tblPrEx>
        <w:trPr>
          <w:trHeight w:val="270" w:hRule="atLeast"/>
        </w:trPr>
        <w:tc>
          <w:tcPr>
            <w:tcW w:w="863"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72"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5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订场馆信息准确率</w:t>
            </w:r>
          </w:p>
        </w:tc>
        <w:tc>
          <w:tcPr>
            <w:tcW w:w="31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r>
      <w:tr>
        <w:tblPrEx>
          <w:tblCellMar>
            <w:top w:w="0" w:type="dxa"/>
            <w:left w:w="108" w:type="dxa"/>
            <w:bottom w:w="0" w:type="dxa"/>
            <w:right w:w="108" w:type="dxa"/>
          </w:tblCellMar>
        </w:tblPrEx>
        <w:trPr>
          <w:trHeight w:val="484" w:hRule="atLeast"/>
        </w:trPr>
        <w:tc>
          <w:tcPr>
            <w:tcW w:w="863" w:type="dxa"/>
            <w:vMerge w:val="continue"/>
            <w:tcBorders>
              <w:left w:val="single" w:color="000000" w:sz="4" w:space="0"/>
              <w:right w:val="single" w:color="000000" w:sz="4" w:space="0"/>
            </w:tcBorders>
            <w:shd w:val="clear" w:color="auto" w:fill="auto"/>
            <w:vAlign w:val="center"/>
          </w:tcPr>
          <w:p>
            <w:pPr>
              <w:jc w:val="center"/>
              <w:rPr>
                <w:rFonts w:hint="default" w:ascii="宋体" w:hAnsi="宋体" w:eastAsia="宋体" w:cs="宋体"/>
                <w:color w:val="000000"/>
                <w:sz w:val="20"/>
                <w:szCs w:val="20"/>
                <w:lang w:val="en-US" w:eastAsia="zh-CN"/>
              </w:rPr>
            </w:pPr>
          </w:p>
        </w:tc>
        <w:tc>
          <w:tcPr>
            <w:tcW w:w="1072" w:type="dxa"/>
            <w:vMerge w:val="continue"/>
            <w:tcBorders>
              <w:left w:val="single" w:color="000000" w:sz="4" w:space="0"/>
              <w:right w:val="single" w:color="000000" w:sz="4" w:space="0"/>
            </w:tcBorders>
            <w:shd w:val="clear" w:color="auto" w:fill="auto"/>
            <w:vAlign w:val="center"/>
          </w:tcPr>
          <w:p>
            <w:pPr>
              <w:jc w:val="center"/>
              <w:rPr>
                <w:rFonts w:hint="default" w:ascii="宋体" w:hAnsi="宋体" w:eastAsia="宋体" w:cs="宋体"/>
                <w:color w:val="000000"/>
                <w:sz w:val="20"/>
                <w:szCs w:val="20"/>
                <w:lang w:val="en-US" w:eastAsia="zh-CN"/>
              </w:rPr>
            </w:pPr>
          </w:p>
        </w:tc>
        <w:tc>
          <w:tcPr>
            <w:tcW w:w="25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赶大集专区</w:t>
            </w:r>
          </w:p>
        </w:tc>
        <w:tc>
          <w:tcPr>
            <w:tcW w:w="31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完成开设店铺；加载文创产品；完成人员培训</w:t>
            </w:r>
          </w:p>
        </w:tc>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r>
      <w:tr>
        <w:tblPrEx>
          <w:tblCellMar>
            <w:top w:w="0" w:type="dxa"/>
            <w:left w:w="108" w:type="dxa"/>
            <w:bottom w:w="0" w:type="dxa"/>
            <w:right w:w="108" w:type="dxa"/>
          </w:tblCellMar>
        </w:tblPrEx>
        <w:trPr>
          <w:trHeight w:val="1275" w:hRule="atLeast"/>
        </w:trPr>
        <w:tc>
          <w:tcPr>
            <w:tcW w:w="863"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72"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5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全民艺术普及数字资源</w:t>
            </w:r>
          </w:p>
        </w:tc>
        <w:tc>
          <w:tcPr>
            <w:tcW w:w="31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不低于高清标准，画面清晰。声音符合相关技术标准，无失真，配音、配乐得当。字幕使用规范，无错别字。解说得当，普通话发音。</w:t>
            </w:r>
          </w:p>
        </w:tc>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r>
      <w:tr>
        <w:tblPrEx>
          <w:tblCellMar>
            <w:top w:w="0" w:type="dxa"/>
            <w:left w:w="108" w:type="dxa"/>
            <w:bottom w:w="0" w:type="dxa"/>
            <w:right w:w="108" w:type="dxa"/>
          </w:tblCellMar>
        </w:tblPrEx>
        <w:trPr>
          <w:trHeight w:val="414" w:hRule="atLeast"/>
        </w:trPr>
        <w:tc>
          <w:tcPr>
            <w:tcW w:w="863"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时效指标</w:t>
            </w:r>
          </w:p>
        </w:tc>
        <w:tc>
          <w:tcPr>
            <w:tcW w:w="25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项目实施</w:t>
            </w:r>
          </w:p>
        </w:tc>
        <w:tc>
          <w:tcPr>
            <w:tcW w:w="31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2023年12月底前</w:t>
            </w:r>
          </w:p>
        </w:tc>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2023年12月底</w:t>
            </w:r>
          </w:p>
        </w:tc>
      </w:tr>
      <w:tr>
        <w:tblPrEx>
          <w:tblCellMar>
            <w:top w:w="0" w:type="dxa"/>
            <w:left w:w="108" w:type="dxa"/>
            <w:bottom w:w="0" w:type="dxa"/>
            <w:right w:w="108" w:type="dxa"/>
          </w:tblCellMar>
        </w:tblPrEx>
        <w:trPr>
          <w:trHeight w:val="359" w:hRule="atLeast"/>
        </w:trPr>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成本指标</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经济成本指标</w:t>
            </w:r>
          </w:p>
        </w:tc>
        <w:tc>
          <w:tcPr>
            <w:tcW w:w="25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项目总预算</w:t>
            </w:r>
          </w:p>
        </w:tc>
        <w:tc>
          <w:tcPr>
            <w:tcW w:w="31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≤550万元</w:t>
            </w:r>
          </w:p>
        </w:tc>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436万元</w:t>
            </w:r>
          </w:p>
        </w:tc>
      </w:tr>
      <w:tr>
        <w:tblPrEx>
          <w:tblCellMar>
            <w:top w:w="0" w:type="dxa"/>
            <w:left w:w="108" w:type="dxa"/>
            <w:bottom w:w="0" w:type="dxa"/>
            <w:right w:w="108" w:type="dxa"/>
          </w:tblCellMar>
        </w:tblPrEx>
        <w:trPr>
          <w:trHeight w:val="510" w:hRule="atLeast"/>
        </w:trPr>
        <w:tc>
          <w:tcPr>
            <w:tcW w:w="8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效益指标</w:t>
            </w:r>
          </w:p>
        </w:tc>
        <w:tc>
          <w:tcPr>
            <w:tcW w:w="10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社会效益指标</w:t>
            </w:r>
          </w:p>
        </w:tc>
        <w:tc>
          <w:tcPr>
            <w:tcW w:w="25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在为广大群众提供更多、更好、更丰富的文化及生活需求方面的社会影响力</w:t>
            </w:r>
          </w:p>
        </w:tc>
        <w:tc>
          <w:tcPr>
            <w:tcW w:w="31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服务内容更加丰富、满足多样化文化需求</w:t>
            </w:r>
          </w:p>
        </w:tc>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r>
      <w:tr>
        <w:tblPrEx>
          <w:tblCellMar>
            <w:top w:w="0" w:type="dxa"/>
            <w:left w:w="108" w:type="dxa"/>
            <w:bottom w:w="0" w:type="dxa"/>
            <w:right w:w="108" w:type="dxa"/>
          </w:tblCellMar>
        </w:tblPrEx>
        <w:trPr>
          <w:trHeight w:val="270" w:hRule="atLeast"/>
        </w:trPr>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5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服务能力</w:t>
            </w:r>
          </w:p>
        </w:tc>
        <w:tc>
          <w:tcPr>
            <w:tcW w:w="31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提升</w:t>
            </w:r>
          </w:p>
        </w:tc>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r>
      <w:tr>
        <w:tblPrEx>
          <w:tblCellMar>
            <w:top w:w="0" w:type="dxa"/>
            <w:left w:w="108" w:type="dxa"/>
            <w:bottom w:w="0" w:type="dxa"/>
            <w:right w:w="108" w:type="dxa"/>
          </w:tblCellMar>
        </w:tblPrEx>
        <w:trPr>
          <w:trHeight w:val="765" w:hRule="atLeast"/>
        </w:trPr>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满意度指标</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服务对象满意度指标</w:t>
            </w:r>
          </w:p>
        </w:tc>
        <w:tc>
          <w:tcPr>
            <w:tcW w:w="25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网络受众满意度</w:t>
            </w:r>
          </w:p>
        </w:tc>
        <w:tc>
          <w:tcPr>
            <w:tcW w:w="31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90%</w:t>
            </w:r>
          </w:p>
        </w:tc>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95.61%</w:t>
            </w:r>
          </w:p>
        </w:tc>
      </w:tr>
    </w:tbl>
    <w:p>
      <w:pPr>
        <w:adjustRightInd w:val="0"/>
        <w:snapToGrid w:val="0"/>
        <w:spacing w:line="360" w:lineRule="auto"/>
        <w:rPr>
          <w:rFonts w:ascii="宋体" w:hAnsi="宋体" w:eastAsia="宋体"/>
          <w:sz w:val="20"/>
          <w:szCs w:val="20"/>
        </w:rPr>
      </w:pP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4.全国智慧图书馆体系建设项目</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2023年，该项目按计划完成了中央下达的各项绩效指标</w:t>
      </w:r>
      <w:r>
        <w:rPr>
          <w:rFonts w:hint="eastAsia" w:ascii="仿宋_GB2312" w:hAnsi="仿宋_GB2312" w:cs="仿宋_GB2312"/>
          <w:sz w:val="32"/>
          <w:szCs w:val="32"/>
          <w:lang w:eastAsia="zh-CN"/>
        </w:rPr>
        <w:t>。</w:t>
      </w:r>
      <w:r>
        <w:rPr>
          <w:rFonts w:hint="eastAsia" w:ascii="仿宋_GB2312" w:hAnsi="仿宋_GB2312" w:cs="仿宋_GB2312"/>
          <w:sz w:val="32"/>
          <w:szCs w:val="32"/>
        </w:rPr>
        <w:t>各项指标完成情况详见下表：</w:t>
      </w:r>
    </w:p>
    <w:p>
      <w:pPr>
        <w:adjustRightInd w:val="0"/>
        <w:snapToGrid w:val="0"/>
        <w:spacing w:line="360" w:lineRule="auto"/>
        <w:jc w:val="center"/>
        <w:rPr>
          <w:rFonts w:ascii="黑体" w:hAnsi="黑体" w:eastAsia="黑体" w:cs="黑体"/>
          <w:sz w:val="28"/>
          <w:szCs w:val="28"/>
        </w:rPr>
      </w:pPr>
      <w:r>
        <w:rPr>
          <w:rFonts w:hint="eastAsia" w:ascii="黑体" w:hAnsi="黑体" w:eastAsia="黑体" w:cs="黑体"/>
          <w:sz w:val="28"/>
          <w:szCs w:val="28"/>
        </w:rPr>
        <w:t>表</w:t>
      </w:r>
      <w:r>
        <w:rPr>
          <w:rFonts w:hint="eastAsia" w:ascii="黑体" w:hAnsi="黑体" w:eastAsia="黑体" w:cs="黑体"/>
          <w:sz w:val="28"/>
          <w:szCs w:val="28"/>
          <w:lang w:val="en-US" w:eastAsia="zh-CN"/>
        </w:rPr>
        <w:t>4</w:t>
      </w:r>
      <w:r>
        <w:rPr>
          <w:rFonts w:hint="eastAsia" w:ascii="黑体" w:hAnsi="黑体" w:eastAsia="黑体" w:cs="黑体"/>
          <w:sz w:val="28"/>
          <w:szCs w:val="28"/>
        </w:rPr>
        <w:t>：全国智慧图书馆体系建设项目2023年度绩效指标完成情况</w:t>
      </w:r>
    </w:p>
    <w:tbl>
      <w:tblPr>
        <w:tblStyle w:val="9"/>
        <w:tblW w:w="8708" w:type="dxa"/>
        <w:tblInd w:w="-190" w:type="dxa"/>
        <w:tblLayout w:type="autofit"/>
        <w:tblCellMar>
          <w:top w:w="0" w:type="dxa"/>
          <w:left w:w="108" w:type="dxa"/>
          <w:bottom w:w="0" w:type="dxa"/>
          <w:right w:w="108" w:type="dxa"/>
        </w:tblCellMar>
      </w:tblPr>
      <w:tblGrid>
        <w:gridCol w:w="763"/>
        <w:gridCol w:w="1084"/>
        <w:gridCol w:w="2074"/>
        <w:gridCol w:w="1795"/>
        <w:gridCol w:w="1496"/>
        <w:gridCol w:w="1496"/>
      </w:tblGrid>
      <w:tr>
        <w:tblPrEx>
          <w:tblCellMar>
            <w:top w:w="0" w:type="dxa"/>
            <w:left w:w="108" w:type="dxa"/>
            <w:bottom w:w="0" w:type="dxa"/>
            <w:right w:w="108" w:type="dxa"/>
          </w:tblCellMar>
        </w:tblPrEx>
        <w:trPr>
          <w:trHeight w:val="524" w:hRule="atLeast"/>
          <w:tblHead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一级</w:t>
            </w:r>
            <w:r>
              <w:rPr>
                <w:rFonts w:hint="eastAsia" w:ascii="宋体" w:hAnsi="宋体" w:eastAsia="宋体" w:cs="宋体"/>
                <w:b/>
                <w:bCs/>
                <w:color w:val="000000"/>
                <w:kern w:val="0"/>
                <w:sz w:val="20"/>
                <w:szCs w:val="20"/>
                <w:lang w:bidi="ar"/>
              </w:rPr>
              <w:br w:type="textWrapping"/>
            </w:r>
            <w:r>
              <w:rPr>
                <w:rFonts w:hint="eastAsia" w:ascii="宋体" w:hAnsi="宋体" w:eastAsia="宋体" w:cs="宋体"/>
                <w:b/>
                <w:bCs/>
                <w:color w:val="000000"/>
                <w:kern w:val="0"/>
                <w:sz w:val="20"/>
                <w:szCs w:val="20"/>
                <w:lang w:bidi="ar"/>
              </w:rPr>
              <w:t>指标</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二级指标</w:t>
            </w: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三级指标</w:t>
            </w:r>
          </w:p>
        </w:tc>
        <w:tc>
          <w:tcPr>
            <w:tcW w:w="1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年度指标值</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完成值</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未完成原因及措施</w:t>
            </w:r>
          </w:p>
        </w:tc>
      </w:tr>
      <w:tr>
        <w:tblPrEx>
          <w:tblCellMar>
            <w:top w:w="0" w:type="dxa"/>
            <w:left w:w="108" w:type="dxa"/>
            <w:bottom w:w="0" w:type="dxa"/>
            <w:right w:w="108" w:type="dxa"/>
          </w:tblCellMar>
        </w:tblPrEx>
        <w:trPr>
          <w:trHeight w:val="482" w:hRule="atLeast"/>
        </w:trPr>
        <w:tc>
          <w:tcPr>
            <w:tcW w:w="7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产</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出</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指</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标</w:t>
            </w:r>
          </w:p>
        </w:tc>
        <w:tc>
          <w:tcPr>
            <w:tcW w:w="10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数量指标</w:t>
            </w: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文献数字化</w:t>
            </w:r>
          </w:p>
        </w:tc>
        <w:tc>
          <w:tcPr>
            <w:tcW w:w="1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≥19000页</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19846页</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w:t>
            </w:r>
          </w:p>
        </w:tc>
      </w:tr>
      <w:tr>
        <w:tblPrEx>
          <w:tblCellMar>
            <w:top w:w="0" w:type="dxa"/>
            <w:left w:w="108" w:type="dxa"/>
            <w:bottom w:w="0" w:type="dxa"/>
            <w:right w:w="108" w:type="dxa"/>
          </w:tblCellMar>
        </w:tblPrEx>
        <w:trPr>
          <w:trHeight w:val="264" w:hRule="atLeast"/>
        </w:trPr>
        <w:tc>
          <w:tcPr>
            <w:tcW w:w="7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音视频制作</w:t>
            </w:r>
          </w:p>
        </w:tc>
        <w:tc>
          <w:tcPr>
            <w:tcW w:w="1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10集</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10集</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w:t>
            </w:r>
          </w:p>
        </w:tc>
      </w:tr>
      <w:tr>
        <w:tblPrEx>
          <w:tblCellMar>
            <w:top w:w="0" w:type="dxa"/>
            <w:left w:w="108" w:type="dxa"/>
            <w:bottom w:w="0" w:type="dxa"/>
            <w:right w:w="108" w:type="dxa"/>
          </w:tblCellMar>
        </w:tblPrEx>
        <w:trPr>
          <w:trHeight w:val="264" w:hRule="atLeast"/>
        </w:trPr>
        <w:tc>
          <w:tcPr>
            <w:tcW w:w="7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细粒度资源标引数量</w:t>
            </w:r>
          </w:p>
        </w:tc>
        <w:tc>
          <w:tcPr>
            <w:tcW w:w="1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Arial" w:hAnsi="Arial" w:eastAsia="宋体" w:cs="Arial"/>
                <w:color w:val="000000"/>
                <w:sz w:val="20"/>
                <w:szCs w:val="20"/>
              </w:rPr>
            </w:pPr>
            <w:r>
              <w:rPr>
                <w:rFonts w:hint="eastAsia" w:ascii="宋体" w:hAnsi="宋体" w:eastAsia="宋体" w:cs="宋体"/>
                <w:color w:val="000000"/>
                <w:kern w:val="0"/>
                <w:sz w:val="20"/>
                <w:szCs w:val="20"/>
                <w:lang w:bidi="ar"/>
              </w:rPr>
              <w:t>30000条</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30484条</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w:t>
            </w:r>
          </w:p>
        </w:tc>
      </w:tr>
      <w:tr>
        <w:tblPrEx>
          <w:tblCellMar>
            <w:top w:w="0" w:type="dxa"/>
            <w:left w:w="108" w:type="dxa"/>
            <w:bottom w:w="0" w:type="dxa"/>
            <w:right w:w="108" w:type="dxa"/>
          </w:tblCellMar>
        </w:tblPrEx>
        <w:trPr>
          <w:trHeight w:val="264" w:hRule="atLeast"/>
        </w:trPr>
        <w:tc>
          <w:tcPr>
            <w:tcW w:w="7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基础支撑平台</w:t>
            </w:r>
          </w:p>
        </w:tc>
        <w:tc>
          <w:tcPr>
            <w:tcW w:w="1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1个</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1个</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w:t>
            </w:r>
          </w:p>
        </w:tc>
      </w:tr>
      <w:tr>
        <w:tblPrEx>
          <w:tblCellMar>
            <w:top w:w="0" w:type="dxa"/>
            <w:left w:w="108" w:type="dxa"/>
            <w:bottom w:w="0" w:type="dxa"/>
            <w:right w:w="108" w:type="dxa"/>
          </w:tblCellMar>
        </w:tblPrEx>
        <w:trPr>
          <w:trHeight w:val="464" w:hRule="atLeast"/>
        </w:trPr>
        <w:tc>
          <w:tcPr>
            <w:tcW w:w="7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质量指标</w:t>
            </w: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验收合格率</w:t>
            </w:r>
          </w:p>
        </w:tc>
        <w:tc>
          <w:tcPr>
            <w:tcW w:w="1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暂未完成</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文旅部2024年6月份验收</w:t>
            </w:r>
          </w:p>
        </w:tc>
      </w:tr>
      <w:tr>
        <w:tblPrEx>
          <w:tblCellMar>
            <w:top w:w="0" w:type="dxa"/>
            <w:left w:w="108" w:type="dxa"/>
            <w:bottom w:w="0" w:type="dxa"/>
            <w:right w:w="108" w:type="dxa"/>
          </w:tblCellMar>
        </w:tblPrEx>
        <w:trPr>
          <w:trHeight w:val="701" w:hRule="atLeast"/>
        </w:trPr>
        <w:tc>
          <w:tcPr>
            <w:tcW w:w="7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时效指标</w:t>
            </w: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验收</w:t>
            </w:r>
          </w:p>
        </w:tc>
        <w:tc>
          <w:tcPr>
            <w:tcW w:w="1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2024年6月前</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暂未完成</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文旅部2024年6月份验收</w:t>
            </w:r>
          </w:p>
        </w:tc>
      </w:tr>
      <w:tr>
        <w:tblPrEx>
          <w:tblCellMar>
            <w:top w:w="0" w:type="dxa"/>
            <w:left w:w="108" w:type="dxa"/>
            <w:bottom w:w="0" w:type="dxa"/>
            <w:right w:w="108" w:type="dxa"/>
          </w:tblCellMar>
        </w:tblPrEx>
        <w:trPr>
          <w:trHeight w:val="560" w:hRule="atLeast"/>
        </w:trPr>
        <w:tc>
          <w:tcPr>
            <w:tcW w:w="7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成本指标</w:t>
            </w:r>
          </w:p>
        </w:tc>
        <w:tc>
          <w:tcPr>
            <w:tcW w:w="1084"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经济成本指标</w:t>
            </w: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文献数字化单页成本</w:t>
            </w:r>
          </w:p>
        </w:tc>
        <w:tc>
          <w:tcPr>
            <w:tcW w:w="1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22元/页</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20元/页</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kern w:val="0"/>
                <w:sz w:val="20"/>
                <w:szCs w:val="20"/>
                <w:lang w:eastAsia="zh-CN" w:bidi="ar"/>
              </w:rPr>
            </w:pPr>
            <w:r>
              <w:rPr>
                <w:rFonts w:hint="eastAsia" w:ascii="宋体" w:hAnsi="宋体" w:eastAsia="宋体" w:cs="宋体"/>
                <w:color w:val="000000"/>
                <w:kern w:val="0"/>
                <w:sz w:val="20"/>
                <w:szCs w:val="20"/>
                <w:lang w:eastAsia="zh-CN" w:bidi="ar"/>
              </w:rPr>
              <w:t>——</w:t>
            </w:r>
          </w:p>
        </w:tc>
      </w:tr>
      <w:tr>
        <w:tblPrEx>
          <w:tblCellMar>
            <w:top w:w="0" w:type="dxa"/>
            <w:left w:w="108" w:type="dxa"/>
            <w:bottom w:w="0" w:type="dxa"/>
            <w:right w:w="108" w:type="dxa"/>
          </w:tblCellMar>
        </w:tblPrEx>
        <w:trPr>
          <w:trHeight w:val="264" w:hRule="atLeast"/>
        </w:trPr>
        <w:tc>
          <w:tcPr>
            <w:tcW w:w="7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8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音视频制作单集成本</w:t>
            </w:r>
          </w:p>
        </w:tc>
        <w:tc>
          <w:tcPr>
            <w:tcW w:w="1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2万元/集</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2万元/集</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kern w:val="0"/>
                <w:sz w:val="20"/>
                <w:szCs w:val="20"/>
                <w:lang w:eastAsia="zh-CN" w:bidi="ar"/>
              </w:rPr>
            </w:pPr>
            <w:r>
              <w:rPr>
                <w:rFonts w:hint="eastAsia" w:ascii="宋体" w:hAnsi="宋体" w:eastAsia="宋体" w:cs="宋体"/>
                <w:color w:val="000000"/>
                <w:kern w:val="0"/>
                <w:sz w:val="20"/>
                <w:szCs w:val="20"/>
                <w:lang w:eastAsia="zh-CN" w:bidi="ar"/>
              </w:rPr>
              <w:t>——</w:t>
            </w:r>
          </w:p>
        </w:tc>
      </w:tr>
      <w:tr>
        <w:tblPrEx>
          <w:tblCellMar>
            <w:top w:w="0" w:type="dxa"/>
            <w:left w:w="108" w:type="dxa"/>
            <w:bottom w:w="0" w:type="dxa"/>
            <w:right w:w="108" w:type="dxa"/>
          </w:tblCellMar>
        </w:tblPrEx>
        <w:trPr>
          <w:trHeight w:val="264" w:hRule="atLeast"/>
        </w:trPr>
        <w:tc>
          <w:tcPr>
            <w:tcW w:w="7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8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单条资源标引成本</w:t>
            </w:r>
          </w:p>
        </w:tc>
        <w:tc>
          <w:tcPr>
            <w:tcW w:w="1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15元</w:t>
            </w:r>
            <w:r>
              <w:rPr>
                <w:rFonts w:ascii="Arial" w:hAnsi="Arial" w:eastAsia="宋体" w:cs="Arial"/>
                <w:color w:val="000000"/>
                <w:kern w:val="0"/>
                <w:sz w:val="20"/>
                <w:szCs w:val="20"/>
                <w:lang w:bidi="ar"/>
              </w:rPr>
              <w:t>/</w:t>
            </w:r>
            <w:r>
              <w:rPr>
                <w:rFonts w:hint="eastAsia" w:ascii="宋体" w:hAnsi="宋体" w:eastAsia="宋体" w:cs="宋体"/>
                <w:color w:val="000000"/>
                <w:kern w:val="0"/>
                <w:sz w:val="20"/>
                <w:szCs w:val="20"/>
                <w:lang w:bidi="ar"/>
              </w:rPr>
              <w:t>条</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15元</w:t>
            </w:r>
            <w:r>
              <w:rPr>
                <w:rFonts w:ascii="Arial" w:hAnsi="Arial" w:eastAsia="宋体" w:cs="Arial"/>
                <w:color w:val="000000"/>
                <w:kern w:val="0"/>
                <w:sz w:val="20"/>
                <w:szCs w:val="20"/>
                <w:lang w:bidi="ar"/>
              </w:rPr>
              <w:t>/</w:t>
            </w:r>
            <w:r>
              <w:rPr>
                <w:rFonts w:hint="eastAsia" w:ascii="宋体" w:hAnsi="宋体" w:eastAsia="宋体" w:cs="宋体"/>
                <w:color w:val="000000"/>
                <w:kern w:val="0"/>
                <w:sz w:val="20"/>
                <w:szCs w:val="20"/>
                <w:lang w:bidi="ar"/>
              </w:rPr>
              <w:t>条</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kern w:val="0"/>
                <w:sz w:val="20"/>
                <w:szCs w:val="20"/>
                <w:lang w:eastAsia="zh-CN" w:bidi="ar"/>
              </w:rPr>
            </w:pPr>
            <w:r>
              <w:rPr>
                <w:rFonts w:hint="eastAsia" w:ascii="宋体" w:hAnsi="宋体" w:eastAsia="宋体" w:cs="宋体"/>
                <w:color w:val="000000"/>
                <w:kern w:val="0"/>
                <w:sz w:val="20"/>
                <w:szCs w:val="20"/>
                <w:lang w:eastAsia="zh-CN" w:bidi="ar"/>
              </w:rPr>
              <w:t>——</w:t>
            </w:r>
          </w:p>
        </w:tc>
      </w:tr>
      <w:tr>
        <w:tblPrEx>
          <w:tblCellMar>
            <w:top w:w="0" w:type="dxa"/>
            <w:left w:w="108" w:type="dxa"/>
            <w:bottom w:w="0" w:type="dxa"/>
            <w:right w:w="108" w:type="dxa"/>
          </w:tblCellMar>
        </w:tblPrEx>
        <w:trPr>
          <w:trHeight w:val="264" w:hRule="atLeast"/>
        </w:trPr>
        <w:tc>
          <w:tcPr>
            <w:tcW w:w="7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8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平台项目预算控制数</w:t>
            </w:r>
          </w:p>
        </w:tc>
        <w:tc>
          <w:tcPr>
            <w:tcW w:w="1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≤250万元</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248万元</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kern w:val="0"/>
                <w:sz w:val="20"/>
                <w:szCs w:val="20"/>
                <w:lang w:eastAsia="zh-CN" w:bidi="ar"/>
              </w:rPr>
            </w:pPr>
            <w:r>
              <w:rPr>
                <w:rFonts w:hint="eastAsia" w:ascii="宋体" w:hAnsi="宋体" w:eastAsia="宋体" w:cs="宋体"/>
                <w:color w:val="000000"/>
                <w:kern w:val="0"/>
                <w:sz w:val="20"/>
                <w:szCs w:val="20"/>
                <w:lang w:eastAsia="zh-CN" w:bidi="ar"/>
              </w:rPr>
              <w:t>——</w:t>
            </w:r>
          </w:p>
        </w:tc>
      </w:tr>
      <w:tr>
        <w:tblPrEx>
          <w:tblCellMar>
            <w:top w:w="0" w:type="dxa"/>
            <w:left w:w="108" w:type="dxa"/>
            <w:bottom w:w="0" w:type="dxa"/>
            <w:right w:w="108" w:type="dxa"/>
          </w:tblCellMar>
        </w:tblPrEx>
        <w:trPr>
          <w:trHeight w:val="2220"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效</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益</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指</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标</w:t>
            </w:r>
          </w:p>
        </w:tc>
        <w:tc>
          <w:tcPr>
            <w:tcW w:w="1084"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社会效益</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指标</w:t>
            </w: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社会影响力</w:t>
            </w:r>
          </w:p>
        </w:tc>
        <w:tc>
          <w:tcPr>
            <w:tcW w:w="1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提高图书馆的知识服务水平，满足民众的文化需求，提供高质量的公共文化服务同时更好地传播和利用本地特色文献资源，推动提升北京市全民阅读水平</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kern w:val="0"/>
                <w:sz w:val="20"/>
                <w:szCs w:val="20"/>
                <w:lang w:eastAsia="zh-CN" w:bidi="ar"/>
              </w:rPr>
            </w:pPr>
            <w:r>
              <w:rPr>
                <w:rFonts w:hint="eastAsia" w:ascii="宋体" w:hAnsi="宋体" w:eastAsia="宋体" w:cs="宋体"/>
                <w:color w:val="000000"/>
                <w:kern w:val="0"/>
                <w:sz w:val="20"/>
                <w:szCs w:val="20"/>
                <w:lang w:eastAsia="zh-CN" w:bidi="ar"/>
              </w:rPr>
              <w:t>——</w:t>
            </w:r>
          </w:p>
        </w:tc>
      </w:tr>
      <w:tr>
        <w:tblPrEx>
          <w:tblCellMar>
            <w:top w:w="0" w:type="dxa"/>
            <w:left w:w="108" w:type="dxa"/>
            <w:bottom w:w="0" w:type="dxa"/>
            <w:right w:w="108" w:type="dxa"/>
          </w:tblCellMar>
        </w:tblPrEx>
        <w:trPr>
          <w:trHeight w:val="980"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满意度指标</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服务对象</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满意度指标</w:t>
            </w: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社会群众满意度</w:t>
            </w:r>
          </w:p>
        </w:tc>
        <w:tc>
          <w:tcPr>
            <w:tcW w:w="1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不单独测评</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不单独测评</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kern w:val="0"/>
                <w:sz w:val="20"/>
                <w:szCs w:val="20"/>
                <w:lang w:eastAsia="zh-CN" w:bidi="ar"/>
              </w:rPr>
            </w:pPr>
            <w:r>
              <w:rPr>
                <w:rFonts w:hint="eastAsia" w:ascii="宋体" w:hAnsi="宋体" w:eastAsia="宋体" w:cs="宋体"/>
                <w:color w:val="000000"/>
                <w:kern w:val="0"/>
                <w:sz w:val="20"/>
                <w:szCs w:val="20"/>
                <w:lang w:eastAsia="zh-CN" w:bidi="ar"/>
              </w:rPr>
              <w:t>——</w:t>
            </w:r>
          </w:p>
        </w:tc>
      </w:tr>
    </w:tbl>
    <w:p>
      <w:pPr>
        <w:keepNext w:val="0"/>
        <w:keepLines w:val="0"/>
        <w:pageBreakBefore w:val="0"/>
        <w:widowControl w:val="0"/>
        <w:kinsoku/>
        <w:wordWrap/>
        <w:overflowPunct/>
        <w:topLinePunct w:val="0"/>
        <w:autoSpaceDE/>
        <w:autoSpaceDN/>
        <w:bidi w:val="0"/>
        <w:adjustRightInd w:val="0"/>
        <w:snapToGrid w:val="0"/>
        <w:spacing w:line="40" w:lineRule="exact"/>
        <w:textAlignment w:val="auto"/>
        <w:rPr>
          <w:rFonts w:eastAsia="黑体"/>
          <w:sz w:val="28"/>
          <w:szCs w:val="28"/>
        </w:rPr>
      </w:pPr>
    </w:p>
    <w:p>
      <w:pPr>
        <w:adjustRightInd w:val="0"/>
        <w:snapToGrid w:val="0"/>
        <w:spacing w:line="360" w:lineRule="auto"/>
        <w:ind w:firstLine="640" w:firstLineChars="200"/>
        <w:outlineLvl w:val="0"/>
        <w:rPr>
          <w:rFonts w:hint="eastAsia" w:ascii="黑体" w:hAnsi="黑体" w:eastAsia="黑体" w:cs="黑体"/>
          <w:sz w:val="32"/>
          <w:szCs w:val="32"/>
        </w:rPr>
      </w:pPr>
    </w:p>
    <w:p>
      <w:pPr>
        <w:adjustRightInd w:val="0"/>
        <w:snapToGrid w:val="0"/>
        <w:spacing w:line="360" w:lineRule="auto"/>
        <w:ind w:firstLine="640" w:firstLineChars="200"/>
        <w:outlineLvl w:val="0"/>
        <w:rPr>
          <w:rFonts w:ascii="黑体" w:hAnsi="黑体" w:eastAsia="黑体" w:cs="黑体"/>
          <w:sz w:val="32"/>
          <w:szCs w:val="32"/>
        </w:rPr>
      </w:pPr>
      <w:r>
        <w:rPr>
          <w:rFonts w:hint="eastAsia" w:ascii="黑体" w:hAnsi="黑体" w:eastAsia="黑体" w:cs="黑体"/>
          <w:sz w:val="32"/>
          <w:szCs w:val="32"/>
        </w:rPr>
        <w:t>三、绩效自评结论</w:t>
      </w:r>
      <w:bookmarkStart w:id="6" w:name="_GoBack"/>
      <w:bookmarkEnd w:id="6"/>
    </w:p>
    <w:p>
      <w:pPr>
        <w:adjustRightInd w:val="0"/>
        <w:snapToGrid w:val="0"/>
        <w:spacing w:line="360" w:lineRule="auto"/>
        <w:ind w:firstLine="640" w:firstLineChars="200"/>
        <w:rPr>
          <w:sz w:val="32"/>
          <w:szCs w:val="32"/>
        </w:rPr>
      </w:pPr>
      <w:r>
        <w:rPr>
          <w:rFonts w:hint="eastAsia" w:ascii="仿宋_GB2312" w:hAnsi="仿宋_GB2312" w:cs="仿宋_GB2312"/>
          <w:sz w:val="32"/>
          <w:szCs w:val="32"/>
        </w:rPr>
        <w:t>该项目严格按照转移支付管理制度以及资金管理办法规定的范围和标准分配资金；严格按照预算法及其实施条例、转移支付管理制度规定以及资金管理办法规定的时限要求分解下达资金；严格按照国库集中支付制度有关规定支付资金，未出现违规将资金从国库转入财政专户或支付到预算单位实有资金账户等问题；严格按照下达预算的科目和项目执行，未出现截留、挤占、挪用或擅自调整等问题；按照上级下达和本级预算安排的金额执行，不存在执行数偏离预算数较多的问题，并将该转移支付资金纳入对下转移支付绩效管理。项目已完成的工作较好的实现预期目标，绩效自评总体结论“良好”。</w:t>
      </w: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68FA27"/>
    <w:multiLevelType w:val="singleLevel"/>
    <w:tmpl w:val="8868FA2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QwZDQ3YmM4OWZhMDc0M2U3OThlNmFjZGNhNmQ5NWMifQ=="/>
  </w:docVars>
  <w:rsids>
    <w:rsidRoot w:val="00514848"/>
    <w:rsid w:val="000004AE"/>
    <w:rsid w:val="000010D3"/>
    <w:rsid w:val="000156D3"/>
    <w:rsid w:val="00015801"/>
    <w:rsid w:val="000175E0"/>
    <w:rsid w:val="00017FA6"/>
    <w:rsid w:val="00021D36"/>
    <w:rsid w:val="00023A6D"/>
    <w:rsid w:val="00024ABB"/>
    <w:rsid w:val="00027CC5"/>
    <w:rsid w:val="00031799"/>
    <w:rsid w:val="00031E7F"/>
    <w:rsid w:val="0003327B"/>
    <w:rsid w:val="00036B14"/>
    <w:rsid w:val="000415A5"/>
    <w:rsid w:val="00045724"/>
    <w:rsid w:val="00045C27"/>
    <w:rsid w:val="00051E44"/>
    <w:rsid w:val="00054D8D"/>
    <w:rsid w:val="00061ED6"/>
    <w:rsid w:val="000640A3"/>
    <w:rsid w:val="00065E6D"/>
    <w:rsid w:val="00066EF9"/>
    <w:rsid w:val="00072453"/>
    <w:rsid w:val="000745B4"/>
    <w:rsid w:val="000765D1"/>
    <w:rsid w:val="00081060"/>
    <w:rsid w:val="0008478B"/>
    <w:rsid w:val="00084E29"/>
    <w:rsid w:val="00087AFD"/>
    <w:rsid w:val="00091C2A"/>
    <w:rsid w:val="00091FBD"/>
    <w:rsid w:val="00093D96"/>
    <w:rsid w:val="00097CCE"/>
    <w:rsid w:val="000A12A7"/>
    <w:rsid w:val="000A33FE"/>
    <w:rsid w:val="000A393C"/>
    <w:rsid w:val="000A428B"/>
    <w:rsid w:val="000A646E"/>
    <w:rsid w:val="000B3B92"/>
    <w:rsid w:val="000B488C"/>
    <w:rsid w:val="000B6D81"/>
    <w:rsid w:val="000C6080"/>
    <w:rsid w:val="000C61B1"/>
    <w:rsid w:val="000D1A24"/>
    <w:rsid w:val="000D31CC"/>
    <w:rsid w:val="000D5DCC"/>
    <w:rsid w:val="000E627A"/>
    <w:rsid w:val="000F4BF3"/>
    <w:rsid w:val="000F4EAA"/>
    <w:rsid w:val="000F541B"/>
    <w:rsid w:val="000F626F"/>
    <w:rsid w:val="000F68DD"/>
    <w:rsid w:val="0011336B"/>
    <w:rsid w:val="00117626"/>
    <w:rsid w:val="00122524"/>
    <w:rsid w:val="0012543F"/>
    <w:rsid w:val="00130269"/>
    <w:rsid w:val="00130571"/>
    <w:rsid w:val="00131159"/>
    <w:rsid w:val="00131AD4"/>
    <w:rsid w:val="0013571B"/>
    <w:rsid w:val="00146C2B"/>
    <w:rsid w:val="0014798A"/>
    <w:rsid w:val="0015385F"/>
    <w:rsid w:val="0015552A"/>
    <w:rsid w:val="0016474B"/>
    <w:rsid w:val="00164799"/>
    <w:rsid w:val="00165FA4"/>
    <w:rsid w:val="00174E09"/>
    <w:rsid w:val="001761D0"/>
    <w:rsid w:val="00184328"/>
    <w:rsid w:val="0019231E"/>
    <w:rsid w:val="001962C6"/>
    <w:rsid w:val="001A586D"/>
    <w:rsid w:val="001B27EC"/>
    <w:rsid w:val="001B398E"/>
    <w:rsid w:val="001B44E7"/>
    <w:rsid w:val="001B48B8"/>
    <w:rsid w:val="001C0497"/>
    <w:rsid w:val="001D40C6"/>
    <w:rsid w:val="001D7331"/>
    <w:rsid w:val="001F31D5"/>
    <w:rsid w:val="001F3424"/>
    <w:rsid w:val="001F656F"/>
    <w:rsid w:val="00202DD4"/>
    <w:rsid w:val="00205DFF"/>
    <w:rsid w:val="0020666F"/>
    <w:rsid w:val="0020707B"/>
    <w:rsid w:val="00207D68"/>
    <w:rsid w:val="0021235B"/>
    <w:rsid w:val="002168A1"/>
    <w:rsid w:val="00220E79"/>
    <w:rsid w:val="0022145F"/>
    <w:rsid w:val="00222716"/>
    <w:rsid w:val="00230F1F"/>
    <w:rsid w:val="0023381C"/>
    <w:rsid w:val="00233C6D"/>
    <w:rsid w:val="002447B9"/>
    <w:rsid w:val="00246356"/>
    <w:rsid w:val="002501DE"/>
    <w:rsid w:val="00250271"/>
    <w:rsid w:val="00257F0C"/>
    <w:rsid w:val="00262A8E"/>
    <w:rsid w:val="002632CB"/>
    <w:rsid w:val="00271363"/>
    <w:rsid w:val="00271EF6"/>
    <w:rsid w:val="0027691D"/>
    <w:rsid w:val="0027750C"/>
    <w:rsid w:val="00280325"/>
    <w:rsid w:val="002922FE"/>
    <w:rsid w:val="00294A73"/>
    <w:rsid w:val="002A3CC2"/>
    <w:rsid w:val="002A4A64"/>
    <w:rsid w:val="002A5A17"/>
    <w:rsid w:val="002A5BAD"/>
    <w:rsid w:val="002C320E"/>
    <w:rsid w:val="002C645C"/>
    <w:rsid w:val="002D1D81"/>
    <w:rsid w:val="002E11D6"/>
    <w:rsid w:val="002E3875"/>
    <w:rsid w:val="002E7592"/>
    <w:rsid w:val="002F0D7B"/>
    <w:rsid w:val="002F313C"/>
    <w:rsid w:val="002F50A4"/>
    <w:rsid w:val="002F6BFC"/>
    <w:rsid w:val="003000C6"/>
    <w:rsid w:val="00302FC8"/>
    <w:rsid w:val="003115A0"/>
    <w:rsid w:val="0031296F"/>
    <w:rsid w:val="003155D8"/>
    <w:rsid w:val="00320B20"/>
    <w:rsid w:val="003227DB"/>
    <w:rsid w:val="00324557"/>
    <w:rsid w:val="00324667"/>
    <w:rsid w:val="00335A07"/>
    <w:rsid w:val="0034734E"/>
    <w:rsid w:val="0035226D"/>
    <w:rsid w:val="0035530A"/>
    <w:rsid w:val="00355E50"/>
    <w:rsid w:val="0036335A"/>
    <w:rsid w:val="00371E2E"/>
    <w:rsid w:val="003737CB"/>
    <w:rsid w:val="003743EB"/>
    <w:rsid w:val="003759C8"/>
    <w:rsid w:val="00376D03"/>
    <w:rsid w:val="00377672"/>
    <w:rsid w:val="00381B1B"/>
    <w:rsid w:val="00382FC7"/>
    <w:rsid w:val="00383337"/>
    <w:rsid w:val="00390F9A"/>
    <w:rsid w:val="00391306"/>
    <w:rsid w:val="00393422"/>
    <w:rsid w:val="00394C56"/>
    <w:rsid w:val="00394D4C"/>
    <w:rsid w:val="003A5A20"/>
    <w:rsid w:val="003A7559"/>
    <w:rsid w:val="003A7842"/>
    <w:rsid w:val="003C08BC"/>
    <w:rsid w:val="003C170B"/>
    <w:rsid w:val="003C5EE0"/>
    <w:rsid w:val="003C696D"/>
    <w:rsid w:val="003D0ECC"/>
    <w:rsid w:val="003D144C"/>
    <w:rsid w:val="003D25BC"/>
    <w:rsid w:val="003D25D5"/>
    <w:rsid w:val="003D31B4"/>
    <w:rsid w:val="003D6285"/>
    <w:rsid w:val="003E48A4"/>
    <w:rsid w:val="003E6694"/>
    <w:rsid w:val="003F2A81"/>
    <w:rsid w:val="004066C0"/>
    <w:rsid w:val="00406977"/>
    <w:rsid w:val="00407AB6"/>
    <w:rsid w:val="00421349"/>
    <w:rsid w:val="00422876"/>
    <w:rsid w:val="004303B8"/>
    <w:rsid w:val="004373EF"/>
    <w:rsid w:val="00441A56"/>
    <w:rsid w:val="00444CFF"/>
    <w:rsid w:val="00446D72"/>
    <w:rsid w:val="00453BB0"/>
    <w:rsid w:val="00480BD2"/>
    <w:rsid w:val="0048125C"/>
    <w:rsid w:val="00485C57"/>
    <w:rsid w:val="004940DF"/>
    <w:rsid w:val="004A3D94"/>
    <w:rsid w:val="004A4E37"/>
    <w:rsid w:val="004B74F2"/>
    <w:rsid w:val="004B7D81"/>
    <w:rsid w:val="004C103B"/>
    <w:rsid w:val="004C1BFA"/>
    <w:rsid w:val="004C21AA"/>
    <w:rsid w:val="004C26FB"/>
    <w:rsid w:val="004D01F3"/>
    <w:rsid w:val="004D2076"/>
    <w:rsid w:val="004D5560"/>
    <w:rsid w:val="004E05CA"/>
    <w:rsid w:val="004E3C20"/>
    <w:rsid w:val="004E495D"/>
    <w:rsid w:val="004E6E5D"/>
    <w:rsid w:val="004F2B2E"/>
    <w:rsid w:val="004F7E94"/>
    <w:rsid w:val="00506062"/>
    <w:rsid w:val="00511DF2"/>
    <w:rsid w:val="00514848"/>
    <w:rsid w:val="00515BAE"/>
    <w:rsid w:val="00520160"/>
    <w:rsid w:val="005229F7"/>
    <w:rsid w:val="00526106"/>
    <w:rsid w:val="00530B4E"/>
    <w:rsid w:val="005357E3"/>
    <w:rsid w:val="00545CFD"/>
    <w:rsid w:val="0055745E"/>
    <w:rsid w:val="00561782"/>
    <w:rsid w:val="00561A5E"/>
    <w:rsid w:val="005626D9"/>
    <w:rsid w:val="0056494B"/>
    <w:rsid w:val="00564F1E"/>
    <w:rsid w:val="0057065E"/>
    <w:rsid w:val="005728E7"/>
    <w:rsid w:val="00575127"/>
    <w:rsid w:val="0057664C"/>
    <w:rsid w:val="0058220D"/>
    <w:rsid w:val="00582988"/>
    <w:rsid w:val="00587996"/>
    <w:rsid w:val="00593882"/>
    <w:rsid w:val="00595402"/>
    <w:rsid w:val="00595886"/>
    <w:rsid w:val="005A0038"/>
    <w:rsid w:val="005A3A0C"/>
    <w:rsid w:val="005A7DA0"/>
    <w:rsid w:val="005C7893"/>
    <w:rsid w:val="005D15F3"/>
    <w:rsid w:val="005D2362"/>
    <w:rsid w:val="005D657A"/>
    <w:rsid w:val="005E359B"/>
    <w:rsid w:val="005E5474"/>
    <w:rsid w:val="005E5FBE"/>
    <w:rsid w:val="005F51C8"/>
    <w:rsid w:val="005F62E1"/>
    <w:rsid w:val="00600EFE"/>
    <w:rsid w:val="006010A7"/>
    <w:rsid w:val="006011D3"/>
    <w:rsid w:val="00604514"/>
    <w:rsid w:val="006114F7"/>
    <w:rsid w:val="00614462"/>
    <w:rsid w:val="006176F2"/>
    <w:rsid w:val="006210CF"/>
    <w:rsid w:val="0062353B"/>
    <w:rsid w:val="006256F1"/>
    <w:rsid w:val="00630C03"/>
    <w:rsid w:val="00630DC1"/>
    <w:rsid w:val="006318A1"/>
    <w:rsid w:val="00632CE3"/>
    <w:rsid w:val="0063313A"/>
    <w:rsid w:val="00633515"/>
    <w:rsid w:val="006369BB"/>
    <w:rsid w:val="00636E30"/>
    <w:rsid w:val="00640215"/>
    <w:rsid w:val="00642F50"/>
    <w:rsid w:val="006471B2"/>
    <w:rsid w:val="00647B95"/>
    <w:rsid w:val="006506B1"/>
    <w:rsid w:val="0065308E"/>
    <w:rsid w:val="0065510E"/>
    <w:rsid w:val="006619EF"/>
    <w:rsid w:val="00662125"/>
    <w:rsid w:val="006707F3"/>
    <w:rsid w:val="006826DF"/>
    <w:rsid w:val="006839B2"/>
    <w:rsid w:val="0068478D"/>
    <w:rsid w:val="0068479A"/>
    <w:rsid w:val="006869A0"/>
    <w:rsid w:val="00690742"/>
    <w:rsid w:val="006A106C"/>
    <w:rsid w:val="006A2E8C"/>
    <w:rsid w:val="006B5ADE"/>
    <w:rsid w:val="006B7A90"/>
    <w:rsid w:val="006C170C"/>
    <w:rsid w:val="006C2CFD"/>
    <w:rsid w:val="006D4F90"/>
    <w:rsid w:val="006D556D"/>
    <w:rsid w:val="006D7F04"/>
    <w:rsid w:val="006E073A"/>
    <w:rsid w:val="006E1CFA"/>
    <w:rsid w:val="006F180D"/>
    <w:rsid w:val="006F460E"/>
    <w:rsid w:val="006F73BC"/>
    <w:rsid w:val="006F7A47"/>
    <w:rsid w:val="006F7F12"/>
    <w:rsid w:val="007162E0"/>
    <w:rsid w:val="0072475A"/>
    <w:rsid w:val="007252FA"/>
    <w:rsid w:val="00725A47"/>
    <w:rsid w:val="00731907"/>
    <w:rsid w:val="00734807"/>
    <w:rsid w:val="007353BA"/>
    <w:rsid w:val="00743E47"/>
    <w:rsid w:val="00744768"/>
    <w:rsid w:val="007471AA"/>
    <w:rsid w:val="00747DC7"/>
    <w:rsid w:val="00765DEC"/>
    <w:rsid w:val="00766EAE"/>
    <w:rsid w:val="007722D5"/>
    <w:rsid w:val="00776B5B"/>
    <w:rsid w:val="00786B1C"/>
    <w:rsid w:val="00790FFA"/>
    <w:rsid w:val="00794A67"/>
    <w:rsid w:val="007A1DA8"/>
    <w:rsid w:val="007B15AE"/>
    <w:rsid w:val="007B27F8"/>
    <w:rsid w:val="007B69D2"/>
    <w:rsid w:val="007B6D40"/>
    <w:rsid w:val="007C19C7"/>
    <w:rsid w:val="007E6C85"/>
    <w:rsid w:val="007F0AB1"/>
    <w:rsid w:val="007F2448"/>
    <w:rsid w:val="007F32A8"/>
    <w:rsid w:val="007F69AF"/>
    <w:rsid w:val="00810ABC"/>
    <w:rsid w:val="00811875"/>
    <w:rsid w:val="00827C92"/>
    <w:rsid w:val="00831ECD"/>
    <w:rsid w:val="00837A9A"/>
    <w:rsid w:val="00841280"/>
    <w:rsid w:val="008440E7"/>
    <w:rsid w:val="00844902"/>
    <w:rsid w:val="00844C81"/>
    <w:rsid w:val="00845C17"/>
    <w:rsid w:val="008516F0"/>
    <w:rsid w:val="00851FF9"/>
    <w:rsid w:val="00853C7F"/>
    <w:rsid w:val="0085766E"/>
    <w:rsid w:val="00860A3A"/>
    <w:rsid w:val="00861852"/>
    <w:rsid w:val="00862BCE"/>
    <w:rsid w:val="00867731"/>
    <w:rsid w:val="00872CF6"/>
    <w:rsid w:val="00880A77"/>
    <w:rsid w:val="00882789"/>
    <w:rsid w:val="00884E89"/>
    <w:rsid w:val="00884FD1"/>
    <w:rsid w:val="0088707B"/>
    <w:rsid w:val="0089043E"/>
    <w:rsid w:val="00893057"/>
    <w:rsid w:val="008A25CC"/>
    <w:rsid w:val="008A2EEB"/>
    <w:rsid w:val="008A328E"/>
    <w:rsid w:val="008B668C"/>
    <w:rsid w:val="008C4D50"/>
    <w:rsid w:val="008D2B93"/>
    <w:rsid w:val="008D6072"/>
    <w:rsid w:val="008E1100"/>
    <w:rsid w:val="008E2298"/>
    <w:rsid w:val="008E4D82"/>
    <w:rsid w:val="008F2EBF"/>
    <w:rsid w:val="008F37F3"/>
    <w:rsid w:val="008F4CBC"/>
    <w:rsid w:val="008F60E6"/>
    <w:rsid w:val="00900758"/>
    <w:rsid w:val="00902821"/>
    <w:rsid w:val="00902A04"/>
    <w:rsid w:val="00903F5C"/>
    <w:rsid w:val="00912162"/>
    <w:rsid w:val="00920634"/>
    <w:rsid w:val="009241E1"/>
    <w:rsid w:val="00933956"/>
    <w:rsid w:val="00937540"/>
    <w:rsid w:val="009440FE"/>
    <w:rsid w:val="0094613E"/>
    <w:rsid w:val="00954153"/>
    <w:rsid w:val="00957400"/>
    <w:rsid w:val="009605C9"/>
    <w:rsid w:val="00962E6B"/>
    <w:rsid w:val="00963578"/>
    <w:rsid w:val="009638DB"/>
    <w:rsid w:val="00970A03"/>
    <w:rsid w:val="0097103D"/>
    <w:rsid w:val="00971B09"/>
    <w:rsid w:val="00984CEF"/>
    <w:rsid w:val="00993C9C"/>
    <w:rsid w:val="00996DF7"/>
    <w:rsid w:val="009971C6"/>
    <w:rsid w:val="009A1750"/>
    <w:rsid w:val="009A6122"/>
    <w:rsid w:val="009B162A"/>
    <w:rsid w:val="009B2086"/>
    <w:rsid w:val="009D05E8"/>
    <w:rsid w:val="009D359A"/>
    <w:rsid w:val="009E0824"/>
    <w:rsid w:val="009E0BB2"/>
    <w:rsid w:val="009E24BA"/>
    <w:rsid w:val="009E56A2"/>
    <w:rsid w:val="009E5F5F"/>
    <w:rsid w:val="009F1BFF"/>
    <w:rsid w:val="009F45E7"/>
    <w:rsid w:val="009F7CFE"/>
    <w:rsid w:val="00A00439"/>
    <w:rsid w:val="00A02683"/>
    <w:rsid w:val="00A06E3D"/>
    <w:rsid w:val="00A070C0"/>
    <w:rsid w:val="00A108F3"/>
    <w:rsid w:val="00A11D19"/>
    <w:rsid w:val="00A219A0"/>
    <w:rsid w:val="00A300D7"/>
    <w:rsid w:val="00A31392"/>
    <w:rsid w:val="00A31F12"/>
    <w:rsid w:val="00A32DF9"/>
    <w:rsid w:val="00A41232"/>
    <w:rsid w:val="00A41D6E"/>
    <w:rsid w:val="00A43213"/>
    <w:rsid w:val="00A435A9"/>
    <w:rsid w:val="00A540D8"/>
    <w:rsid w:val="00A60DD7"/>
    <w:rsid w:val="00A6541F"/>
    <w:rsid w:val="00A65BD1"/>
    <w:rsid w:val="00A67542"/>
    <w:rsid w:val="00A70753"/>
    <w:rsid w:val="00A814C4"/>
    <w:rsid w:val="00A8235C"/>
    <w:rsid w:val="00A8630F"/>
    <w:rsid w:val="00A9031C"/>
    <w:rsid w:val="00A9657A"/>
    <w:rsid w:val="00A97B4F"/>
    <w:rsid w:val="00AA0AC8"/>
    <w:rsid w:val="00AA2A2E"/>
    <w:rsid w:val="00AB0FEF"/>
    <w:rsid w:val="00AB6369"/>
    <w:rsid w:val="00AC10F0"/>
    <w:rsid w:val="00AC6058"/>
    <w:rsid w:val="00AD2AF0"/>
    <w:rsid w:val="00AD462B"/>
    <w:rsid w:val="00AD5176"/>
    <w:rsid w:val="00AE02A6"/>
    <w:rsid w:val="00AE10F8"/>
    <w:rsid w:val="00AE2A95"/>
    <w:rsid w:val="00AE5388"/>
    <w:rsid w:val="00AF30F0"/>
    <w:rsid w:val="00B15842"/>
    <w:rsid w:val="00B3301C"/>
    <w:rsid w:val="00B33F9A"/>
    <w:rsid w:val="00B3541D"/>
    <w:rsid w:val="00B357B6"/>
    <w:rsid w:val="00B4031F"/>
    <w:rsid w:val="00B43DB7"/>
    <w:rsid w:val="00B43F63"/>
    <w:rsid w:val="00B46315"/>
    <w:rsid w:val="00B507CF"/>
    <w:rsid w:val="00B50CD5"/>
    <w:rsid w:val="00B51C29"/>
    <w:rsid w:val="00B543C3"/>
    <w:rsid w:val="00B556F9"/>
    <w:rsid w:val="00B572AF"/>
    <w:rsid w:val="00B5781A"/>
    <w:rsid w:val="00B6646E"/>
    <w:rsid w:val="00B66ADC"/>
    <w:rsid w:val="00B66FCB"/>
    <w:rsid w:val="00B671EF"/>
    <w:rsid w:val="00B710E4"/>
    <w:rsid w:val="00B74499"/>
    <w:rsid w:val="00B778C1"/>
    <w:rsid w:val="00B84656"/>
    <w:rsid w:val="00B85964"/>
    <w:rsid w:val="00B862AF"/>
    <w:rsid w:val="00B900F3"/>
    <w:rsid w:val="00B942C2"/>
    <w:rsid w:val="00B94534"/>
    <w:rsid w:val="00B95551"/>
    <w:rsid w:val="00B97B98"/>
    <w:rsid w:val="00BA2450"/>
    <w:rsid w:val="00BA4FA0"/>
    <w:rsid w:val="00BA5D8C"/>
    <w:rsid w:val="00BA6553"/>
    <w:rsid w:val="00BA78F4"/>
    <w:rsid w:val="00BB262F"/>
    <w:rsid w:val="00BB3AAF"/>
    <w:rsid w:val="00BB5949"/>
    <w:rsid w:val="00BB7FA3"/>
    <w:rsid w:val="00BC27C6"/>
    <w:rsid w:val="00BC578C"/>
    <w:rsid w:val="00BD2595"/>
    <w:rsid w:val="00BD3D8A"/>
    <w:rsid w:val="00BD63DB"/>
    <w:rsid w:val="00BE7579"/>
    <w:rsid w:val="00C02152"/>
    <w:rsid w:val="00C13348"/>
    <w:rsid w:val="00C17D5B"/>
    <w:rsid w:val="00C17DEF"/>
    <w:rsid w:val="00C2365F"/>
    <w:rsid w:val="00C25012"/>
    <w:rsid w:val="00C26FBE"/>
    <w:rsid w:val="00C272CA"/>
    <w:rsid w:val="00C274B9"/>
    <w:rsid w:val="00C3326A"/>
    <w:rsid w:val="00C43FFB"/>
    <w:rsid w:val="00C44C25"/>
    <w:rsid w:val="00C507DB"/>
    <w:rsid w:val="00C618EC"/>
    <w:rsid w:val="00C66051"/>
    <w:rsid w:val="00C846D5"/>
    <w:rsid w:val="00C84C17"/>
    <w:rsid w:val="00C86C78"/>
    <w:rsid w:val="00C90FE4"/>
    <w:rsid w:val="00C93C48"/>
    <w:rsid w:val="00C9482F"/>
    <w:rsid w:val="00C97A9A"/>
    <w:rsid w:val="00CB422E"/>
    <w:rsid w:val="00CB6D70"/>
    <w:rsid w:val="00CB7817"/>
    <w:rsid w:val="00CC240F"/>
    <w:rsid w:val="00CC568B"/>
    <w:rsid w:val="00CC572A"/>
    <w:rsid w:val="00CC75FC"/>
    <w:rsid w:val="00CD2CAC"/>
    <w:rsid w:val="00CE4155"/>
    <w:rsid w:val="00CE4FCE"/>
    <w:rsid w:val="00CE7851"/>
    <w:rsid w:val="00D04BCA"/>
    <w:rsid w:val="00D05F26"/>
    <w:rsid w:val="00D152C4"/>
    <w:rsid w:val="00D15A25"/>
    <w:rsid w:val="00D16735"/>
    <w:rsid w:val="00D2501B"/>
    <w:rsid w:val="00D26BB8"/>
    <w:rsid w:val="00D27CB5"/>
    <w:rsid w:val="00D36124"/>
    <w:rsid w:val="00D44A4D"/>
    <w:rsid w:val="00D45F0F"/>
    <w:rsid w:val="00D47743"/>
    <w:rsid w:val="00D51EDE"/>
    <w:rsid w:val="00D53D20"/>
    <w:rsid w:val="00D6192A"/>
    <w:rsid w:val="00D629F5"/>
    <w:rsid w:val="00D63144"/>
    <w:rsid w:val="00D6506C"/>
    <w:rsid w:val="00D7215C"/>
    <w:rsid w:val="00D816DF"/>
    <w:rsid w:val="00D84110"/>
    <w:rsid w:val="00D85C04"/>
    <w:rsid w:val="00D8797C"/>
    <w:rsid w:val="00D952C7"/>
    <w:rsid w:val="00D95B88"/>
    <w:rsid w:val="00D978D5"/>
    <w:rsid w:val="00DA30D3"/>
    <w:rsid w:val="00DB54F3"/>
    <w:rsid w:val="00DC2533"/>
    <w:rsid w:val="00DC66A2"/>
    <w:rsid w:val="00DC74FB"/>
    <w:rsid w:val="00DE18D1"/>
    <w:rsid w:val="00DE3969"/>
    <w:rsid w:val="00E071CC"/>
    <w:rsid w:val="00E12266"/>
    <w:rsid w:val="00E137F0"/>
    <w:rsid w:val="00E14081"/>
    <w:rsid w:val="00E15FFD"/>
    <w:rsid w:val="00E164CC"/>
    <w:rsid w:val="00E258EE"/>
    <w:rsid w:val="00E26208"/>
    <w:rsid w:val="00E30B39"/>
    <w:rsid w:val="00E34746"/>
    <w:rsid w:val="00E34CE7"/>
    <w:rsid w:val="00E422E5"/>
    <w:rsid w:val="00E469B4"/>
    <w:rsid w:val="00E56F18"/>
    <w:rsid w:val="00E60FFB"/>
    <w:rsid w:val="00E61D67"/>
    <w:rsid w:val="00E63D5F"/>
    <w:rsid w:val="00E85AC8"/>
    <w:rsid w:val="00EA00FF"/>
    <w:rsid w:val="00EA3465"/>
    <w:rsid w:val="00EB0828"/>
    <w:rsid w:val="00EB346A"/>
    <w:rsid w:val="00EB4AF8"/>
    <w:rsid w:val="00EB4B4B"/>
    <w:rsid w:val="00EC1BE4"/>
    <w:rsid w:val="00ED4ABB"/>
    <w:rsid w:val="00ED7582"/>
    <w:rsid w:val="00EE78B5"/>
    <w:rsid w:val="00EF063E"/>
    <w:rsid w:val="00EF15DA"/>
    <w:rsid w:val="00EF2B75"/>
    <w:rsid w:val="00EF5331"/>
    <w:rsid w:val="00EF7830"/>
    <w:rsid w:val="00F003B7"/>
    <w:rsid w:val="00F03F47"/>
    <w:rsid w:val="00F040AA"/>
    <w:rsid w:val="00F13B9D"/>
    <w:rsid w:val="00F1602F"/>
    <w:rsid w:val="00F177DD"/>
    <w:rsid w:val="00F26617"/>
    <w:rsid w:val="00F26BD9"/>
    <w:rsid w:val="00F279C3"/>
    <w:rsid w:val="00F3137D"/>
    <w:rsid w:val="00F32C94"/>
    <w:rsid w:val="00F400F8"/>
    <w:rsid w:val="00F42B6C"/>
    <w:rsid w:val="00F5185E"/>
    <w:rsid w:val="00F56406"/>
    <w:rsid w:val="00F56AC1"/>
    <w:rsid w:val="00F56EA1"/>
    <w:rsid w:val="00F57885"/>
    <w:rsid w:val="00F616AE"/>
    <w:rsid w:val="00F63503"/>
    <w:rsid w:val="00F721A0"/>
    <w:rsid w:val="00F75FDD"/>
    <w:rsid w:val="00F81627"/>
    <w:rsid w:val="00FA545F"/>
    <w:rsid w:val="00FB12AD"/>
    <w:rsid w:val="00FB50D5"/>
    <w:rsid w:val="00FC38E2"/>
    <w:rsid w:val="00FC64D7"/>
    <w:rsid w:val="00FD0C96"/>
    <w:rsid w:val="00FD0E45"/>
    <w:rsid w:val="00FD3002"/>
    <w:rsid w:val="00FD72FE"/>
    <w:rsid w:val="00FD737E"/>
    <w:rsid w:val="00FE2A69"/>
    <w:rsid w:val="00FE5BA8"/>
    <w:rsid w:val="00FF3165"/>
    <w:rsid w:val="03CA4DB6"/>
    <w:rsid w:val="03CE338F"/>
    <w:rsid w:val="06845841"/>
    <w:rsid w:val="07442E35"/>
    <w:rsid w:val="076754D7"/>
    <w:rsid w:val="079846EF"/>
    <w:rsid w:val="08E21476"/>
    <w:rsid w:val="0AFB17DB"/>
    <w:rsid w:val="0C055450"/>
    <w:rsid w:val="0D6E6B91"/>
    <w:rsid w:val="0D7E0CEF"/>
    <w:rsid w:val="0DDD06AD"/>
    <w:rsid w:val="0EEF723C"/>
    <w:rsid w:val="128F4AEF"/>
    <w:rsid w:val="12F83E97"/>
    <w:rsid w:val="157477AF"/>
    <w:rsid w:val="15DC1799"/>
    <w:rsid w:val="17A45001"/>
    <w:rsid w:val="191673DE"/>
    <w:rsid w:val="19EF7E9C"/>
    <w:rsid w:val="1A343521"/>
    <w:rsid w:val="1A856731"/>
    <w:rsid w:val="1B527002"/>
    <w:rsid w:val="1E9E4638"/>
    <w:rsid w:val="1F2C1822"/>
    <w:rsid w:val="20AE54AC"/>
    <w:rsid w:val="232F6245"/>
    <w:rsid w:val="24373399"/>
    <w:rsid w:val="25C3291F"/>
    <w:rsid w:val="275400C0"/>
    <w:rsid w:val="280C05EE"/>
    <w:rsid w:val="2BFF5917"/>
    <w:rsid w:val="2D71729C"/>
    <w:rsid w:val="2D7235AF"/>
    <w:rsid w:val="2F1B5990"/>
    <w:rsid w:val="30DF0851"/>
    <w:rsid w:val="39BC78B8"/>
    <w:rsid w:val="43685285"/>
    <w:rsid w:val="43985681"/>
    <w:rsid w:val="4441129B"/>
    <w:rsid w:val="44E622DD"/>
    <w:rsid w:val="45443819"/>
    <w:rsid w:val="46FB6855"/>
    <w:rsid w:val="47CF43B5"/>
    <w:rsid w:val="483E3BBB"/>
    <w:rsid w:val="4A522377"/>
    <w:rsid w:val="4C4311BD"/>
    <w:rsid w:val="53D16445"/>
    <w:rsid w:val="54133085"/>
    <w:rsid w:val="54CB6F02"/>
    <w:rsid w:val="56927060"/>
    <w:rsid w:val="59026885"/>
    <w:rsid w:val="5AB21D6F"/>
    <w:rsid w:val="5BFF60E9"/>
    <w:rsid w:val="5C511EB6"/>
    <w:rsid w:val="5CFA58CA"/>
    <w:rsid w:val="5F957C2C"/>
    <w:rsid w:val="621F6C91"/>
    <w:rsid w:val="65FC6F1B"/>
    <w:rsid w:val="68C246A7"/>
    <w:rsid w:val="69780FAF"/>
    <w:rsid w:val="6AD970A5"/>
    <w:rsid w:val="6BCD0A05"/>
    <w:rsid w:val="6D47092D"/>
    <w:rsid w:val="6DBD7B4E"/>
    <w:rsid w:val="6EED3240"/>
    <w:rsid w:val="74B419F7"/>
    <w:rsid w:val="75A65837"/>
    <w:rsid w:val="798D5E76"/>
    <w:rsid w:val="7B6D4DD2"/>
    <w:rsid w:val="7D036989"/>
    <w:rsid w:val="7E4A3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等线"/>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iPriority="99"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11">
    <w:name w:val="Default Paragraph Font"/>
    <w:autoRedefine/>
    <w:semiHidden/>
    <w:unhideWhenUsed/>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next w:val="1"/>
    <w:link w:val="14"/>
    <w:autoRedefine/>
    <w:unhideWhenUsed/>
    <w:qFormat/>
    <w:uiPriority w:val="99"/>
    <w:pPr>
      <w:tabs>
        <w:tab w:val="center" w:pos="4153"/>
        <w:tab w:val="right" w:pos="8306"/>
      </w:tabs>
      <w:snapToGrid w:val="0"/>
      <w:jc w:val="left"/>
    </w:pPr>
    <w:rPr>
      <w:sz w:val="18"/>
      <w:szCs w:val="18"/>
    </w:rPr>
  </w:style>
  <w:style w:type="paragraph" w:styleId="3">
    <w:name w:val="annotation text"/>
    <w:basedOn w:val="1"/>
    <w:link w:val="15"/>
    <w:autoRedefine/>
    <w:unhideWhenUsed/>
    <w:qFormat/>
    <w:uiPriority w:val="99"/>
    <w:pPr>
      <w:jc w:val="left"/>
    </w:pPr>
    <w:rPr>
      <w:rFonts w:asciiTheme="minorHAnsi" w:hAnsiTheme="minorHAnsi" w:eastAsiaTheme="minorEastAsia" w:cstheme="minorBidi"/>
      <w:sz w:val="21"/>
      <w:szCs w:val="22"/>
    </w:rPr>
  </w:style>
  <w:style w:type="paragraph" w:styleId="4">
    <w:name w:val="Block Text"/>
    <w:basedOn w:val="1"/>
    <w:autoRedefine/>
    <w:unhideWhenUsed/>
    <w:qFormat/>
    <w:uiPriority w:val="99"/>
    <w:pPr>
      <w:spacing w:after="120"/>
      <w:ind w:left="1440" w:leftChars="700" w:right="1440" w:rightChars="700"/>
    </w:pPr>
  </w:style>
  <w:style w:type="paragraph" w:styleId="5">
    <w:name w:val="Balloon Text"/>
    <w:basedOn w:val="1"/>
    <w:link w:val="17"/>
    <w:autoRedefine/>
    <w:semiHidden/>
    <w:unhideWhenUsed/>
    <w:qFormat/>
    <w:uiPriority w:val="99"/>
    <w:rPr>
      <w:sz w:val="18"/>
      <w:szCs w:val="18"/>
    </w:rPr>
  </w:style>
  <w:style w:type="paragraph" w:styleId="6">
    <w:name w:val="header"/>
    <w:basedOn w:val="1"/>
    <w:link w:val="13"/>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w:basedOn w:val="1"/>
    <w:autoRedefine/>
    <w:semiHidden/>
    <w:unhideWhenUsed/>
    <w:qFormat/>
    <w:uiPriority w:val="99"/>
    <w:pPr>
      <w:ind w:left="200" w:hanging="200" w:hangingChars="200"/>
      <w:contextualSpacing/>
    </w:pPr>
  </w:style>
  <w:style w:type="paragraph" w:styleId="8">
    <w:name w:val="annotation subject"/>
    <w:basedOn w:val="3"/>
    <w:next w:val="3"/>
    <w:link w:val="16"/>
    <w:autoRedefine/>
    <w:semiHidden/>
    <w:unhideWhenUsed/>
    <w:qFormat/>
    <w:uiPriority w:val="99"/>
    <w:rPr>
      <w:rFonts w:ascii="Times New Roman" w:hAnsi="Times New Roman" w:eastAsia="仿宋_GB2312" w:cs="Times New Roman"/>
      <w:b/>
      <w:bCs/>
      <w:sz w:val="30"/>
      <w:szCs w:val="24"/>
    </w:rPr>
  </w:style>
  <w:style w:type="table" w:styleId="10">
    <w:name w:val="Table Grid"/>
    <w:basedOn w:val="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basedOn w:val="11"/>
    <w:autoRedefine/>
    <w:qFormat/>
    <w:uiPriority w:val="99"/>
    <w:rPr>
      <w:sz w:val="21"/>
      <w:szCs w:val="21"/>
    </w:rPr>
  </w:style>
  <w:style w:type="character" w:customStyle="1" w:styleId="13">
    <w:name w:val="页眉 字符"/>
    <w:basedOn w:val="11"/>
    <w:link w:val="6"/>
    <w:autoRedefine/>
    <w:qFormat/>
    <w:uiPriority w:val="99"/>
    <w:rPr>
      <w:sz w:val="18"/>
      <w:szCs w:val="18"/>
    </w:rPr>
  </w:style>
  <w:style w:type="character" w:customStyle="1" w:styleId="14">
    <w:name w:val="页脚 字符"/>
    <w:basedOn w:val="11"/>
    <w:link w:val="2"/>
    <w:autoRedefine/>
    <w:qFormat/>
    <w:uiPriority w:val="99"/>
    <w:rPr>
      <w:sz w:val="18"/>
      <w:szCs w:val="18"/>
    </w:rPr>
  </w:style>
  <w:style w:type="character" w:customStyle="1" w:styleId="15">
    <w:name w:val="批注文字 字符"/>
    <w:basedOn w:val="11"/>
    <w:link w:val="3"/>
    <w:autoRedefine/>
    <w:qFormat/>
    <w:uiPriority w:val="99"/>
  </w:style>
  <w:style w:type="character" w:customStyle="1" w:styleId="16">
    <w:name w:val="批注主题 字符"/>
    <w:basedOn w:val="15"/>
    <w:link w:val="8"/>
    <w:autoRedefine/>
    <w:semiHidden/>
    <w:qFormat/>
    <w:uiPriority w:val="99"/>
    <w:rPr>
      <w:rFonts w:ascii="Times New Roman" w:hAnsi="Times New Roman" w:eastAsia="仿宋_GB2312" w:cs="Times New Roman"/>
      <w:b/>
      <w:bCs/>
      <w:sz w:val="30"/>
      <w:szCs w:val="24"/>
    </w:rPr>
  </w:style>
  <w:style w:type="character" w:customStyle="1" w:styleId="17">
    <w:name w:val="批注框文本 字符"/>
    <w:basedOn w:val="11"/>
    <w:link w:val="5"/>
    <w:autoRedefine/>
    <w:semiHidden/>
    <w:qFormat/>
    <w:uiPriority w:val="99"/>
    <w:rPr>
      <w:rFonts w:ascii="Times New Roman" w:hAnsi="Times New Roman" w:eastAsia="仿宋_GB2312" w:cs="Times New Roman"/>
      <w:sz w:val="18"/>
      <w:szCs w:val="18"/>
    </w:rPr>
  </w:style>
  <w:style w:type="paragraph" w:customStyle="1" w:styleId="18">
    <w:name w:val="修订1"/>
    <w:autoRedefine/>
    <w:hidden/>
    <w:semiHidden/>
    <w:qFormat/>
    <w:uiPriority w:val="99"/>
    <w:rPr>
      <w:rFonts w:ascii="Times New Roman" w:hAnsi="Times New Roman" w:eastAsia="仿宋_GB2312" w:cs="Times New Roman"/>
      <w:kern w:val="2"/>
      <w:sz w:val="30"/>
      <w:szCs w:val="24"/>
      <w:lang w:val="en-US" w:eastAsia="zh-CN" w:bidi="ar-SA"/>
    </w:rPr>
  </w:style>
  <w:style w:type="paragraph" w:customStyle="1" w:styleId="19">
    <w:name w:val="修订2"/>
    <w:autoRedefine/>
    <w:hidden/>
    <w:semiHidden/>
    <w:qFormat/>
    <w:uiPriority w:val="99"/>
    <w:rPr>
      <w:rFonts w:ascii="Times New Roman" w:hAnsi="Times New Roman" w:eastAsia="仿宋_GB2312" w:cs="Times New Roman"/>
      <w:kern w:val="2"/>
      <w:sz w:val="30"/>
      <w:szCs w:val="24"/>
      <w:lang w:val="en-US" w:eastAsia="zh-CN" w:bidi="ar-SA"/>
    </w:rPr>
  </w:style>
  <w:style w:type="paragraph" w:customStyle="1" w:styleId="20">
    <w:name w:val="修订3"/>
    <w:autoRedefine/>
    <w:hidden/>
    <w:semiHidden/>
    <w:qFormat/>
    <w:uiPriority w:val="99"/>
    <w:rPr>
      <w:rFonts w:ascii="Times New Roman" w:hAnsi="Times New Roman" w:eastAsia="仿宋_GB2312" w:cs="Times New Roman"/>
      <w:kern w:val="2"/>
      <w:sz w:val="30"/>
      <w:szCs w:val="24"/>
      <w:lang w:val="en-US" w:eastAsia="zh-CN" w:bidi="ar-SA"/>
    </w:rPr>
  </w:style>
  <w:style w:type="paragraph" w:customStyle="1" w:styleId="21">
    <w:name w:val="修订4"/>
    <w:autoRedefine/>
    <w:hidden/>
    <w:unhideWhenUsed/>
    <w:qFormat/>
    <w:uiPriority w:val="99"/>
    <w:rPr>
      <w:rFonts w:ascii="Times New Roman" w:hAnsi="Times New Roman" w:eastAsia="仿宋_GB2312" w:cs="Times New Roman"/>
      <w:kern w:val="2"/>
      <w:sz w:val="30"/>
      <w:szCs w:val="24"/>
      <w:lang w:val="en-US" w:eastAsia="zh-CN" w:bidi="ar-SA"/>
    </w:rPr>
  </w:style>
  <w:style w:type="paragraph" w:customStyle="1" w:styleId="22">
    <w:name w:val="WPSOffice手动目录 1"/>
    <w:autoRedefine/>
    <w:qFormat/>
    <w:uiPriority w:val="0"/>
    <w:pPr>
      <w:ind w:leftChars="0"/>
    </w:pPr>
    <w:rPr>
      <w:rFonts w:ascii="等线" w:hAnsi="等线" w:eastAsia="等线" w:cs="等线"/>
      <w:sz w:val="20"/>
      <w:szCs w:val="20"/>
    </w:rPr>
  </w:style>
  <w:style w:type="paragraph" w:customStyle="1" w:styleId="23">
    <w:name w:val="WPSOffice手动目录 2"/>
    <w:autoRedefine/>
    <w:qFormat/>
    <w:uiPriority w:val="0"/>
    <w:pPr>
      <w:ind w:leftChars="200"/>
    </w:pPr>
    <w:rPr>
      <w:rFonts w:ascii="等线" w:hAnsi="等线" w:eastAsia="等线" w:cs="等线"/>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6F244D6-A0DE-49F8-9564-F86CA36CA2A6}">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11</Pages>
  <Words>1537</Words>
  <Characters>8765</Characters>
  <Lines>73</Lines>
  <Paragraphs>20</Paragraphs>
  <TotalTime>15</TotalTime>
  <ScaleCrop>false</ScaleCrop>
  <LinksUpToDate>false</LinksUpToDate>
  <CharactersWithSpaces>10282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2021-03-18T15:23:00Z</dcterms:created>
  <dc:creator>zhang ying</dc:creator>
  <cp:lastModifiedBy>事业六部</cp:lastModifiedBy>
  <cp:lastPrinted>2024-04-02T07:55:00Z</cp:lastPrinted>
  <dcterms:modified xsi:type="dcterms:W3CDTF">2024-06-05T03:47:28Z</dcterms:modified>
  <cp:revision>270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A222500D39B14B0B875359B5939F98ED_13</vt:lpwstr>
  </property>
</Properties>
</file>