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华文中宋" w:hAnsi="华文中宋" w:eastAsia="华文中宋" w:cs="宋体"/>
          <w:spacing w:val="1"/>
          <w:sz w:val="36"/>
          <w:szCs w:val="36"/>
        </w:rPr>
      </w:pPr>
      <w:bookmarkStart w:id="0" w:name="_Toc23425"/>
      <w:bookmarkStart w:id="1" w:name="_Toc49801636"/>
      <w:r>
        <w:rPr>
          <w:rFonts w:hint="eastAsia" w:ascii="华文中宋" w:hAnsi="华文中宋" w:eastAsia="华文中宋" w:cs="宋体"/>
          <w:spacing w:val="1"/>
          <w:sz w:val="36"/>
          <w:szCs w:val="36"/>
        </w:rPr>
        <w:t>北京市文化和旅游局20</w:t>
      </w:r>
      <w:r>
        <w:rPr>
          <w:rFonts w:ascii="华文中宋" w:hAnsi="华文中宋" w:eastAsia="华文中宋" w:cs="宋体"/>
          <w:spacing w:val="1"/>
          <w:sz w:val="36"/>
          <w:szCs w:val="36"/>
        </w:rPr>
        <w:t>22</w:t>
      </w:r>
      <w:r>
        <w:rPr>
          <w:rFonts w:hint="eastAsia" w:ascii="华文中宋" w:hAnsi="华文中宋" w:eastAsia="华文中宋" w:cs="宋体"/>
          <w:spacing w:val="1"/>
          <w:sz w:val="36"/>
          <w:szCs w:val="36"/>
        </w:rPr>
        <w:t>年度</w:t>
      </w:r>
    </w:p>
    <w:p>
      <w:pPr>
        <w:adjustRightInd w:val="0"/>
        <w:snapToGrid w:val="0"/>
        <w:spacing w:line="360" w:lineRule="auto"/>
        <w:jc w:val="center"/>
        <w:rPr>
          <w:rFonts w:ascii="华文中宋" w:hAnsi="华文中宋" w:eastAsia="华文中宋" w:cs="宋体"/>
          <w:spacing w:val="1"/>
          <w:sz w:val="36"/>
          <w:szCs w:val="36"/>
        </w:rPr>
      </w:pPr>
      <w:r>
        <w:rPr>
          <w:rFonts w:hint="eastAsia" w:ascii="华文中宋" w:hAnsi="华文中宋" w:eastAsia="华文中宋" w:cs="宋体"/>
          <w:spacing w:val="1"/>
          <w:sz w:val="36"/>
          <w:szCs w:val="36"/>
        </w:rPr>
        <w:t>部门整体支出</w:t>
      </w:r>
      <w:bookmarkEnd w:id="0"/>
      <w:bookmarkEnd w:id="1"/>
      <w:bookmarkStart w:id="2" w:name="_Toc49801637"/>
      <w:bookmarkStart w:id="3" w:name="_Toc13068"/>
      <w:r>
        <w:rPr>
          <w:rFonts w:hint="eastAsia" w:ascii="华文中宋" w:hAnsi="华文中宋" w:eastAsia="华文中宋" w:cs="宋体"/>
          <w:spacing w:val="1"/>
          <w:sz w:val="36"/>
          <w:szCs w:val="36"/>
        </w:rPr>
        <w:t>绩效评价报告</w:t>
      </w:r>
      <w:bookmarkEnd w:id="2"/>
      <w:bookmarkEnd w:id="3"/>
    </w:p>
    <w:p>
      <w:pPr>
        <w:pStyle w:val="2"/>
        <w:rPr>
          <w:sz w:val="36"/>
          <w:szCs w:val="24"/>
        </w:rPr>
      </w:pPr>
    </w:p>
    <w:p>
      <w:pPr>
        <w:adjustRightInd w:val="0"/>
        <w:snapToGrid w:val="0"/>
        <w:spacing w:line="360" w:lineRule="auto"/>
        <w:ind w:firstLine="640" w:firstLineChars="200"/>
        <w:outlineLvl w:val="0"/>
        <w:rPr>
          <w:rFonts w:ascii="黑体" w:hAnsi="黑体" w:eastAsia="黑体" w:cs="黑体"/>
          <w:sz w:val="32"/>
          <w:szCs w:val="32"/>
        </w:rPr>
      </w:pPr>
      <w:bookmarkStart w:id="4" w:name="_Toc136962477"/>
      <w:r>
        <w:rPr>
          <w:rFonts w:hint="eastAsia" w:ascii="黑体" w:hAnsi="黑体" w:eastAsia="黑体" w:cs="黑体"/>
          <w:sz w:val="32"/>
          <w:szCs w:val="32"/>
        </w:rPr>
        <w:t>一、部门概况</w:t>
      </w:r>
      <w:bookmarkEnd w:id="4"/>
    </w:p>
    <w:p>
      <w:pPr>
        <w:adjustRightInd w:val="0"/>
        <w:snapToGrid w:val="0"/>
        <w:spacing w:line="360" w:lineRule="auto"/>
        <w:ind w:firstLine="640" w:firstLineChars="200"/>
        <w:outlineLvl w:val="1"/>
        <w:rPr>
          <w:rFonts w:ascii="楷体" w:hAnsi="楷体" w:eastAsia="楷体" w:cs="仿宋_GB2312"/>
          <w:sz w:val="32"/>
          <w:szCs w:val="32"/>
        </w:rPr>
      </w:pPr>
      <w:bookmarkStart w:id="5" w:name="_Toc20515"/>
      <w:bookmarkStart w:id="6" w:name="_Toc49801640"/>
      <w:bookmarkStart w:id="7" w:name="_Toc136962478"/>
      <w:r>
        <w:rPr>
          <w:rFonts w:hint="eastAsia" w:ascii="楷体" w:hAnsi="楷体" w:eastAsia="楷体" w:cs="仿宋_GB2312"/>
          <w:sz w:val="32"/>
          <w:szCs w:val="32"/>
        </w:rPr>
        <w:t>（一）</w:t>
      </w:r>
      <w:bookmarkEnd w:id="5"/>
      <w:bookmarkEnd w:id="6"/>
      <w:r>
        <w:rPr>
          <w:rFonts w:hint="eastAsia" w:ascii="楷体" w:hAnsi="楷体" w:eastAsia="楷体" w:cs="仿宋_GB2312"/>
          <w:sz w:val="32"/>
          <w:szCs w:val="32"/>
        </w:rPr>
        <w:t>机构设置及职责工作任务情况</w:t>
      </w:r>
      <w:bookmarkEnd w:id="7"/>
    </w:p>
    <w:p>
      <w:pPr>
        <w:pStyle w:val="2"/>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1.部门职能</w:t>
      </w:r>
    </w:p>
    <w:p>
      <w:pPr>
        <w:pStyle w:val="2"/>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北京市文化和旅游局（以下简称“市文旅局”）是北京市人民政府组成部门，2018年根据《北京市机构改革实施方案》，由原北京市文化局、原北京市旅游发展委员会职责整合组建而成。按照北京市人民政府办公厅《关于印发&lt;北京市文化和旅游局职能配置、内设机构和人员编制规定&gt;的通知》(京办字〔2019〕21号)，市文旅局承担“统筹规划本市文化事业、文化产业和旅游业发展；管理本市重大文化活动，指导重点及基层文化设施建设和旅游设施建设，参与国家旅游整体形象的对外宣传和重大推广活动；指导、管理本市文艺事业，指导艺术创作与生产；推进公共文化服务体系建设和旅游公共服务体系建设；指导、推进本市文化和旅游科技创新发展；推动非物质文化遗产的保护、传承、传播和发展；统筹规划本市文化产业和旅游业；负责对文化和旅游市场经营进行行业监管；指导、管理本市文化和旅游对外及对港澳台交流、合作和宣传、推广工作，负责组织大型文化和旅游对外及对港澳台交流活动”等12项职责。</w:t>
      </w:r>
    </w:p>
    <w:p>
      <w:pPr>
        <w:pStyle w:val="2"/>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2.机构设置情况</w:t>
      </w:r>
    </w:p>
    <w:p>
      <w:pPr>
        <w:pStyle w:val="2"/>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市文旅局本级</w:t>
      </w:r>
      <w:bookmarkStart w:id="8" w:name="OLE_LINK10"/>
      <w:r>
        <w:rPr>
          <w:rFonts w:hint="eastAsia" w:ascii="仿宋_GB2312" w:hAnsi="仿宋_GB2312" w:cs="仿宋_GB2312"/>
          <w:sz w:val="32"/>
          <w:szCs w:val="32"/>
        </w:rPr>
        <w:t>内设职能处室</w:t>
      </w:r>
      <w:bookmarkEnd w:id="8"/>
      <w:r>
        <w:rPr>
          <w:rFonts w:hint="eastAsia" w:ascii="仿宋_GB2312" w:hAnsi="仿宋_GB2312" w:cs="仿宋_GB2312"/>
          <w:sz w:val="32"/>
          <w:szCs w:val="32"/>
        </w:rPr>
        <w:t>包括办公室、研究室、法制处等23个，</w:t>
      </w:r>
      <w:bookmarkStart w:id="9" w:name="OLE_LINK11"/>
      <w:r>
        <w:rPr>
          <w:rFonts w:hint="eastAsia" w:ascii="仿宋_GB2312" w:hAnsi="仿宋_GB2312" w:cs="仿宋_GB2312"/>
          <w:sz w:val="32"/>
          <w:szCs w:val="32"/>
        </w:rPr>
        <w:t>所属二级预算单位</w:t>
      </w:r>
      <w:bookmarkEnd w:id="9"/>
      <w:r>
        <w:rPr>
          <w:rFonts w:hint="eastAsia" w:ascii="仿宋_GB2312" w:hAnsi="仿宋_GB2312" w:cs="仿宋_GB2312"/>
          <w:sz w:val="32"/>
          <w:szCs w:val="32"/>
        </w:rPr>
        <w:t>包括首都图书馆、北京京剧院、北京交响乐团等1</w:t>
      </w:r>
      <w:r>
        <w:rPr>
          <w:rFonts w:hint="eastAsia" w:ascii="仿宋_GB2312" w:hAnsi="仿宋_GB2312" w:cs="仿宋_GB2312"/>
          <w:sz w:val="32"/>
          <w:szCs w:val="32"/>
          <w:lang w:val="en-US" w:eastAsia="zh-CN"/>
        </w:rPr>
        <w:t>4</w:t>
      </w:r>
      <w:r>
        <w:rPr>
          <w:rFonts w:hint="eastAsia" w:ascii="仿宋_GB2312" w:hAnsi="仿宋_GB2312" w:cs="仿宋_GB2312"/>
          <w:sz w:val="32"/>
          <w:szCs w:val="32"/>
        </w:rPr>
        <w:t>个。</w:t>
      </w:r>
    </w:p>
    <w:p>
      <w:pPr>
        <w:pStyle w:val="2"/>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3.部门人员构成情况</w:t>
      </w:r>
      <w:bookmarkStart w:id="33" w:name="_GoBack"/>
      <w:bookmarkEnd w:id="33"/>
    </w:p>
    <w:p>
      <w:pPr>
        <w:pStyle w:val="2"/>
        <w:adjustRightInd w:val="0"/>
        <w:snapToGrid w:val="0"/>
        <w:spacing w:line="360" w:lineRule="auto"/>
        <w:ind w:firstLine="640" w:firstLineChars="200"/>
        <w:rPr>
          <w:rFonts w:ascii="仿宋_GB2312" w:hAnsi="仿宋_GB2312" w:cs="仿宋_GB2312"/>
          <w:sz w:val="32"/>
          <w:szCs w:val="32"/>
        </w:rPr>
      </w:pPr>
      <w:bookmarkStart w:id="10" w:name="_Toc49801642"/>
      <w:bookmarkStart w:id="11" w:name="_Toc21616"/>
      <w:r>
        <w:rPr>
          <w:rFonts w:hint="eastAsia" w:ascii="仿宋_GB2312" w:hAnsi="仿宋_GB2312" w:cs="仿宋_GB2312"/>
          <w:sz w:val="32"/>
          <w:szCs w:val="32"/>
        </w:rPr>
        <w:t>市文旅局行政编制193人，实有人数189人；事业编制2139人，实有人数180</w:t>
      </w:r>
      <w:r>
        <w:rPr>
          <w:rFonts w:hint="eastAsia" w:ascii="仿宋_GB2312" w:hAnsi="仿宋_GB2312" w:cs="仿宋_GB2312"/>
          <w:sz w:val="32"/>
          <w:szCs w:val="32"/>
          <w:lang w:val="en-US" w:eastAsia="zh-CN"/>
        </w:rPr>
        <w:t>5</w:t>
      </w:r>
      <w:r>
        <w:rPr>
          <w:rFonts w:hint="eastAsia" w:ascii="仿宋_GB2312" w:hAnsi="仿宋_GB2312" w:cs="仿宋_GB2312"/>
          <w:sz w:val="32"/>
          <w:szCs w:val="32"/>
        </w:rPr>
        <w:t>人；离退休人员1671人，其中：离休49人，退休1622人。</w:t>
      </w:r>
    </w:p>
    <w:p>
      <w:pPr>
        <w:adjustRightInd w:val="0"/>
        <w:snapToGrid w:val="0"/>
        <w:spacing w:line="360" w:lineRule="auto"/>
        <w:ind w:firstLine="640" w:firstLineChars="200"/>
        <w:outlineLvl w:val="1"/>
        <w:rPr>
          <w:rFonts w:ascii="楷体" w:hAnsi="楷体" w:eastAsia="楷体" w:cs="仿宋_GB2312"/>
          <w:sz w:val="32"/>
          <w:szCs w:val="32"/>
        </w:rPr>
      </w:pPr>
      <w:bookmarkStart w:id="12" w:name="_Toc136962479"/>
      <w:r>
        <w:rPr>
          <w:rFonts w:hint="eastAsia" w:ascii="楷体" w:hAnsi="楷体" w:eastAsia="楷体" w:cs="仿宋_GB2312"/>
          <w:sz w:val="32"/>
          <w:szCs w:val="32"/>
        </w:rPr>
        <w:t>（二）</w:t>
      </w:r>
      <w:bookmarkEnd w:id="10"/>
      <w:bookmarkEnd w:id="11"/>
      <w:r>
        <w:rPr>
          <w:rFonts w:hint="eastAsia" w:ascii="楷体" w:hAnsi="楷体" w:eastAsia="楷体" w:cs="仿宋_GB2312"/>
          <w:sz w:val="32"/>
          <w:szCs w:val="32"/>
        </w:rPr>
        <w:t>部门整体绩效目标设立情况</w:t>
      </w:r>
      <w:bookmarkEnd w:id="12"/>
    </w:p>
    <w:p>
      <w:pPr>
        <w:pStyle w:val="2"/>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根据北京市“十四五”时期文化和旅游发展规划、部门工作职责，结合市委市政府重点工作部署，市文旅局设置2022年度部门整体绩效目标为：在市委市政府和市委宣传部的领导下，市文旅局将继续贯彻落实中央和市委市政府各项工作部署，统筹规划、系统推进，有重点、有步骤推进各项改革任务顺利完成。通过继续深化文化和旅游领域改革创新，组织实施各项节庆活动并做好服务保障，开展首都市民系列活动，组织各类展演活动、精品剧目创作，打造具有广泛影响力的品牌文化活动，推动非遗保护传承，做好新形势下国际文化和旅游交流交往，推进区域合作等具体工作开展，推动首都文化事业、文化产业和旅游业新发展。围绕总体绩效目标，市文旅局设置了8项具体指标，</w:t>
      </w:r>
      <w:r>
        <w:rPr>
          <w:rFonts w:hint="eastAsia" w:ascii="仿宋_GB2312"/>
          <w:sz w:val="32"/>
          <w:szCs w:val="32"/>
        </w:rPr>
        <w:t>与市文旅局年度各项职责任务高度匹配，指标设置科学合理、具有可评价性。</w:t>
      </w:r>
    </w:p>
    <w:p>
      <w:pPr>
        <w:adjustRightInd w:val="0"/>
        <w:snapToGrid w:val="0"/>
        <w:spacing w:line="360" w:lineRule="auto"/>
        <w:ind w:firstLine="640" w:firstLineChars="200"/>
        <w:outlineLvl w:val="0"/>
        <w:rPr>
          <w:rFonts w:ascii="黑体" w:hAnsi="黑体" w:eastAsia="黑体" w:cs="黑体"/>
          <w:sz w:val="32"/>
          <w:szCs w:val="32"/>
        </w:rPr>
      </w:pPr>
      <w:bookmarkStart w:id="13" w:name="_Toc136962480"/>
      <w:r>
        <w:rPr>
          <w:rFonts w:hint="eastAsia" w:ascii="黑体" w:hAnsi="黑体" w:eastAsia="黑体" w:cs="黑体"/>
          <w:sz w:val="32"/>
          <w:szCs w:val="32"/>
        </w:rPr>
        <w:t>二、当年预算执行情况</w:t>
      </w:r>
      <w:bookmarkEnd w:id="13"/>
    </w:p>
    <w:p>
      <w:pPr>
        <w:pStyle w:val="2"/>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202</w:t>
      </w:r>
      <w:r>
        <w:rPr>
          <w:rFonts w:ascii="仿宋_GB2312" w:hAnsi="仿宋_GB2312" w:cs="仿宋_GB2312"/>
          <w:sz w:val="32"/>
          <w:szCs w:val="32"/>
        </w:rPr>
        <w:t>2</w:t>
      </w:r>
      <w:r>
        <w:rPr>
          <w:rFonts w:hint="eastAsia" w:ascii="仿宋_GB2312" w:hAnsi="仿宋_GB2312" w:cs="仿宋_GB2312"/>
          <w:sz w:val="32"/>
          <w:szCs w:val="32"/>
        </w:rPr>
        <w:t>年全年预算数188155.64万元，其中：基本支出预算数</w:t>
      </w:r>
      <w:r>
        <w:rPr>
          <w:rFonts w:ascii="仿宋_GB2312" w:hAnsi="仿宋_GB2312" w:cs="仿宋_GB2312"/>
          <w:sz w:val="32"/>
          <w:szCs w:val="32"/>
        </w:rPr>
        <w:t>87079.39</w:t>
      </w:r>
      <w:r>
        <w:rPr>
          <w:rFonts w:hint="eastAsia" w:ascii="仿宋_GB2312" w:hAnsi="仿宋_GB2312" w:cs="仿宋_GB2312"/>
          <w:sz w:val="32"/>
          <w:szCs w:val="32"/>
        </w:rPr>
        <w:t>万元、项目支出预算数</w:t>
      </w:r>
      <w:r>
        <w:rPr>
          <w:rFonts w:ascii="仿宋_GB2312" w:hAnsi="仿宋_GB2312" w:cs="仿宋_GB2312"/>
          <w:sz w:val="32"/>
          <w:szCs w:val="32"/>
        </w:rPr>
        <w:t>100736.35</w:t>
      </w:r>
      <w:r>
        <w:rPr>
          <w:rFonts w:hint="eastAsia" w:ascii="仿宋_GB2312" w:hAnsi="仿宋_GB2312" w:cs="仿宋_GB2312"/>
          <w:sz w:val="32"/>
          <w:szCs w:val="32"/>
        </w:rPr>
        <w:t>万元、其他支出预算数</w:t>
      </w:r>
      <w:r>
        <w:rPr>
          <w:rFonts w:ascii="仿宋_GB2312" w:hAnsi="仿宋_GB2312" w:cs="仿宋_GB2312"/>
          <w:sz w:val="32"/>
          <w:szCs w:val="32"/>
        </w:rPr>
        <w:t>339.90</w:t>
      </w:r>
      <w:r>
        <w:rPr>
          <w:rFonts w:hint="eastAsia" w:ascii="仿宋_GB2312" w:hAnsi="仿宋_GB2312" w:cs="仿宋_GB2312"/>
          <w:sz w:val="32"/>
          <w:szCs w:val="32"/>
        </w:rPr>
        <w:t>万元。资金总体支出</w:t>
      </w:r>
      <w:r>
        <w:rPr>
          <w:rFonts w:ascii="仿宋_GB2312" w:hAnsi="仿宋_GB2312" w:cs="仿宋_GB2312"/>
          <w:sz w:val="32"/>
          <w:szCs w:val="32"/>
        </w:rPr>
        <w:t>161985.97</w:t>
      </w:r>
      <w:r>
        <w:rPr>
          <w:rFonts w:hint="eastAsia" w:ascii="仿宋_GB2312" w:hAnsi="仿宋_GB2312" w:cs="仿宋_GB2312"/>
          <w:sz w:val="32"/>
          <w:szCs w:val="32"/>
        </w:rPr>
        <w:t>万元，其中：基本支出</w:t>
      </w:r>
      <w:r>
        <w:rPr>
          <w:rFonts w:ascii="仿宋_GB2312" w:hAnsi="仿宋_GB2312" w:cs="仿宋_GB2312"/>
          <w:sz w:val="32"/>
          <w:szCs w:val="32"/>
        </w:rPr>
        <w:t>78575.78</w:t>
      </w:r>
      <w:r>
        <w:rPr>
          <w:rFonts w:hint="eastAsia" w:ascii="仿宋_GB2312" w:hAnsi="仿宋_GB2312" w:cs="仿宋_GB2312"/>
          <w:sz w:val="32"/>
          <w:szCs w:val="32"/>
        </w:rPr>
        <w:t>万元、项目支出</w:t>
      </w:r>
      <w:r>
        <w:rPr>
          <w:rFonts w:ascii="仿宋_GB2312" w:hAnsi="仿宋_GB2312" w:cs="仿宋_GB2312"/>
          <w:sz w:val="32"/>
          <w:szCs w:val="32"/>
        </w:rPr>
        <w:t>83070.29</w:t>
      </w:r>
      <w:r>
        <w:rPr>
          <w:rFonts w:hint="eastAsia" w:ascii="仿宋_GB2312" w:hAnsi="仿宋_GB2312" w:cs="仿宋_GB2312"/>
          <w:sz w:val="32"/>
          <w:szCs w:val="32"/>
        </w:rPr>
        <w:t>万元、其他支出</w:t>
      </w:r>
      <w:r>
        <w:rPr>
          <w:rFonts w:ascii="仿宋_GB2312" w:hAnsi="仿宋_GB2312" w:cs="仿宋_GB2312"/>
          <w:sz w:val="32"/>
          <w:szCs w:val="32"/>
        </w:rPr>
        <w:t>339.90</w:t>
      </w:r>
      <w:r>
        <w:rPr>
          <w:rFonts w:hint="eastAsia" w:ascii="仿宋_GB2312" w:hAnsi="仿宋_GB2312" w:cs="仿宋_GB2312"/>
          <w:sz w:val="32"/>
          <w:szCs w:val="32"/>
        </w:rPr>
        <w:t>万元。预算执行率为</w:t>
      </w:r>
      <w:r>
        <w:rPr>
          <w:rFonts w:ascii="仿宋_GB2312" w:hAnsi="仿宋_GB2312" w:cs="仿宋_GB2312"/>
          <w:sz w:val="32"/>
          <w:szCs w:val="32"/>
        </w:rPr>
        <w:t>86.09</w:t>
      </w:r>
      <w:r>
        <w:rPr>
          <w:rFonts w:hint="eastAsia" w:ascii="仿宋_GB2312" w:hAnsi="仿宋_GB2312" w:cs="仿宋_GB2312"/>
          <w:sz w:val="32"/>
          <w:szCs w:val="32"/>
        </w:rPr>
        <w:t>%。</w:t>
      </w:r>
    </w:p>
    <w:p>
      <w:pPr>
        <w:adjustRightInd w:val="0"/>
        <w:snapToGrid w:val="0"/>
        <w:spacing w:line="360" w:lineRule="auto"/>
        <w:ind w:firstLine="640" w:firstLineChars="200"/>
        <w:outlineLvl w:val="0"/>
        <w:rPr>
          <w:rFonts w:ascii="黑体" w:hAnsi="黑体" w:eastAsia="黑体" w:cs="黑体"/>
          <w:sz w:val="32"/>
          <w:szCs w:val="32"/>
        </w:rPr>
      </w:pPr>
      <w:bookmarkStart w:id="14" w:name="_Toc136962483"/>
      <w:r>
        <w:rPr>
          <w:rFonts w:hint="eastAsia" w:ascii="黑体" w:hAnsi="黑体" w:eastAsia="黑体" w:cs="黑体"/>
          <w:sz w:val="32"/>
          <w:szCs w:val="32"/>
        </w:rPr>
        <w:t>三、</w:t>
      </w:r>
      <w:bookmarkEnd w:id="14"/>
      <w:r>
        <w:rPr>
          <w:rFonts w:hint="eastAsia" w:ascii="黑体" w:hAnsi="黑体" w:eastAsia="黑体" w:cs="黑体"/>
          <w:sz w:val="32"/>
          <w:szCs w:val="32"/>
        </w:rPr>
        <w:t>整体绩效目标实现情况</w:t>
      </w:r>
    </w:p>
    <w:p>
      <w:pPr>
        <w:adjustRightInd w:val="0"/>
        <w:snapToGrid w:val="0"/>
        <w:spacing w:line="360" w:lineRule="auto"/>
        <w:ind w:firstLine="640" w:firstLineChars="200"/>
        <w:outlineLvl w:val="1"/>
        <w:rPr>
          <w:rFonts w:ascii="楷体" w:hAnsi="楷体" w:eastAsia="楷体" w:cs="仿宋_GB2312"/>
          <w:sz w:val="32"/>
          <w:szCs w:val="32"/>
        </w:rPr>
      </w:pPr>
      <w:r>
        <w:rPr>
          <w:rFonts w:hint="eastAsia" w:ascii="楷体" w:hAnsi="楷体" w:eastAsia="楷体" w:cs="仿宋_GB2312"/>
          <w:sz w:val="32"/>
          <w:szCs w:val="32"/>
        </w:rPr>
        <w:t>（一）产出完成情况分析</w:t>
      </w:r>
    </w:p>
    <w:p>
      <w:pPr>
        <w:pStyle w:val="2"/>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1.产出数量</w:t>
      </w:r>
    </w:p>
    <w:p>
      <w:pPr>
        <w:adjustRightInd w:val="0"/>
        <w:snapToGrid w:val="0"/>
        <w:spacing w:line="360" w:lineRule="auto"/>
        <w:ind w:left="105" w:leftChars="50" w:firstLine="640" w:firstLineChars="200"/>
        <w:rPr>
          <w:rFonts w:ascii="仿宋_GB2312" w:eastAsia="仿宋_GB2312"/>
          <w:color w:val="000000"/>
          <w:kern w:val="0"/>
          <w:sz w:val="32"/>
          <w:szCs w:val="32"/>
        </w:rPr>
      </w:pPr>
      <w:r>
        <w:rPr>
          <w:rFonts w:hint="eastAsia" w:ascii="仿宋_GB2312" w:eastAsia="仿宋_GB2312"/>
          <w:color w:val="000000"/>
          <w:kern w:val="0"/>
          <w:sz w:val="32"/>
          <w:szCs w:val="32"/>
        </w:rPr>
        <w:t>2022年，市文旅局顺利完成了各项工作任务：</w:t>
      </w:r>
    </w:p>
    <w:p>
      <w:pPr>
        <w:pStyle w:val="2"/>
        <w:adjustRightInd w:val="0"/>
        <w:snapToGrid w:val="0"/>
        <w:spacing w:line="360" w:lineRule="auto"/>
        <w:ind w:firstLine="643" w:firstLineChars="200"/>
        <w:rPr>
          <w:rFonts w:ascii="仿宋_GB2312" w:hAnsi="仿宋_GB2312" w:cs="仿宋_GB2312"/>
          <w:sz w:val="32"/>
          <w:szCs w:val="32"/>
        </w:rPr>
      </w:pPr>
      <w:r>
        <w:rPr>
          <w:rFonts w:hint="eastAsia" w:ascii="仿宋_GB2312" w:hAnsi="仿宋_GB2312" w:cs="仿宋_GB2312"/>
          <w:b/>
          <w:bCs/>
          <w:sz w:val="32"/>
          <w:szCs w:val="32"/>
        </w:rPr>
        <w:t>艺术创作生产方面，</w:t>
      </w:r>
      <w:r>
        <w:rPr>
          <w:rFonts w:hint="eastAsia" w:ascii="仿宋_GB2312" w:hAnsi="仿宋_GB2312" w:cs="仿宋_GB2312"/>
          <w:sz w:val="32"/>
          <w:szCs w:val="32"/>
        </w:rPr>
        <w:t>一是“大戏看北京”推出一系列舞台艺术创作精品。二是创新搭建全市剧本创作及选题孵化平台。三是举办第六届中国戏曲文化周活动，举办第九届“圆梦中国 春苗行动”北京市优秀少儿题材舞台剧目展演。</w:t>
      </w:r>
    </w:p>
    <w:p>
      <w:pPr>
        <w:pStyle w:val="2"/>
        <w:adjustRightInd w:val="0"/>
        <w:snapToGrid w:val="0"/>
        <w:spacing w:line="360" w:lineRule="auto"/>
        <w:ind w:firstLine="643" w:firstLineChars="200"/>
        <w:rPr>
          <w:rFonts w:ascii="仿宋_GB2312" w:hAnsi="仿宋_GB2312" w:cs="仿宋_GB2312"/>
          <w:sz w:val="32"/>
          <w:szCs w:val="32"/>
        </w:rPr>
      </w:pPr>
      <w:r>
        <w:rPr>
          <w:rFonts w:hint="eastAsia" w:ascii="仿宋_GB2312" w:hAnsi="仿宋_GB2312" w:cs="仿宋_GB2312"/>
          <w:b/>
          <w:bCs/>
          <w:sz w:val="32"/>
          <w:szCs w:val="32"/>
        </w:rPr>
        <w:t>文化和旅游公共服务方面，</w:t>
      </w:r>
      <w:r>
        <w:rPr>
          <w:rFonts w:hint="eastAsia" w:ascii="仿宋_GB2312" w:hAnsi="仿宋_GB2312" w:cs="仿宋_GB2312"/>
          <w:sz w:val="32"/>
          <w:szCs w:val="32"/>
        </w:rPr>
        <w:t>一是完善了北京市公共文化服务体系示范区建设指标，修订了《北京市图书馆条例》实施办法相关内容。二是开展了首都市民系列文化活动1.66万场，举办“2022旅游进社区 市民逛京郊”活动。</w:t>
      </w:r>
    </w:p>
    <w:p>
      <w:pPr>
        <w:pStyle w:val="2"/>
        <w:adjustRightInd w:val="0"/>
        <w:snapToGrid w:val="0"/>
        <w:spacing w:line="360" w:lineRule="auto"/>
        <w:ind w:firstLine="643" w:firstLineChars="200"/>
        <w:rPr>
          <w:rFonts w:ascii="仿宋_GB2312" w:hAnsi="仿宋_GB2312" w:cs="仿宋_GB2312"/>
          <w:sz w:val="32"/>
          <w:szCs w:val="32"/>
        </w:rPr>
      </w:pPr>
      <w:r>
        <w:rPr>
          <w:rFonts w:hint="eastAsia" w:ascii="仿宋_GB2312" w:hAnsi="仿宋_GB2312" w:cs="仿宋_GB2312"/>
          <w:b/>
          <w:bCs/>
          <w:sz w:val="32"/>
          <w:szCs w:val="32"/>
        </w:rPr>
        <w:t>非遗保护及传承方面，</w:t>
      </w:r>
      <w:r>
        <w:rPr>
          <w:rFonts w:hint="eastAsia" w:ascii="仿宋_GB2312" w:hAnsi="仿宋_GB2312" w:cs="仿宋_GB2312"/>
          <w:sz w:val="32"/>
          <w:szCs w:val="32"/>
        </w:rPr>
        <w:t>一是研究起草了《北京市关于进一步加强非物质文化遗产保护工作的实施意见》，首次发布《北京市传统工艺振兴目录》，制定印发了《北京市急需保护的非物质文化遗产项目认定和保护办法》，出台了《北京市非物质文化遗产代表性项目专家评审办法》。二是完善了市非遗保护工作联席会议制度，开展了首次全市非遗传统舞蹈培训以及非遗传承人研修培训、非遗保护工作队伍培训。三是多次组织非遗传承人参加全国性及区域性非遗展览活动。</w:t>
      </w:r>
    </w:p>
    <w:p>
      <w:pPr>
        <w:pStyle w:val="2"/>
        <w:adjustRightInd w:val="0"/>
        <w:snapToGrid w:val="0"/>
        <w:spacing w:line="360" w:lineRule="auto"/>
        <w:ind w:firstLine="643" w:firstLineChars="200"/>
        <w:rPr>
          <w:rFonts w:ascii="仿宋_GB2312" w:hAnsi="仿宋_GB2312" w:cs="仿宋_GB2312"/>
          <w:sz w:val="32"/>
          <w:szCs w:val="32"/>
        </w:rPr>
      </w:pPr>
      <w:r>
        <w:rPr>
          <w:rFonts w:hint="eastAsia" w:ascii="仿宋_GB2312" w:hAnsi="仿宋_GB2312" w:cs="仿宋_GB2312"/>
          <w:b/>
          <w:bCs/>
          <w:sz w:val="32"/>
          <w:szCs w:val="32"/>
        </w:rPr>
        <w:t>文旅产业促进方面，</w:t>
      </w:r>
      <w:r>
        <w:rPr>
          <w:rFonts w:hint="eastAsia" w:ascii="仿宋_GB2312" w:hAnsi="仿宋_GB2312" w:cs="仿宋_GB2312"/>
          <w:sz w:val="32"/>
          <w:szCs w:val="32"/>
        </w:rPr>
        <w:t>一是举办了第三届北京文旅重点项目投融资对接会，推出了“民俗保”、“农宅保”、“农旅贷”等系列旅游担保产品，继续开展了京郊旅游政策性保险工作。二是发放了近3000万元京郊住宿消费券，带动旅游消费3.6亿元，拉动相关产业增加收入15.48亿元。持续打造文旅品牌，推出一系列文旅精品路线。三是促进旅游与体育、工业、中医康养等产业融合，促进旅游业态多元化发展。</w:t>
      </w:r>
    </w:p>
    <w:p>
      <w:pPr>
        <w:pStyle w:val="2"/>
        <w:adjustRightInd w:val="0"/>
        <w:snapToGrid w:val="0"/>
        <w:spacing w:line="360" w:lineRule="auto"/>
        <w:ind w:firstLine="643" w:firstLineChars="200"/>
        <w:rPr>
          <w:rFonts w:ascii="仿宋_GB2312" w:hAnsi="仿宋_GB2312" w:cs="仿宋_GB2312"/>
          <w:sz w:val="32"/>
          <w:szCs w:val="32"/>
        </w:rPr>
      </w:pPr>
      <w:r>
        <w:rPr>
          <w:rFonts w:hint="eastAsia" w:ascii="仿宋_GB2312" w:hAnsi="仿宋_GB2312" w:cs="仿宋_GB2312"/>
          <w:b/>
          <w:bCs/>
          <w:sz w:val="32"/>
          <w:szCs w:val="32"/>
        </w:rPr>
        <w:t>文化旅游市场监管方面，</w:t>
      </w:r>
      <w:r>
        <w:rPr>
          <w:rFonts w:hint="eastAsia" w:ascii="仿宋_GB2312" w:hAnsi="仿宋_GB2312" w:cs="仿宋_GB2312"/>
          <w:sz w:val="32"/>
          <w:szCs w:val="32"/>
        </w:rPr>
        <w:t>一是依法受理审批，全年审批文化和旅游类事项17278件，办结率95.6%。二是加快推进文化和旅游行业事中监管改革，构建“6+4”一体化综合监管体系。加大执法检查力度，市区两级文化执法部门全年完成执法量15万余件。</w:t>
      </w:r>
    </w:p>
    <w:p>
      <w:pPr>
        <w:pStyle w:val="2"/>
        <w:adjustRightInd w:val="0"/>
        <w:snapToGrid w:val="0"/>
        <w:spacing w:line="360" w:lineRule="auto"/>
        <w:ind w:firstLine="643" w:firstLineChars="200"/>
        <w:rPr>
          <w:rFonts w:ascii="仿宋_GB2312" w:hAnsi="仿宋_GB2312" w:cs="仿宋_GB2312"/>
          <w:sz w:val="32"/>
          <w:szCs w:val="32"/>
        </w:rPr>
      </w:pPr>
      <w:r>
        <w:rPr>
          <w:rFonts w:hint="eastAsia" w:ascii="仿宋_GB2312" w:hAnsi="仿宋_GB2312" w:cs="仿宋_GB2312"/>
          <w:b/>
          <w:bCs/>
          <w:sz w:val="32"/>
          <w:szCs w:val="32"/>
        </w:rPr>
        <w:t>文旅交流交往方面，</w:t>
      </w:r>
      <w:r>
        <w:rPr>
          <w:rFonts w:hint="eastAsia" w:ascii="仿宋_GB2312" w:hAnsi="仿宋_GB2312" w:cs="仿宋_GB2312"/>
          <w:sz w:val="32"/>
          <w:szCs w:val="32"/>
        </w:rPr>
        <w:t>一是国际交往方面，成功举办首届北京文化论坛——文化交流与合作分论坛和2022年服贸会文旅专题旅游服务展；成功举办2022年芬兰、爱沙尼亚、希腊、加拿大、比利时线上“欢乐春节”。开展了全球吉庆生肖设计大赛（癸卯兔年），举办了第二届北京国际运河艺术周。成功举办了“2022世界旅游合作与发展大会”，发布《世界旅游经济趋势报告（2022）》。二是区域交往方面，推动京张体育文化旅游带建设，启动北京市冰雪文化旅游季，与河北省共同主办京津冀公共文化产品和服务采购大会。</w:t>
      </w:r>
    </w:p>
    <w:p>
      <w:pPr>
        <w:pStyle w:val="2"/>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2.产出质量</w:t>
      </w:r>
    </w:p>
    <w:p>
      <w:pPr>
        <w:pStyle w:val="2"/>
        <w:adjustRightInd w:val="0"/>
        <w:snapToGrid w:val="0"/>
        <w:spacing w:line="360" w:lineRule="auto"/>
        <w:ind w:firstLine="640" w:firstLineChars="200"/>
        <w:rPr>
          <w:rFonts w:ascii="仿宋_GB2312" w:hAnsi="仿宋_GB2312" w:cs="仿宋_GB2312"/>
          <w:sz w:val="32"/>
          <w:szCs w:val="32"/>
        </w:rPr>
      </w:pPr>
      <w:r>
        <w:rPr>
          <w:rFonts w:hint="eastAsia" w:ascii="仿宋_GB2312"/>
          <w:color w:val="000000"/>
          <w:kern w:val="0"/>
          <w:sz w:val="32"/>
          <w:szCs w:val="32"/>
        </w:rPr>
        <w:t>市文旅局各项工作质量完成情况较好，但是</w:t>
      </w:r>
      <w:bookmarkStart w:id="15" w:name="OLE_LINK48"/>
      <w:r>
        <w:rPr>
          <w:rFonts w:hint="eastAsia" w:ascii="仿宋_GB2312"/>
          <w:color w:val="000000"/>
          <w:kern w:val="0"/>
          <w:sz w:val="32"/>
          <w:szCs w:val="32"/>
        </w:rPr>
        <w:t>个别项目完成质量有待提升</w:t>
      </w:r>
      <w:bookmarkEnd w:id="15"/>
      <w:r>
        <w:rPr>
          <w:rFonts w:hint="eastAsia" w:ascii="仿宋_GB2312"/>
          <w:color w:val="000000"/>
          <w:kern w:val="0"/>
          <w:sz w:val="32"/>
          <w:szCs w:val="32"/>
        </w:rPr>
        <w:t>，</w:t>
      </w:r>
      <w:r>
        <w:rPr>
          <w:rFonts w:hint="eastAsia" w:ascii="仿宋_GB2312" w:hAnsi="仿宋_GB2312" w:cs="仿宋_GB2312"/>
          <w:sz w:val="32"/>
          <w:szCs w:val="32"/>
        </w:rPr>
        <w:t>如：部分项目实施过程监管不够到位，未见对项目执行进度、过程质量等进行定期跟踪、督促的资料，监管责任体现不充分；部分项目验收不够规范，验收单信息不全，内容较为简单，缺少实质性验收内容及意见。</w:t>
      </w:r>
    </w:p>
    <w:p>
      <w:pPr>
        <w:pStyle w:val="2"/>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3.产出进度</w:t>
      </w:r>
    </w:p>
    <w:p>
      <w:pPr>
        <w:pStyle w:val="2"/>
        <w:adjustRightInd w:val="0"/>
        <w:snapToGrid w:val="0"/>
        <w:spacing w:line="360" w:lineRule="auto"/>
        <w:ind w:firstLine="640" w:firstLineChars="200"/>
        <w:rPr>
          <w:rFonts w:ascii="仿宋_GB2312"/>
          <w:color w:val="000000"/>
          <w:kern w:val="0"/>
          <w:sz w:val="32"/>
          <w:szCs w:val="32"/>
        </w:rPr>
      </w:pPr>
      <w:r>
        <w:rPr>
          <w:rFonts w:hint="eastAsia" w:ascii="仿宋_GB2312"/>
          <w:color w:val="000000"/>
          <w:kern w:val="0"/>
          <w:sz w:val="32"/>
          <w:szCs w:val="32"/>
        </w:rPr>
        <w:t>市文旅局各项工作完成及时性较好，但是受疫情影响，部分项目实施进度有所滞后。如：部分项目受疫情影响，施工单位无法进场，或施工材料无法及时运送入京，导致项目施工进度较为滞后。</w:t>
      </w:r>
    </w:p>
    <w:p>
      <w:pPr>
        <w:pStyle w:val="2"/>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4.产出成本</w:t>
      </w:r>
    </w:p>
    <w:p>
      <w:pPr>
        <w:pStyle w:val="2"/>
        <w:adjustRightInd w:val="0"/>
        <w:snapToGrid w:val="0"/>
        <w:spacing w:line="360" w:lineRule="auto"/>
        <w:ind w:firstLine="640" w:firstLineChars="200"/>
        <w:rPr>
          <w:rFonts w:ascii="仿宋_GB2312"/>
          <w:color w:val="000000"/>
          <w:kern w:val="0"/>
          <w:sz w:val="32"/>
          <w:szCs w:val="32"/>
        </w:rPr>
      </w:pPr>
      <w:r>
        <w:rPr>
          <w:rFonts w:hint="eastAsia" w:ascii="仿宋_GB2312"/>
          <w:color w:val="000000"/>
          <w:kern w:val="0"/>
          <w:sz w:val="32"/>
          <w:szCs w:val="32"/>
        </w:rPr>
        <w:t>2022年，市文旅局成本控制情况良好。一是多措并举，压缩不必要、不合理支出。二是深入贯彻落实过“紧日子”要求，严格执行各项经费开支标准、严格控制一般性支出。</w:t>
      </w:r>
    </w:p>
    <w:p>
      <w:pPr>
        <w:adjustRightInd w:val="0"/>
        <w:snapToGrid w:val="0"/>
        <w:spacing w:line="360" w:lineRule="auto"/>
        <w:ind w:firstLine="640" w:firstLineChars="200"/>
        <w:outlineLvl w:val="1"/>
        <w:rPr>
          <w:rFonts w:ascii="楷体" w:hAnsi="楷体" w:eastAsia="楷体" w:cs="仿宋_GB2312"/>
          <w:sz w:val="32"/>
          <w:szCs w:val="32"/>
        </w:rPr>
      </w:pPr>
      <w:r>
        <w:rPr>
          <w:rFonts w:hint="eastAsia" w:ascii="楷体" w:hAnsi="楷体" w:eastAsia="楷体" w:cs="仿宋_GB2312"/>
          <w:sz w:val="32"/>
          <w:szCs w:val="32"/>
        </w:rPr>
        <w:t>（二）效果实现情况分析</w:t>
      </w:r>
    </w:p>
    <w:p>
      <w:pPr>
        <w:pStyle w:val="2"/>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1.社会效益</w:t>
      </w:r>
    </w:p>
    <w:p>
      <w:pPr>
        <w:pStyle w:val="2"/>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通过各项工作的有效落实，市文旅局2</w:t>
      </w:r>
      <w:r>
        <w:rPr>
          <w:rFonts w:ascii="仿宋_GB2312" w:hAnsi="仿宋_GB2312" w:cs="仿宋_GB2312"/>
          <w:sz w:val="32"/>
          <w:szCs w:val="32"/>
        </w:rPr>
        <w:t>022</w:t>
      </w:r>
      <w:r>
        <w:rPr>
          <w:rFonts w:hint="eastAsia" w:ascii="仿宋_GB2312" w:hAnsi="仿宋_GB2312" w:cs="仿宋_GB2312"/>
          <w:sz w:val="32"/>
          <w:szCs w:val="32"/>
        </w:rPr>
        <w:t>年履职效能良好，艺术创作生产成果更加丰硕，文化和旅游公共服务水平不断提高，非遗保护及传承力度不断加强，文旅产业促进进一步提质增效，促进了文化旅游市场健康发展，文旅交流交往不断加深，取得了显著的社会效益。</w:t>
      </w:r>
    </w:p>
    <w:p>
      <w:pPr>
        <w:pStyle w:val="2"/>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2.可持续影响</w:t>
      </w:r>
    </w:p>
    <w:p>
      <w:pPr>
        <w:pStyle w:val="2"/>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市文旅局建立健全文化和旅游政策贯彻落实机制，通过召开局长办公会等方式，研究决定各项政策的贯彻落实意见和具体措施、文旅事业发展规划、年度工作计划等内容。同时，针对艺术创作生产、文旅公共服务等核心业务工作，市文旅局依据国家、北京市相关要求，制定并发布相关工作通知、实施细则等，确保各项政策的落地实施。政策落实机制的可持续性较好。</w:t>
      </w:r>
    </w:p>
    <w:p>
      <w:pPr>
        <w:pStyle w:val="2"/>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以“十四五”规划为指导，由市文旅局本级各处室为主导、各二级单位为支撑，通过制定政策、细化制度、培养人才、借鉴经验等多措并举，不断完善文化和旅游公共服务体系、市场监管体系、产品供给体系，不断推动北京文化事业、文化产业和旅游业繁荣发展，加快建设文化和旅游现代化产业体系。北京市文化和旅游体系建设可持续性良好。</w:t>
      </w:r>
    </w:p>
    <w:p>
      <w:pPr>
        <w:pStyle w:val="2"/>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3.</w:t>
      </w:r>
      <w:r>
        <w:rPr>
          <w:rFonts w:hint="eastAsia" w:ascii="仿宋_GB2312"/>
        </w:rPr>
        <w:t xml:space="preserve"> </w:t>
      </w:r>
      <w:r>
        <w:rPr>
          <w:rFonts w:hint="eastAsia" w:ascii="仿宋_GB2312" w:hAnsi="仿宋_GB2312" w:cs="仿宋_GB2312"/>
          <w:sz w:val="32"/>
          <w:szCs w:val="32"/>
        </w:rPr>
        <w:t>服务对象满意度</w:t>
      </w:r>
    </w:p>
    <w:p>
      <w:pPr>
        <w:pStyle w:val="2"/>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从2022年北京市文化和旅游市场运营成果和重点评价项目的满意度调查结果来看，市文旅局充分发挥行业主管作用，积极提供文化和旅游供给，不断丰富人民日益增长的精神文化生活，不断加强行业指导和监管，促进文旅市场健康发展，社会公众和文旅行业市场主体对北京市文旅服务的满意度较高。但市文旅局整体层面未针对社会公众和行业市场主体开展满意度调查，不利于充分展现部门履职效果，也不利于总结经验、发现问题，以更好的指导以后年度工作开展。</w:t>
      </w:r>
    </w:p>
    <w:p>
      <w:pPr>
        <w:adjustRightInd w:val="0"/>
        <w:snapToGrid w:val="0"/>
        <w:spacing w:line="360" w:lineRule="auto"/>
        <w:ind w:firstLine="640" w:firstLineChars="200"/>
        <w:outlineLvl w:val="0"/>
        <w:rPr>
          <w:rFonts w:ascii="黑体" w:hAnsi="黑体" w:eastAsia="黑体" w:cs="黑体"/>
          <w:sz w:val="32"/>
          <w:szCs w:val="32"/>
        </w:rPr>
      </w:pPr>
      <w:bookmarkStart w:id="16" w:name="_Toc136962487"/>
      <w:r>
        <w:rPr>
          <w:rFonts w:hint="eastAsia" w:ascii="黑体" w:hAnsi="黑体" w:eastAsia="黑体" w:cs="黑体"/>
          <w:sz w:val="32"/>
          <w:szCs w:val="32"/>
        </w:rPr>
        <w:t>四、</w:t>
      </w:r>
      <w:bookmarkEnd w:id="16"/>
      <w:r>
        <w:rPr>
          <w:rFonts w:hint="eastAsia" w:ascii="黑体" w:hAnsi="黑体" w:eastAsia="黑体" w:cs="黑体"/>
          <w:sz w:val="32"/>
          <w:szCs w:val="32"/>
        </w:rPr>
        <w:t>预算管理情况分析</w:t>
      </w:r>
    </w:p>
    <w:p>
      <w:pPr>
        <w:adjustRightInd w:val="0"/>
        <w:snapToGrid w:val="0"/>
        <w:spacing w:line="360" w:lineRule="auto"/>
        <w:ind w:firstLine="640" w:firstLineChars="200"/>
        <w:outlineLvl w:val="1"/>
        <w:rPr>
          <w:rFonts w:ascii="楷体" w:hAnsi="楷体" w:eastAsia="楷体" w:cs="仿宋_GB2312"/>
          <w:sz w:val="32"/>
          <w:szCs w:val="32"/>
        </w:rPr>
      </w:pPr>
      <w:r>
        <w:rPr>
          <w:rFonts w:hint="eastAsia" w:ascii="楷体" w:hAnsi="楷体" w:eastAsia="楷体" w:cs="仿宋_GB2312"/>
          <w:sz w:val="32"/>
          <w:szCs w:val="32"/>
        </w:rPr>
        <w:t>（一）财务管理</w:t>
      </w:r>
    </w:p>
    <w:p>
      <w:pPr>
        <w:pStyle w:val="2"/>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1.财务管理制度健全性</w:t>
      </w:r>
    </w:p>
    <w:p>
      <w:pPr>
        <w:pStyle w:val="2"/>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市文旅局财务管理制度健全、完整、合规。市文旅局制定了《财务管理办法（试行）》《预算绩效管理办法》《资金支出管理办法》《采购管理办法》和《预算项目评审管理办法》等管理制度，对项目采购、预算评审、资金支出和预算绩效等方面进行了约束，各项制度均符合财政部、北京市财政局相关财经法规和财务管理制度要求。</w:t>
      </w:r>
    </w:p>
    <w:p>
      <w:pPr>
        <w:pStyle w:val="2"/>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2.资金使用合规性和安全性</w:t>
      </w:r>
    </w:p>
    <w:p>
      <w:pPr>
        <w:pStyle w:val="2"/>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市文旅局资金使用合法合规，不存在违规支出情况。市文旅局对所有项目资金进行了单独核算，局本级各处室的资金支出均填写了《北京市文化和旅游局报销单》，经业务处室经办人、业务处室负责人、财务审核岗、财务处室负责人、主管业务局领导和局长逐级审核签字后支出，资金请示、审批及拨付程序较为完整、规范；局属预算单位资金支出均按照本单位资金支出审批要求履行相关程序。资金使用符合预算批复的规定用途，符合国家财经法规和财务管理制度规定以及相关专项资金管理办法的规定，未发现项目存在截留、挤占、挪用、虚列支出等情况。</w:t>
      </w:r>
    </w:p>
    <w:p>
      <w:pPr>
        <w:pStyle w:val="2"/>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3.会计基础信息完善性</w:t>
      </w:r>
    </w:p>
    <w:p>
      <w:pPr>
        <w:pStyle w:val="2"/>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市文旅局会计基础信息完善性良好。经抽查市文旅局2022年度预决算报表、预决算公开信息、财务支出明细账和会计凭证等资料，市文旅局各项基础数据信息和会计信息资料真实、准确，资料完整。</w:t>
      </w:r>
    </w:p>
    <w:p>
      <w:pPr>
        <w:adjustRightInd w:val="0"/>
        <w:snapToGrid w:val="0"/>
        <w:spacing w:line="360" w:lineRule="auto"/>
        <w:ind w:firstLine="640" w:firstLineChars="200"/>
        <w:outlineLvl w:val="1"/>
        <w:rPr>
          <w:rFonts w:ascii="楷体" w:hAnsi="楷体" w:eastAsia="楷体" w:cs="仿宋_GB2312"/>
          <w:sz w:val="32"/>
          <w:szCs w:val="32"/>
        </w:rPr>
      </w:pPr>
      <w:r>
        <w:rPr>
          <w:rFonts w:hint="eastAsia" w:ascii="楷体" w:hAnsi="楷体" w:eastAsia="楷体" w:cs="仿宋_GB2312"/>
          <w:sz w:val="32"/>
          <w:szCs w:val="32"/>
        </w:rPr>
        <w:t>（二）资产管理</w:t>
      </w:r>
    </w:p>
    <w:p>
      <w:pPr>
        <w:pStyle w:val="2"/>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市文旅局根据部门资产特点以及管理需求，制定了《北京市文化和旅游局行政和事业单位国有资产管理暂行办法（征求意见稿）》，明确了资产从购置、验收入库、分配使用登记、日常检查、报废处理等管理流程及责任主体。实际管理过程中，市文旅局能够按照上述办法的规定开展资产购置、入库、日常检查等工作，资产管理较为规范。2022年，市文旅局固定资产为327694.50万元，其中在用固定资产为327694.50万元，部门固定资产使用率为100.00%。</w:t>
      </w:r>
    </w:p>
    <w:p>
      <w:pPr>
        <w:adjustRightInd w:val="0"/>
        <w:snapToGrid w:val="0"/>
        <w:spacing w:line="360" w:lineRule="auto"/>
        <w:ind w:firstLine="640" w:firstLineChars="200"/>
        <w:outlineLvl w:val="1"/>
        <w:rPr>
          <w:rFonts w:ascii="楷体" w:hAnsi="楷体" w:eastAsia="楷体" w:cs="仿宋_GB2312"/>
          <w:sz w:val="32"/>
          <w:szCs w:val="32"/>
        </w:rPr>
      </w:pPr>
      <w:r>
        <w:rPr>
          <w:rFonts w:hint="eastAsia" w:ascii="楷体" w:hAnsi="楷体" w:eastAsia="楷体" w:cs="仿宋_GB2312"/>
          <w:sz w:val="32"/>
          <w:szCs w:val="32"/>
        </w:rPr>
        <w:t>（三）绩效管理</w:t>
      </w:r>
    </w:p>
    <w:p>
      <w:pPr>
        <w:pStyle w:val="2"/>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市文旅局绩效管理情况良好，主要表现在：</w:t>
      </w:r>
    </w:p>
    <w:p>
      <w:pPr>
        <w:pStyle w:val="2"/>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一是组织机制方面，为保障部门各项绩效管理工作有序开展，市文旅局成立了由一把手负责、主管领导管理指导、财务审计处牵头、机关各处室及所属单位负责人共同组成的预算绩效管理工作领导小组；制定了《北京市文化和旅游局预算绩效管理办法（试行）》，提出了预算编制、预算执行、决算各阶段绩效管理具体要求，明确了绩效评价结果应用、绩效问题整改、绩效问责等方面管理机制。</w:t>
      </w:r>
    </w:p>
    <w:p>
      <w:pPr>
        <w:pStyle w:val="2"/>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二是工作开展方面，一是对年度新增项目和政策开展了事前绩效评估，对项目设立必要性、投入经济性、绩效目标合理性、实施方案可行性、筹资合规性等方面进行了充分论证，形成了项目的评估结论，为预算编制提供了决策依据。二是开展绩效目标审核工作，各业务处室（单位）根据年度工作任务以及预算申报规定，随项目预算填报项目支出绩效目标表。财务审计处组织人员对所有项目的绩效目标进行审核，审核不合格的退回相关处室（单位）进行修改直至合格；审核通过的项目上报市财政局。三是市文旅局按照要求，对中央专项转移支付资金开展了绩效评价，对2021年度项目支出开展了绩效自评，对2022年度预算项目进行了绩效跟踪监控。四是选取“少儿戏剧场剧目演出项目”开展了绩效成本效益分析，按照“核成本、评绩效、调机制、促管理”的分析思路，对项目成本预算绩效情况进行了充分论证，为项目预算编制提供参考。</w:t>
      </w:r>
    </w:p>
    <w:p>
      <w:pPr>
        <w:pStyle w:val="2"/>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结果运用及信息公开方面。一是市文旅局将事前绩效评估结果作为部门决策依据，并作为新增项目申请预算的必要条件，评估结果为不支持的，不安排预算。二是市文旅局对本级各处室及所属单位进行全年绩效运行监控，并形成月度绩效监控进度表，加强对年度重点项目及绩效目标变动项目的日常跟踪，及时发现项目预算执行中的问题，并予以调整、纠正。三是针对部门绩效自评中发现的绩效目标设置不够细化量化、绩效管理意识不强等问题，市文旅局采取了相关改进措施，并充分运用到了2023年预算编制工作中。四是市文旅局按规定将年度预算项目绩效自评情况及自评表随同部门决算向社会予以公开。</w:t>
      </w:r>
    </w:p>
    <w:p>
      <w:pPr>
        <w:adjustRightInd w:val="0"/>
        <w:snapToGrid w:val="0"/>
        <w:spacing w:line="360" w:lineRule="auto"/>
        <w:ind w:firstLine="640" w:firstLineChars="200"/>
        <w:outlineLvl w:val="1"/>
        <w:rPr>
          <w:rFonts w:ascii="楷体" w:hAnsi="楷体" w:eastAsia="楷体" w:cs="仿宋_GB2312"/>
          <w:sz w:val="32"/>
          <w:szCs w:val="32"/>
        </w:rPr>
      </w:pPr>
      <w:r>
        <w:rPr>
          <w:rFonts w:hint="eastAsia" w:ascii="楷体" w:hAnsi="楷体" w:eastAsia="楷体" w:cs="仿宋_GB2312"/>
          <w:sz w:val="32"/>
          <w:szCs w:val="32"/>
        </w:rPr>
        <w:t>（四）结转结余率</w:t>
      </w:r>
    </w:p>
    <w:p>
      <w:pPr>
        <w:pStyle w:val="2"/>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市文旅局2022年支出预算数为188155.64万元，全年结转结余资金为26169.67万元，结转结余率为13.91%，比上年结转结余率高</w:t>
      </w:r>
      <w:r>
        <w:rPr>
          <w:rFonts w:ascii="仿宋_GB2312" w:hAnsi="仿宋_GB2312" w:cs="仿宋_GB2312"/>
          <w:sz w:val="32"/>
          <w:szCs w:val="32"/>
        </w:rPr>
        <w:t>1.98</w:t>
      </w:r>
      <w:r>
        <w:rPr>
          <w:rFonts w:hint="eastAsia" w:ascii="仿宋_GB2312" w:hAnsi="仿宋_GB2312" w:cs="仿宋_GB2312"/>
          <w:sz w:val="32"/>
          <w:szCs w:val="32"/>
        </w:rPr>
        <w:t>%。</w:t>
      </w:r>
    </w:p>
    <w:p>
      <w:pPr>
        <w:adjustRightInd w:val="0"/>
        <w:snapToGrid w:val="0"/>
        <w:spacing w:line="360" w:lineRule="auto"/>
        <w:ind w:firstLine="640" w:firstLineChars="200"/>
        <w:outlineLvl w:val="1"/>
        <w:rPr>
          <w:rFonts w:ascii="楷体" w:hAnsi="楷体" w:eastAsia="楷体" w:cs="仿宋_GB2312"/>
          <w:sz w:val="32"/>
          <w:szCs w:val="32"/>
        </w:rPr>
      </w:pPr>
      <w:r>
        <w:rPr>
          <w:rFonts w:hint="eastAsia" w:ascii="楷体" w:hAnsi="楷体" w:eastAsia="楷体" w:cs="仿宋_GB2312"/>
          <w:sz w:val="32"/>
          <w:szCs w:val="32"/>
        </w:rPr>
        <w:t>（五）部门预决算差异率</w:t>
      </w:r>
    </w:p>
    <w:p>
      <w:pPr>
        <w:pStyle w:val="2"/>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2022年，市文旅局支出预算188155.64万元，支出决算</w:t>
      </w:r>
      <w:r>
        <w:rPr>
          <w:rFonts w:ascii="仿宋_GB2312" w:hAnsi="仿宋_GB2312" w:cs="仿宋_GB2312"/>
          <w:sz w:val="32"/>
          <w:szCs w:val="32"/>
        </w:rPr>
        <w:t>161985.97</w:t>
      </w:r>
      <w:r>
        <w:rPr>
          <w:rFonts w:hint="eastAsia" w:ascii="仿宋_GB2312" w:hAnsi="仿宋_GB2312" w:cs="仿宋_GB2312"/>
          <w:sz w:val="32"/>
          <w:szCs w:val="32"/>
        </w:rPr>
        <w:t>万元，年度支出预决算差异率</w:t>
      </w:r>
      <w:r>
        <w:rPr>
          <w:rFonts w:ascii="仿宋_GB2312" w:hAnsi="仿宋_GB2312" w:cs="仿宋_GB2312"/>
          <w:sz w:val="32"/>
          <w:szCs w:val="32"/>
        </w:rPr>
        <w:t>13.91</w:t>
      </w:r>
      <w:r>
        <w:rPr>
          <w:rFonts w:hint="eastAsia" w:ascii="仿宋_GB2312" w:hAnsi="仿宋_GB2312" w:cs="仿宋_GB2312"/>
          <w:sz w:val="32"/>
          <w:szCs w:val="32"/>
        </w:rPr>
        <w:t>%，比市级平均差异率低</w:t>
      </w:r>
      <w:r>
        <w:rPr>
          <w:rFonts w:ascii="仿宋_GB2312" w:hAnsi="仿宋_GB2312" w:cs="仿宋_GB2312"/>
          <w:sz w:val="32"/>
          <w:szCs w:val="32"/>
        </w:rPr>
        <w:t>14.39</w:t>
      </w:r>
      <w:r>
        <w:rPr>
          <w:rFonts w:hint="eastAsia" w:ascii="仿宋_GB2312" w:hAnsi="仿宋_GB2312" w:cs="仿宋_GB2312"/>
          <w:sz w:val="32"/>
          <w:szCs w:val="32"/>
        </w:rPr>
        <w:t>%。</w:t>
      </w:r>
    </w:p>
    <w:p>
      <w:pPr>
        <w:adjustRightInd w:val="0"/>
        <w:snapToGrid w:val="0"/>
        <w:spacing w:line="360" w:lineRule="auto"/>
        <w:ind w:firstLine="640" w:firstLineChars="200"/>
        <w:outlineLvl w:val="0"/>
        <w:rPr>
          <w:rFonts w:ascii="黑体" w:hAnsi="黑体" w:eastAsia="黑体" w:cs="黑体"/>
          <w:sz w:val="32"/>
          <w:szCs w:val="32"/>
        </w:rPr>
      </w:pPr>
      <w:r>
        <w:rPr>
          <w:rFonts w:hint="eastAsia" w:ascii="黑体" w:hAnsi="黑体" w:eastAsia="黑体" w:cs="黑体"/>
          <w:sz w:val="32"/>
          <w:szCs w:val="32"/>
        </w:rPr>
        <w:t>五、总体评价结论</w:t>
      </w:r>
    </w:p>
    <w:p>
      <w:pPr>
        <w:adjustRightInd w:val="0"/>
        <w:snapToGrid w:val="0"/>
        <w:spacing w:line="360" w:lineRule="auto"/>
        <w:ind w:firstLine="640" w:firstLineChars="200"/>
        <w:outlineLvl w:val="1"/>
        <w:rPr>
          <w:rFonts w:ascii="楷体" w:hAnsi="楷体" w:eastAsia="楷体" w:cs="仿宋_GB2312"/>
          <w:sz w:val="32"/>
          <w:szCs w:val="32"/>
        </w:rPr>
      </w:pPr>
      <w:bookmarkStart w:id="17" w:name="_Toc136962488"/>
      <w:r>
        <w:rPr>
          <w:rFonts w:hint="eastAsia" w:ascii="楷体" w:hAnsi="楷体" w:eastAsia="楷体" w:cs="仿宋_GB2312"/>
          <w:sz w:val="32"/>
          <w:szCs w:val="32"/>
        </w:rPr>
        <w:t>（一）</w:t>
      </w:r>
      <w:bookmarkEnd w:id="17"/>
      <w:r>
        <w:rPr>
          <w:rFonts w:hint="eastAsia" w:ascii="楷体" w:hAnsi="楷体" w:eastAsia="楷体" w:cs="仿宋_GB2312"/>
          <w:sz w:val="32"/>
          <w:szCs w:val="32"/>
        </w:rPr>
        <w:t>评价得分情况</w:t>
      </w:r>
    </w:p>
    <w:p>
      <w:pPr>
        <w:pStyle w:val="2"/>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2</w:t>
      </w:r>
      <w:r>
        <w:rPr>
          <w:rFonts w:ascii="仿宋_GB2312" w:hAnsi="仿宋_GB2312" w:cs="仿宋_GB2312"/>
          <w:sz w:val="32"/>
          <w:szCs w:val="32"/>
        </w:rPr>
        <w:t>022</w:t>
      </w:r>
      <w:r>
        <w:rPr>
          <w:rFonts w:hint="eastAsia" w:ascii="仿宋_GB2312" w:hAnsi="仿宋_GB2312" w:cs="仿宋_GB2312"/>
          <w:sz w:val="32"/>
          <w:szCs w:val="32"/>
        </w:rPr>
        <w:t>年，市文旅局在市委市政府和市委宣传部的领导下，继续深化文化和旅游领域改革创新，组织实施各项节庆活动并做好服务保障，开展首都市民系列活动，组织各类展演活动、精品剧目创作，打造具有广泛影响力的品牌文化活动，推动非遗保护传承，做好新形势下国际文化和旅游交流交往，推进区域合作等具体工作开展，进一步推动了首都文化事业、文化产业和旅游业新发展。通过评价，市文旅局2022年度部门整体支出绩效评价综合得分92.</w:t>
      </w:r>
      <w:r>
        <w:rPr>
          <w:rFonts w:ascii="仿宋_GB2312" w:hAnsi="仿宋_GB2312" w:cs="仿宋_GB2312"/>
          <w:sz w:val="32"/>
          <w:szCs w:val="32"/>
        </w:rPr>
        <w:t>92</w:t>
      </w:r>
      <w:r>
        <w:rPr>
          <w:rFonts w:hint="eastAsia" w:ascii="仿宋_GB2312" w:hAnsi="仿宋_GB2312" w:cs="仿宋_GB2312"/>
          <w:sz w:val="32"/>
          <w:szCs w:val="32"/>
        </w:rPr>
        <w:t>分，绩效评定级别为“优”。</w:t>
      </w:r>
      <w:bookmarkStart w:id="18" w:name="_Toc136962491"/>
    </w:p>
    <w:p>
      <w:pPr>
        <w:adjustRightInd w:val="0"/>
        <w:snapToGrid w:val="0"/>
        <w:spacing w:line="360" w:lineRule="auto"/>
        <w:ind w:firstLine="640" w:firstLineChars="200"/>
        <w:outlineLvl w:val="1"/>
        <w:rPr>
          <w:rFonts w:ascii="楷体" w:hAnsi="楷体" w:eastAsia="楷体" w:cs="仿宋_GB2312"/>
          <w:sz w:val="32"/>
          <w:szCs w:val="32"/>
        </w:rPr>
      </w:pPr>
      <w:r>
        <w:rPr>
          <w:rFonts w:hint="eastAsia" w:ascii="楷体" w:hAnsi="楷体" w:eastAsia="楷体" w:cs="仿宋_GB2312"/>
          <w:sz w:val="32"/>
          <w:szCs w:val="32"/>
        </w:rPr>
        <w:t>（二）存在的问题及原因分析</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个别重点项目顶层设计不足，前期研究论证不够充分</w:t>
      </w:r>
      <w:bookmarkEnd w:id="18"/>
      <w:r>
        <w:rPr>
          <w:rFonts w:hint="eastAsia" w:ascii="仿宋_GB2312" w:hAnsi="仿宋_GB2312" w:eastAsia="仿宋_GB2312" w:cs="仿宋_GB2312"/>
          <w:sz w:val="32"/>
          <w:szCs w:val="32"/>
        </w:rPr>
        <w:t>；</w:t>
      </w:r>
      <w:bookmarkStart w:id="19" w:name="_Toc136962492"/>
      <w:r>
        <w:rPr>
          <w:rFonts w:hint="eastAsia" w:ascii="仿宋_GB2312" w:hAnsi="仿宋_GB2312" w:eastAsia="仿宋_GB2312" w:cs="仿宋_GB2312"/>
          <w:sz w:val="32"/>
          <w:szCs w:val="32"/>
        </w:rPr>
        <w:t>部分项目绩效目标及指标设置不够完善，预算编制仍需加强</w:t>
      </w:r>
      <w:bookmarkEnd w:id="19"/>
      <w:bookmarkStart w:id="20" w:name="_Toc136962493"/>
      <w:r>
        <w:rPr>
          <w:rFonts w:hint="eastAsia" w:ascii="仿宋_GB2312" w:hAnsi="仿宋_GB2312" w:eastAsia="仿宋_GB2312" w:cs="仿宋_GB2312"/>
          <w:sz w:val="32"/>
          <w:szCs w:val="32"/>
        </w:rPr>
        <w:t>；部分项目业务管理制度不够健全，项目管理水平还需提升</w:t>
      </w:r>
      <w:bookmarkEnd w:id="20"/>
      <w:bookmarkStart w:id="21" w:name="_Toc136962494"/>
      <w:r>
        <w:rPr>
          <w:rFonts w:hint="eastAsia" w:ascii="仿宋_GB2312" w:hAnsi="仿宋_GB2312" w:eastAsia="仿宋_GB2312" w:cs="仿宋_GB2312"/>
          <w:sz w:val="32"/>
          <w:szCs w:val="32"/>
        </w:rPr>
        <w:t>；部分工作实施成效不够凸显，</w:t>
      </w:r>
      <w:bookmarkStart w:id="22" w:name="_Hlk135320208"/>
      <w:r>
        <w:rPr>
          <w:rFonts w:hint="eastAsia" w:ascii="仿宋_GB2312" w:hAnsi="仿宋_GB2312" w:eastAsia="仿宋_GB2312" w:cs="仿宋_GB2312"/>
          <w:sz w:val="32"/>
          <w:szCs w:val="32"/>
        </w:rPr>
        <w:t>绩效资料收集、整理及满意度调查工作</w:t>
      </w:r>
      <w:bookmarkEnd w:id="22"/>
      <w:r>
        <w:rPr>
          <w:rFonts w:hint="eastAsia" w:ascii="仿宋_GB2312" w:hAnsi="仿宋_GB2312" w:eastAsia="仿宋_GB2312" w:cs="仿宋_GB2312"/>
          <w:sz w:val="32"/>
          <w:szCs w:val="32"/>
        </w:rPr>
        <w:t>有待加强</w:t>
      </w:r>
      <w:bookmarkEnd w:id="21"/>
      <w:r>
        <w:rPr>
          <w:rFonts w:hint="eastAsia" w:ascii="仿宋_GB2312" w:hAnsi="仿宋_GB2312" w:eastAsia="仿宋_GB2312" w:cs="仿宋_GB2312"/>
          <w:sz w:val="32"/>
          <w:szCs w:val="32"/>
        </w:rPr>
        <w:t>。</w:t>
      </w:r>
    </w:p>
    <w:p>
      <w:pPr>
        <w:adjustRightInd w:val="0"/>
        <w:snapToGrid w:val="0"/>
        <w:spacing w:line="360" w:lineRule="auto"/>
        <w:ind w:firstLine="640" w:firstLineChars="200"/>
        <w:outlineLvl w:val="0"/>
        <w:rPr>
          <w:rFonts w:ascii="黑体" w:hAnsi="黑体" w:eastAsia="黑体" w:cs="黑体"/>
          <w:sz w:val="32"/>
          <w:szCs w:val="32"/>
        </w:rPr>
      </w:pPr>
      <w:bookmarkStart w:id="23" w:name="_Toc136962495"/>
      <w:r>
        <w:rPr>
          <w:rFonts w:hint="eastAsia" w:ascii="黑体" w:hAnsi="黑体" w:eastAsia="黑体" w:cs="黑体"/>
          <w:sz w:val="32"/>
          <w:szCs w:val="32"/>
        </w:rPr>
        <w:t>六、</w:t>
      </w:r>
      <w:bookmarkEnd w:id="23"/>
      <w:r>
        <w:rPr>
          <w:rFonts w:hint="eastAsia" w:ascii="黑体" w:hAnsi="黑体" w:eastAsia="黑体" w:cs="黑体"/>
          <w:sz w:val="32"/>
          <w:szCs w:val="32"/>
        </w:rPr>
        <w:t>措施建议</w:t>
      </w:r>
    </w:p>
    <w:p>
      <w:pPr>
        <w:adjustRightInd w:val="0"/>
        <w:snapToGrid w:val="0"/>
        <w:spacing w:line="360" w:lineRule="auto"/>
        <w:ind w:firstLine="640" w:firstLineChars="200"/>
        <w:rPr>
          <w:rFonts w:ascii="仿宋_GB2312" w:hAnsi="仿宋_GB2312" w:eastAsia="仿宋_GB2312" w:cs="仿宋_GB2312"/>
          <w:sz w:val="32"/>
          <w:szCs w:val="32"/>
        </w:rPr>
      </w:pPr>
      <w:bookmarkStart w:id="24" w:name="_Hlk42906563"/>
      <w:bookmarkStart w:id="25" w:name="_Toc136962496"/>
      <w:bookmarkStart w:id="26" w:name="_Toc32228"/>
      <w:bookmarkStart w:id="27" w:name="_Toc44447158"/>
      <w:r>
        <w:rPr>
          <w:rFonts w:hint="eastAsia" w:ascii="仿宋_GB2312" w:hAnsi="仿宋_GB2312" w:eastAsia="仿宋_GB2312" w:cs="仿宋_GB2312"/>
          <w:sz w:val="32"/>
          <w:szCs w:val="32"/>
        </w:rPr>
        <w:t>一是强化部门顶层设计，增强内部决策的规范性</w:t>
      </w:r>
      <w:bookmarkEnd w:id="24"/>
      <w:bookmarkEnd w:id="25"/>
      <w:bookmarkEnd w:id="26"/>
      <w:bookmarkEnd w:id="27"/>
      <w:bookmarkStart w:id="28" w:name="_Toc136962497"/>
      <w:r>
        <w:rPr>
          <w:rFonts w:hint="eastAsia" w:ascii="仿宋_GB2312" w:hAnsi="仿宋_GB2312" w:eastAsia="仿宋_GB2312" w:cs="仿宋_GB2312"/>
          <w:sz w:val="32"/>
          <w:szCs w:val="32"/>
        </w:rPr>
        <w:t>；二是科学设置绩效目标及指标，完善预算编制</w:t>
      </w:r>
      <w:bookmarkEnd w:id="28"/>
      <w:bookmarkStart w:id="29" w:name="_Toc31543"/>
      <w:bookmarkStart w:id="30" w:name="_Toc136962498"/>
      <w:bookmarkStart w:id="31" w:name="_Toc44447159"/>
      <w:r>
        <w:rPr>
          <w:rFonts w:hint="eastAsia" w:ascii="仿宋_GB2312" w:hAnsi="仿宋_GB2312" w:eastAsia="仿宋_GB2312" w:cs="仿宋_GB2312"/>
          <w:sz w:val="32"/>
          <w:szCs w:val="32"/>
        </w:rPr>
        <w:t>；三是加强制度建设和过程管控，提升部门整体管理效率</w:t>
      </w:r>
      <w:bookmarkEnd w:id="29"/>
      <w:bookmarkEnd w:id="30"/>
      <w:bookmarkEnd w:id="31"/>
      <w:r>
        <w:rPr>
          <w:rFonts w:hint="eastAsia" w:ascii="仿宋_GB2312" w:hAnsi="仿宋_GB2312" w:eastAsia="仿宋_GB2312" w:cs="仿宋_GB2312"/>
          <w:sz w:val="32"/>
          <w:szCs w:val="32"/>
        </w:rPr>
        <w:t>；</w:t>
      </w:r>
      <w:bookmarkStart w:id="32" w:name="_Toc136962499"/>
      <w:r>
        <w:rPr>
          <w:rFonts w:hint="eastAsia" w:ascii="仿宋_GB2312" w:hAnsi="仿宋_GB2312" w:eastAsia="仿宋_GB2312" w:cs="仿宋_GB2312"/>
          <w:sz w:val="32"/>
          <w:szCs w:val="32"/>
        </w:rPr>
        <w:t>四是强化绩效资料归集及满意度调查工作，不断提升部门履职能力和服务效果</w:t>
      </w:r>
      <w:bookmarkEnd w:id="32"/>
      <w:r>
        <w:rPr>
          <w:rFonts w:hint="eastAsia" w:ascii="仿宋_GB2312" w:hAnsi="仿宋_GB2312" w:eastAsia="仿宋_GB2312" w:cs="仿宋_GB2312"/>
          <w:sz w:val="32"/>
          <w:szCs w:val="32"/>
        </w:rPr>
        <w:t>。</w:t>
      </w:r>
    </w:p>
    <w:p>
      <w:pPr>
        <w:pStyle w:val="2"/>
        <w:adjustRightInd w:val="0"/>
        <w:snapToGrid w:val="0"/>
        <w:spacing w:line="360" w:lineRule="auto"/>
        <w:rPr>
          <w:rFonts w:ascii="仿宋_GB2312"/>
        </w:rPr>
        <w:sectPr>
          <w:footerReference r:id="rId3" w:type="default"/>
          <w:pgSz w:w="11906" w:h="16838"/>
          <w:pgMar w:top="2098" w:right="1531" w:bottom="1985" w:left="1531" w:header="851" w:footer="992" w:gutter="0"/>
          <w:pgNumType w:start="1"/>
          <w:cols w:space="0" w:num="1"/>
          <w:docGrid w:type="lines" w:linePitch="312" w:charSpace="0"/>
        </w:sectPr>
      </w:pPr>
    </w:p>
    <w:p>
      <w:pPr>
        <w:pStyle w:val="2"/>
        <w:adjustRightInd w:val="0"/>
        <w:snapToGrid w:val="0"/>
        <w:spacing w:line="360" w:lineRule="auto"/>
        <w:rPr>
          <w:rFonts w:ascii="仿宋_GB2312"/>
          <w:sz w:val="32"/>
          <w:szCs w:val="32"/>
        </w:rPr>
      </w:pPr>
      <w:r>
        <w:rPr>
          <w:rFonts w:hint="eastAsia" w:ascii="仿宋_GB2312"/>
          <w:sz w:val="32"/>
          <w:szCs w:val="32"/>
        </w:rPr>
        <w:t>附件</w:t>
      </w:r>
      <w:r>
        <w:rPr>
          <w:rFonts w:ascii="仿宋_GB2312"/>
          <w:sz w:val="32"/>
          <w:szCs w:val="32"/>
        </w:rPr>
        <w:t>1</w:t>
      </w:r>
      <w:r>
        <w:rPr>
          <w:rFonts w:hint="eastAsia" w:ascii="仿宋_GB2312"/>
          <w:sz w:val="32"/>
          <w:szCs w:val="32"/>
        </w:rPr>
        <w:t>：</w:t>
      </w:r>
    </w:p>
    <w:p>
      <w:pPr>
        <w:pStyle w:val="2"/>
        <w:adjustRightInd w:val="0"/>
        <w:snapToGrid w:val="0"/>
        <w:spacing w:line="360" w:lineRule="auto"/>
        <w:jc w:val="center"/>
        <w:rPr>
          <w:rFonts w:ascii="黑体" w:hAnsi="黑体" w:eastAsia="黑体"/>
        </w:rPr>
      </w:pPr>
      <w:r>
        <w:rPr>
          <w:rFonts w:hint="eastAsia" w:ascii="黑体" w:hAnsi="黑体" w:eastAsia="黑体" w:cs="宋体"/>
          <w:color w:val="000000"/>
          <w:kern w:val="0"/>
          <w:sz w:val="44"/>
          <w:szCs w:val="44"/>
        </w:rPr>
        <w:t>市文旅局2022年度部门整体支出绩效评价评分表</w:t>
      </w:r>
    </w:p>
    <w:tbl>
      <w:tblPr>
        <w:tblStyle w:val="14"/>
        <w:tblW w:w="12516" w:type="dxa"/>
        <w:tblInd w:w="95" w:type="dxa"/>
        <w:tblLayout w:type="fixed"/>
        <w:tblCellMar>
          <w:top w:w="15" w:type="dxa"/>
          <w:left w:w="15" w:type="dxa"/>
          <w:bottom w:w="15" w:type="dxa"/>
          <w:right w:w="15" w:type="dxa"/>
        </w:tblCellMar>
      </w:tblPr>
      <w:tblGrid>
        <w:gridCol w:w="1182"/>
        <w:gridCol w:w="1127"/>
        <w:gridCol w:w="1702"/>
        <w:gridCol w:w="6379"/>
        <w:gridCol w:w="2126"/>
      </w:tblGrid>
      <w:tr>
        <w:tblPrEx>
          <w:tblCellMar>
            <w:top w:w="15" w:type="dxa"/>
            <w:left w:w="15" w:type="dxa"/>
            <w:bottom w:w="15" w:type="dxa"/>
            <w:right w:w="15" w:type="dxa"/>
          </w:tblCellMar>
        </w:tblPrEx>
        <w:trPr>
          <w:trHeight w:val="617" w:hRule="atLeast"/>
          <w:tblHeader/>
        </w:trPr>
        <w:tc>
          <w:tcPr>
            <w:tcW w:w="118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cs="宋体" w:asciiTheme="minorEastAsia" w:hAnsiTheme="minorEastAsia"/>
                <w:b/>
                <w:color w:val="000000"/>
                <w:sz w:val="20"/>
                <w:szCs w:val="20"/>
              </w:rPr>
            </w:pPr>
            <w:r>
              <w:rPr>
                <w:rFonts w:hint="eastAsia" w:cs="宋体" w:asciiTheme="minorEastAsia" w:hAnsiTheme="minorEastAsia"/>
                <w:b/>
                <w:color w:val="000000"/>
                <w:kern w:val="0"/>
                <w:sz w:val="20"/>
                <w:szCs w:val="20"/>
                <w:lang w:bidi="ar"/>
              </w:rPr>
              <w:t>一级指标</w:t>
            </w:r>
          </w:p>
        </w:tc>
        <w:tc>
          <w:tcPr>
            <w:tcW w:w="112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cs="宋体" w:asciiTheme="minorEastAsia" w:hAnsiTheme="minorEastAsia"/>
                <w:b/>
                <w:color w:val="000000"/>
                <w:sz w:val="20"/>
                <w:szCs w:val="20"/>
              </w:rPr>
            </w:pPr>
            <w:r>
              <w:rPr>
                <w:rFonts w:hint="eastAsia" w:cs="宋体" w:asciiTheme="minorEastAsia" w:hAnsiTheme="minorEastAsia"/>
                <w:b/>
                <w:color w:val="000000"/>
                <w:kern w:val="0"/>
                <w:sz w:val="20"/>
                <w:szCs w:val="20"/>
                <w:lang w:bidi="ar"/>
              </w:rPr>
              <w:t>二级指标</w:t>
            </w:r>
          </w:p>
        </w:tc>
        <w:tc>
          <w:tcPr>
            <w:tcW w:w="170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cs="宋体" w:asciiTheme="minorEastAsia" w:hAnsiTheme="minorEastAsia"/>
                <w:b/>
                <w:color w:val="000000"/>
                <w:sz w:val="20"/>
                <w:szCs w:val="20"/>
              </w:rPr>
            </w:pPr>
            <w:r>
              <w:rPr>
                <w:rFonts w:hint="eastAsia" w:cs="宋体" w:asciiTheme="minorEastAsia" w:hAnsiTheme="minorEastAsia"/>
                <w:b/>
                <w:color w:val="000000"/>
                <w:kern w:val="0"/>
                <w:sz w:val="20"/>
                <w:szCs w:val="20"/>
                <w:lang w:bidi="ar"/>
              </w:rPr>
              <w:t>三级指标</w:t>
            </w:r>
          </w:p>
        </w:tc>
        <w:tc>
          <w:tcPr>
            <w:tcW w:w="637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cs="宋体" w:asciiTheme="minorEastAsia" w:hAnsiTheme="minorEastAsia"/>
                <w:b/>
                <w:color w:val="000000"/>
                <w:sz w:val="20"/>
                <w:szCs w:val="20"/>
              </w:rPr>
            </w:pPr>
            <w:r>
              <w:rPr>
                <w:rFonts w:hint="eastAsia" w:cs="宋体" w:asciiTheme="minorEastAsia" w:hAnsiTheme="minorEastAsia"/>
                <w:b/>
                <w:color w:val="000000"/>
                <w:kern w:val="0"/>
                <w:sz w:val="20"/>
                <w:szCs w:val="20"/>
                <w:lang w:bidi="ar"/>
              </w:rPr>
              <w:t>评分标准</w:t>
            </w:r>
          </w:p>
        </w:tc>
        <w:tc>
          <w:tcPr>
            <w:tcW w:w="212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cs="宋体" w:asciiTheme="minorEastAsia" w:hAnsiTheme="minorEastAsia"/>
                <w:b/>
                <w:color w:val="000000"/>
                <w:sz w:val="20"/>
                <w:szCs w:val="20"/>
              </w:rPr>
            </w:pPr>
            <w:r>
              <w:rPr>
                <w:rFonts w:hint="eastAsia" w:cs="宋体" w:asciiTheme="minorEastAsia" w:hAnsiTheme="minorEastAsia"/>
                <w:b/>
                <w:color w:val="000000"/>
                <w:kern w:val="0"/>
                <w:sz w:val="20"/>
                <w:szCs w:val="20"/>
                <w:lang w:bidi="ar"/>
              </w:rPr>
              <w:t>得分</w:t>
            </w:r>
          </w:p>
        </w:tc>
      </w:tr>
      <w:tr>
        <w:tblPrEx>
          <w:tblCellMar>
            <w:top w:w="15" w:type="dxa"/>
            <w:left w:w="15" w:type="dxa"/>
            <w:bottom w:w="15" w:type="dxa"/>
            <w:right w:w="15" w:type="dxa"/>
          </w:tblCellMar>
        </w:tblPrEx>
        <w:trPr>
          <w:trHeight w:val="948" w:hRule="atLeast"/>
        </w:trPr>
        <w:tc>
          <w:tcPr>
            <w:tcW w:w="118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cs="宋体" w:asciiTheme="minorEastAsia" w:hAnsiTheme="minorEastAsia"/>
                <w:color w:val="000000"/>
                <w:sz w:val="20"/>
                <w:szCs w:val="20"/>
              </w:rPr>
            </w:pPr>
            <w:r>
              <w:rPr>
                <w:rStyle w:val="33"/>
                <w:rFonts w:hint="default" w:asciiTheme="minorEastAsia" w:hAnsiTheme="minorEastAsia" w:eastAsiaTheme="minorEastAsia"/>
                <w:lang w:bidi="ar"/>
              </w:rPr>
              <w:t>当年预算执行情况（20分）</w:t>
            </w:r>
          </w:p>
        </w:tc>
        <w:tc>
          <w:tcPr>
            <w:tcW w:w="2829"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cs="宋体" w:asciiTheme="minorEastAsia" w:hAnsiTheme="minorEastAsia"/>
                <w:color w:val="000000"/>
                <w:sz w:val="20"/>
                <w:szCs w:val="20"/>
              </w:rPr>
            </w:pPr>
            <w:r>
              <w:rPr>
                <w:rFonts w:hint="eastAsia" w:cs="宋体" w:asciiTheme="minorEastAsia" w:hAnsiTheme="minorEastAsia"/>
                <w:color w:val="000000"/>
                <w:kern w:val="0"/>
                <w:sz w:val="20"/>
                <w:szCs w:val="20"/>
                <w:lang w:bidi="ar"/>
              </w:rPr>
              <w:t>预算执行率（20分）</w:t>
            </w:r>
          </w:p>
        </w:tc>
        <w:tc>
          <w:tcPr>
            <w:tcW w:w="6379"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cs="宋体" w:asciiTheme="minorEastAsia" w:hAnsiTheme="minorEastAsia"/>
                <w:color w:val="000000"/>
                <w:sz w:val="20"/>
                <w:szCs w:val="20"/>
              </w:rPr>
            </w:pPr>
            <w:r>
              <w:rPr>
                <w:rFonts w:hint="eastAsia" w:cs="宋体" w:asciiTheme="minorEastAsia" w:hAnsiTheme="minorEastAsia"/>
                <w:color w:val="000000"/>
                <w:kern w:val="0"/>
                <w:sz w:val="20"/>
                <w:szCs w:val="20"/>
                <w:lang w:bidi="ar"/>
              </w:rPr>
              <w:t>得分计算方法应用全年执行数/全年预算数*20，得分最高不能超过该指标分值上限（20分）。</w:t>
            </w:r>
          </w:p>
        </w:tc>
        <w:tc>
          <w:tcPr>
            <w:tcW w:w="212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cs="宋体" w:asciiTheme="minorEastAsia" w:hAnsiTheme="minorEastAsia"/>
                <w:color w:val="000000"/>
                <w:sz w:val="20"/>
                <w:szCs w:val="20"/>
              </w:rPr>
            </w:pPr>
            <w:r>
              <w:rPr>
                <w:rFonts w:hint="eastAsia" w:cs="宋体" w:asciiTheme="minorEastAsia" w:hAnsiTheme="minorEastAsia"/>
                <w:color w:val="000000"/>
                <w:kern w:val="0"/>
                <w:sz w:val="20"/>
                <w:szCs w:val="20"/>
                <w:lang w:bidi="ar"/>
              </w:rPr>
              <w:t>17.</w:t>
            </w:r>
            <w:r>
              <w:rPr>
                <w:rFonts w:cs="宋体" w:asciiTheme="minorEastAsia" w:hAnsiTheme="minorEastAsia"/>
                <w:color w:val="000000"/>
                <w:kern w:val="0"/>
                <w:sz w:val="20"/>
                <w:szCs w:val="20"/>
                <w:lang w:bidi="ar"/>
              </w:rPr>
              <w:t>22</w:t>
            </w:r>
          </w:p>
        </w:tc>
      </w:tr>
      <w:tr>
        <w:tblPrEx>
          <w:tblCellMar>
            <w:top w:w="15" w:type="dxa"/>
            <w:left w:w="15" w:type="dxa"/>
            <w:bottom w:w="15" w:type="dxa"/>
            <w:right w:w="15" w:type="dxa"/>
          </w:tblCellMar>
        </w:tblPrEx>
        <w:trPr>
          <w:trHeight w:val="484" w:hRule="atLeast"/>
        </w:trPr>
        <w:tc>
          <w:tcPr>
            <w:tcW w:w="118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cs="宋体" w:asciiTheme="minorEastAsia" w:hAnsiTheme="minorEastAsia"/>
                <w:color w:val="000000"/>
                <w:sz w:val="20"/>
                <w:szCs w:val="20"/>
              </w:rPr>
            </w:pPr>
            <w:r>
              <w:rPr>
                <w:rStyle w:val="33"/>
                <w:rFonts w:hint="default" w:asciiTheme="minorEastAsia" w:hAnsiTheme="minorEastAsia" w:eastAsiaTheme="minorEastAsia"/>
                <w:lang w:bidi="ar"/>
              </w:rPr>
              <w:t>整体绩效目标实现情况（60）</w:t>
            </w:r>
          </w:p>
        </w:tc>
        <w:tc>
          <w:tcPr>
            <w:tcW w:w="112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cs="宋体" w:asciiTheme="minorEastAsia" w:hAnsiTheme="minorEastAsia"/>
                <w:color w:val="000000"/>
                <w:sz w:val="20"/>
                <w:szCs w:val="20"/>
              </w:rPr>
            </w:pPr>
            <w:r>
              <w:rPr>
                <w:rStyle w:val="33"/>
                <w:rFonts w:hint="default" w:asciiTheme="minorEastAsia" w:hAnsiTheme="minorEastAsia" w:eastAsiaTheme="minorEastAsia"/>
                <w:lang w:bidi="ar"/>
              </w:rPr>
              <w:t>产出</w:t>
            </w:r>
            <w:r>
              <w:rPr>
                <w:rStyle w:val="33"/>
                <w:rFonts w:hint="default" w:asciiTheme="minorEastAsia" w:hAnsiTheme="minorEastAsia" w:eastAsiaTheme="minorEastAsia"/>
                <w:lang w:bidi="ar"/>
              </w:rPr>
              <w:br w:type="textWrapping"/>
            </w:r>
            <w:r>
              <w:rPr>
                <w:rStyle w:val="33"/>
                <w:rFonts w:hint="default" w:asciiTheme="minorEastAsia" w:hAnsiTheme="minorEastAsia" w:eastAsiaTheme="minorEastAsia"/>
                <w:lang w:bidi="ar"/>
              </w:rPr>
              <w:t>（30分）</w:t>
            </w:r>
          </w:p>
        </w:tc>
        <w:tc>
          <w:tcPr>
            <w:tcW w:w="170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cs="宋体" w:asciiTheme="minorEastAsia" w:hAnsiTheme="minorEastAsia"/>
                <w:color w:val="000000"/>
                <w:sz w:val="20"/>
                <w:szCs w:val="20"/>
              </w:rPr>
            </w:pPr>
            <w:r>
              <w:rPr>
                <w:rFonts w:hint="eastAsia" w:cs="宋体" w:asciiTheme="minorEastAsia" w:hAnsiTheme="minorEastAsia"/>
                <w:color w:val="000000"/>
                <w:kern w:val="0"/>
                <w:sz w:val="20"/>
                <w:szCs w:val="20"/>
                <w:lang w:bidi="ar"/>
              </w:rPr>
              <w:t>产出数量（9分）</w:t>
            </w:r>
          </w:p>
        </w:tc>
        <w:tc>
          <w:tcPr>
            <w:tcW w:w="6379" w:type="dxa"/>
            <w:vMerge w:val="restar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cs="宋体" w:asciiTheme="minorEastAsia" w:hAnsiTheme="minorEastAsia"/>
                <w:color w:val="000000"/>
                <w:sz w:val="20"/>
                <w:szCs w:val="20"/>
              </w:rPr>
            </w:pPr>
            <w:r>
              <w:rPr>
                <w:rStyle w:val="32"/>
                <w:rFonts w:hint="default" w:asciiTheme="minorEastAsia" w:hAnsiTheme="minorEastAsia" w:eastAsiaTheme="minorEastAsia"/>
                <w:lang w:bidi="ar"/>
              </w:rPr>
              <w:t>①定量指标按照比率*单项指标分值即为该指标得分。</w:t>
            </w:r>
            <w:r>
              <w:rPr>
                <w:rStyle w:val="32"/>
                <w:rFonts w:hint="default" w:asciiTheme="minorEastAsia" w:hAnsiTheme="minorEastAsia" w:eastAsiaTheme="minorEastAsia"/>
                <w:lang w:bidi="ar"/>
              </w:rPr>
              <w:br w:type="textWrapping"/>
            </w:r>
            <w:r>
              <w:rPr>
                <w:rStyle w:val="32"/>
                <w:rFonts w:hint="default" w:asciiTheme="minorEastAsia" w:hAnsiTheme="minorEastAsia" w:eastAsiaTheme="minorEastAsia"/>
                <w:lang w:bidi="ar"/>
              </w:rPr>
              <w:t>②定性指标按完成情况划分为基本达成、部分实现、实现程度较低三个档次，每档次分别对应分值区间100%-80%（含）、80%-60%（含）、60%-0%，根据指标实际完成情况在分值区间内合理确定得分。</w:t>
            </w:r>
          </w:p>
        </w:tc>
        <w:tc>
          <w:tcPr>
            <w:tcW w:w="212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cs="宋体" w:asciiTheme="minorEastAsia" w:hAnsiTheme="minorEastAsia"/>
                <w:color w:val="000000"/>
                <w:sz w:val="20"/>
                <w:szCs w:val="20"/>
              </w:rPr>
            </w:pPr>
            <w:r>
              <w:rPr>
                <w:rFonts w:hint="eastAsia" w:cs="宋体" w:asciiTheme="minorEastAsia" w:hAnsiTheme="minorEastAsia"/>
                <w:color w:val="000000"/>
                <w:kern w:val="0"/>
                <w:sz w:val="20"/>
                <w:szCs w:val="20"/>
                <w:lang w:bidi="ar"/>
              </w:rPr>
              <w:t>8</w:t>
            </w:r>
          </w:p>
        </w:tc>
      </w:tr>
      <w:tr>
        <w:tblPrEx>
          <w:tblCellMar>
            <w:top w:w="15" w:type="dxa"/>
            <w:left w:w="15" w:type="dxa"/>
            <w:bottom w:w="15" w:type="dxa"/>
            <w:right w:w="15" w:type="dxa"/>
          </w:tblCellMar>
        </w:tblPrEx>
        <w:trPr>
          <w:trHeight w:val="412" w:hRule="atLeast"/>
        </w:trPr>
        <w:tc>
          <w:tcPr>
            <w:tcW w:w="118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color w:val="000000"/>
                <w:sz w:val="20"/>
                <w:szCs w:val="20"/>
              </w:rPr>
            </w:pPr>
          </w:p>
        </w:tc>
        <w:tc>
          <w:tcPr>
            <w:tcW w:w="112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color w:val="000000"/>
                <w:sz w:val="20"/>
                <w:szCs w:val="20"/>
              </w:rPr>
            </w:pPr>
          </w:p>
        </w:tc>
        <w:tc>
          <w:tcPr>
            <w:tcW w:w="170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cs="宋体" w:asciiTheme="minorEastAsia" w:hAnsiTheme="minorEastAsia"/>
                <w:color w:val="000000"/>
                <w:sz w:val="20"/>
                <w:szCs w:val="20"/>
              </w:rPr>
            </w:pPr>
            <w:r>
              <w:rPr>
                <w:rFonts w:hint="eastAsia" w:cs="宋体" w:asciiTheme="minorEastAsia" w:hAnsiTheme="minorEastAsia"/>
                <w:color w:val="000000"/>
                <w:kern w:val="0"/>
                <w:sz w:val="20"/>
                <w:szCs w:val="20"/>
                <w:lang w:bidi="ar"/>
              </w:rPr>
              <w:t>产出质量（9分）</w:t>
            </w:r>
          </w:p>
        </w:tc>
        <w:tc>
          <w:tcPr>
            <w:tcW w:w="6379" w:type="dxa"/>
            <w:vMerge w:val="continue"/>
            <w:tcBorders>
              <w:top w:val="single" w:color="auto" w:sz="4" w:space="0"/>
              <w:left w:val="single" w:color="auto" w:sz="4" w:space="0"/>
              <w:bottom w:val="single" w:color="auto" w:sz="4" w:space="0"/>
              <w:right w:val="single" w:color="auto" w:sz="4" w:space="0"/>
            </w:tcBorders>
            <w:vAlign w:val="center"/>
          </w:tcPr>
          <w:p>
            <w:pPr>
              <w:jc w:val="left"/>
              <w:rPr>
                <w:rFonts w:cs="宋体" w:asciiTheme="minorEastAsia" w:hAnsiTheme="minorEastAsia"/>
                <w:color w:val="000000"/>
                <w:sz w:val="20"/>
                <w:szCs w:val="20"/>
              </w:rPr>
            </w:pPr>
          </w:p>
        </w:tc>
        <w:tc>
          <w:tcPr>
            <w:tcW w:w="212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cs="宋体" w:asciiTheme="minorEastAsia" w:hAnsiTheme="minorEastAsia"/>
                <w:color w:val="000000"/>
                <w:sz w:val="20"/>
                <w:szCs w:val="20"/>
              </w:rPr>
            </w:pPr>
            <w:r>
              <w:rPr>
                <w:rFonts w:cs="宋体" w:asciiTheme="minorEastAsia" w:hAnsiTheme="minorEastAsia"/>
                <w:color w:val="000000"/>
                <w:kern w:val="0"/>
                <w:sz w:val="20"/>
                <w:szCs w:val="20"/>
                <w:lang w:bidi="ar"/>
              </w:rPr>
              <w:t>8.5</w:t>
            </w:r>
          </w:p>
        </w:tc>
      </w:tr>
      <w:tr>
        <w:tblPrEx>
          <w:tblCellMar>
            <w:top w:w="15" w:type="dxa"/>
            <w:left w:w="15" w:type="dxa"/>
            <w:bottom w:w="15" w:type="dxa"/>
            <w:right w:w="15" w:type="dxa"/>
          </w:tblCellMar>
        </w:tblPrEx>
        <w:trPr>
          <w:trHeight w:val="550" w:hRule="atLeast"/>
        </w:trPr>
        <w:tc>
          <w:tcPr>
            <w:tcW w:w="118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color w:val="000000"/>
                <w:sz w:val="20"/>
                <w:szCs w:val="20"/>
              </w:rPr>
            </w:pPr>
          </w:p>
        </w:tc>
        <w:tc>
          <w:tcPr>
            <w:tcW w:w="112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color w:val="000000"/>
                <w:sz w:val="20"/>
                <w:szCs w:val="20"/>
              </w:rPr>
            </w:pPr>
          </w:p>
        </w:tc>
        <w:tc>
          <w:tcPr>
            <w:tcW w:w="170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cs="宋体" w:asciiTheme="minorEastAsia" w:hAnsiTheme="minorEastAsia"/>
                <w:color w:val="000000"/>
                <w:sz w:val="20"/>
                <w:szCs w:val="20"/>
              </w:rPr>
            </w:pPr>
            <w:r>
              <w:rPr>
                <w:rFonts w:hint="eastAsia" w:cs="宋体" w:asciiTheme="minorEastAsia" w:hAnsiTheme="minorEastAsia"/>
                <w:color w:val="000000"/>
                <w:kern w:val="0"/>
                <w:sz w:val="20"/>
                <w:szCs w:val="20"/>
                <w:lang w:bidi="ar"/>
              </w:rPr>
              <w:t>产出进度（6分）</w:t>
            </w:r>
          </w:p>
        </w:tc>
        <w:tc>
          <w:tcPr>
            <w:tcW w:w="6379" w:type="dxa"/>
            <w:vMerge w:val="continue"/>
            <w:tcBorders>
              <w:top w:val="single" w:color="auto" w:sz="4" w:space="0"/>
              <w:left w:val="single" w:color="auto" w:sz="4" w:space="0"/>
              <w:bottom w:val="single" w:color="auto" w:sz="4" w:space="0"/>
              <w:right w:val="single" w:color="auto" w:sz="4" w:space="0"/>
            </w:tcBorders>
            <w:vAlign w:val="center"/>
          </w:tcPr>
          <w:p>
            <w:pPr>
              <w:jc w:val="left"/>
              <w:rPr>
                <w:rFonts w:cs="宋体" w:asciiTheme="minorEastAsia" w:hAnsiTheme="minorEastAsia"/>
                <w:color w:val="000000"/>
                <w:sz w:val="20"/>
                <w:szCs w:val="20"/>
              </w:rPr>
            </w:pPr>
          </w:p>
        </w:tc>
        <w:tc>
          <w:tcPr>
            <w:tcW w:w="212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cs="宋体" w:asciiTheme="minorEastAsia" w:hAnsiTheme="minorEastAsia"/>
                <w:color w:val="000000"/>
                <w:sz w:val="20"/>
                <w:szCs w:val="20"/>
              </w:rPr>
            </w:pPr>
            <w:r>
              <w:rPr>
                <w:rFonts w:hint="eastAsia" w:cs="宋体" w:asciiTheme="minorEastAsia" w:hAnsiTheme="minorEastAsia"/>
                <w:color w:val="000000"/>
                <w:kern w:val="0"/>
                <w:sz w:val="20"/>
                <w:szCs w:val="20"/>
                <w:lang w:bidi="ar"/>
              </w:rPr>
              <w:t>5</w:t>
            </w:r>
          </w:p>
        </w:tc>
      </w:tr>
      <w:tr>
        <w:tblPrEx>
          <w:tblCellMar>
            <w:top w:w="15" w:type="dxa"/>
            <w:left w:w="15" w:type="dxa"/>
            <w:bottom w:w="15" w:type="dxa"/>
            <w:right w:w="15" w:type="dxa"/>
          </w:tblCellMar>
        </w:tblPrEx>
        <w:trPr>
          <w:trHeight w:val="445" w:hRule="atLeast"/>
        </w:trPr>
        <w:tc>
          <w:tcPr>
            <w:tcW w:w="118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color w:val="000000"/>
                <w:sz w:val="20"/>
                <w:szCs w:val="20"/>
              </w:rPr>
            </w:pPr>
          </w:p>
        </w:tc>
        <w:tc>
          <w:tcPr>
            <w:tcW w:w="112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color w:val="000000"/>
                <w:sz w:val="20"/>
                <w:szCs w:val="20"/>
              </w:rPr>
            </w:pPr>
          </w:p>
        </w:tc>
        <w:tc>
          <w:tcPr>
            <w:tcW w:w="170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cs="宋体" w:asciiTheme="minorEastAsia" w:hAnsiTheme="minorEastAsia"/>
                <w:color w:val="000000"/>
                <w:sz w:val="20"/>
                <w:szCs w:val="20"/>
              </w:rPr>
            </w:pPr>
            <w:r>
              <w:rPr>
                <w:rFonts w:hint="eastAsia" w:cs="宋体" w:asciiTheme="minorEastAsia" w:hAnsiTheme="minorEastAsia"/>
                <w:color w:val="000000"/>
                <w:kern w:val="0"/>
                <w:sz w:val="20"/>
                <w:szCs w:val="20"/>
                <w:lang w:bidi="ar"/>
              </w:rPr>
              <w:t>产出成本（6分）</w:t>
            </w:r>
          </w:p>
        </w:tc>
        <w:tc>
          <w:tcPr>
            <w:tcW w:w="6379" w:type="dxa"/>
            <w:vMerge w:val="continue"/>
            <w:tcBorders>
              <w:top w:val="single" w:color="auto" w:sz="4" w:space="0"/>
              <w:left w:val="single" w:color="auto" w:sz="4" w:space="0"/>
              <w:bottom w:val="single" w:color="auto" w:sz="4" w:space="0"/>
              <w:right w:val="single" w:color="auto" w:sz="4" w:space="0"/>
            </w:tcBorders>
            <w:vAlign w:val="center"/>
          </w:tcPr>
          <w:p>
            <w:pPr>
              <w:jc w:val="left"/>
              <w:rPr>
                <w:rFonts w:cs="宋体" w:asciiTheme="minorEastAsia" w:hAnsiTheme="minorEastAsia"/>
                <w:color w:val="000000"/>
                <w:sz w:val="20"/>
                <w:szCs w:val="20"/>
              </w:rPr>
            </w:pPr>
          </w:p>
        </w:tc>
        <w:tc>
          <w:tcPr>
            <w:tcW w:w="212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cs="宋体" w:asciiTheme="minorEastAsia" w:hAnsiTheme="minorEastAsia"/>
                <w:color w:val="000000"/>
                <w:sz w:val="20"/>
                <w:szCs w:val="20"/>
              </w:rPr>
            </w:pPr>
            <w:r>
              <w:rPr>
                <w:rFonts w:hint="eastAsia" w:cs="宋体" w:asciiTheme="minorEastAsia" w:hAnsiTheme="minorEastAsia"/>
                <w:color w:val="000000"/>
                <w:kern w:val="0"/>
                <w:sz w:val="20"/>
                <w:szCs w:val="20"/>
                <w:lang w:bidi="ar"/>
              </w:rPr>
              <w:t>6</w:t>
            </w:r>
          </w:p>
        </w:tc>
      </w:tr>
      <w:tr>
        <w:tblPrEx>
          <w:tblCellMar>
            <w:top w:w="15" w:type="dxa"/>
            <w:left w:w="15" w:type="dxa"/>
            <w:bottom w:w="15" w:type="dxa"/>
            <w:right w:w="15" w:type="dxa"/>
          </w:tblCellMar>
        </w:tblPrEx>
        <w:trPr>
          <w:trHeight w:val="1863" w:hRule="atLeast"/>
        </w:trPr>
        <w:tc>
          <w:tcPr>
            <w:tcW w:w="118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color w:val="000000"/>
                <w:sz w:val="20"/>
                <w:szCs w:val="20"/>
              </w:rPr>
            </w:pPr>
          </w:p>
        </w:tc>
        <w:tc>
          <w:tcPr>
            <w:tcW w:w="112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cs="宋体" w:asciiTheme="minorEastAsia" w:hAnsiTheme="minorEastAsia"/>
                <w:color w:val="000000"/>
                <w:sz w:val="20"/>
                <w:szCs w:val="20"/>
              </w:rPr>
            </w:pPr>
            <w:r>
              <w:rPr>
                <w:rStyle w:val="33"/>
                <w:rFonts w:hint="default" w:asciiTheme="minorEastAsia" w:hAnsiTheme="minorEastAsia" w:eastAsiaTheme="minorEastAsia"/>
                <w:lang w:bidi="ar"/>
              </w:rPr>
              <w:t>效果</w:t>
            </w:r>
            <w:r>
              <w:rPr>
                <w:rStyle w:val="33"/>
                <w:rFonts w:hint="default" w:asciiTheme="minorEastAsia" w:hAnsiTheme="minorEastAsia" w:eastAsiaTheme="minorEastAsia"/>
                <w:lang w:bidi="ar"/>
              </w:rPr>
              <w:br w:type="textWrapping"/>
            </w:r>
            <w:r>
              <w:rPr>
                <w:rStyle w:val="33"/>
                <w:rFonts w:hint="default" w:asciiTheme="minorEastAsia" w:hAnsiTheme="minorEastAsia" w:eastAsiaTheme="minorEastAsia"/>
                <w:lang w:bidi="ar"/>
              </w:rPr>
              <w:t>（30分）</w:t>
            </w:r>
          </w:p>
        </w:tc>
        <w:tc>
          <w:tcPr>
            <w:tcW w:w="170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cs="宋体" w:asciiTheme="minorEastAsia" w:hAnsiTheme="minorEastAsia"/>
                <w:color w:val="000000"/>
                <w:sz w:val="20"/>
                <w:szCs w:val="20"/>
              </w:rPr>
            </w:pPr>
            <w:r>
              <w:rPr>
                <w:rFonts w:hint="eastAsia" w:cs="宋体" w:asciiTheme="minorEastAsia" w:hAnsiTheme="minorEastAsia"/>
                <w:color w:val="000000"/>
                <w:kern w:val="0"/>
                <w:sz w:val="20"/>
                <w:szCs w:val="20"/>
                <w:lang w:bidi="ar"/>
              </w:rPr>
              <w:t>部门各项工作完成成效</w:t>
            </w:r>
          </w:p>
        </w:tc>
        <w:tc>
          <w:tcPr>
            <w:tcW w:w="6379"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cs="宋体" w:asciiTheme="minorEastAsia" w:hAnsiTheme="minorEastAsia"/>
                <w:color w:val="000000"/>
                <w:sz w:val="20"/>
                <w:szCs w:val="20"/>
              </w:rPr>
            </w:pPr>
            <w:r>
              <w:rPr>
                <w:rStyle w:val="33"/>
                <w:rFonts w:hint="default" w:asciiTheme="minorEastAsia" w:hAnsiTheme="minorEastAsia" w:eastAsiaTheme="minorEastAsia"/>
                <w:lang w:bidi="ar"/>
              </w:rPr>
              <w:t>①定量指标按照比率*单项指标分值即为该指标得分。</w:t>
            </w:r>
            <w:r>
              <w:rPr>
                <w:rStyle w:val="33"/>
                <w:rFonts w:hint="default" w:asciiTheme="minorEastAsia" w:hAnsiTheme="minorEastAsia" w:eastAsiaTheme="minorEastAsia"/>
                <w:lang w:bidi="ar"/>
              </w:rPr>
              <w:br w:type="textWrapping"/>
            </w:r>
            <w:r>
              <w:rPr>
                <w:rStyle w:val="33"/>
                <w:rFonts w:hint="default" w:asciiTheme="minorEastAsia" w:hAnsiTheme="minorEastAsia" w:eastAsiaTheme="minorEastAsia"/>
                <w:lang w:bidi="ar"/>
              </w:rPr>
              <w:t>②定性指标按完成情况划分为基本达成、部分实现、实现程度较低三个档次，每档次分别对应分值区间100%-80%（含）、80%-60%（含）、60%-0%，根据指标实际完成情况在分值区间内合理确定得分。</w:t>
            </w:r>
          </w:p>
        </w:tc>
        <w:tc>
          <w:tcPr>
            <w:tcW w:w="212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cs="宋体" w:asciiTheme="minorEastAsia" w:hAnsiTheme="minorEastAsia"/>
                <w:color w:val="000000"/>
                <w:sz w:val="20"/>
                <w:szCs w:val="20"/>
              </w:rPr>
            </w:pPr>
            <w:r>
              <w:rPr>
                <w:rFonts w:hint="eastAsia" w:cs="宋体" w:asciiTheme="minorEastAsia" w:hAnsiTheme="minorEastAsia"/>
                <w:color w:val="000000"/>
                <w:kern w:val="0"/>
                <w:sz w:val="20"/>
                <w:szCs w:val="20"/>
                <w:lang w:bidi="ar"/>
              </w:rPr>
              <w:t>2</w:t>
            </w:r>
            <w:r>
              <w:rPr>
                <w:rFonts w:cs="宋体" w:asciiTheme="minorEastAsia" w:hAnsiTheme="minorEastAsia"/>
                <w:color w:val="000000"/>
                <w:kern w:val="0"/>
                <w:sz w:val="20"/>
                <w:szCs w:val="20"/>
                <w:lang w:bidi="ar"/>
              </w:rPr>
              <w:t>9</w:t>
            </w:r>
          </w:p>
        </w:tc>
      </w:tr>
      <w:tr>
        <w:tblPrEx>
          <w:tblCellMar>
            <w:top w:w="15" w:type="dxa"/>
            <w:left w:w="15" w:type="dxa"/>
            <w:bottom w:w="15" w:type="dxa"/>
            <w:right w:w="15" w:type="dxa"/>
          </w:tblCellMar>
        </w:tblPrEx>
        <w:trPr>
          <w:trHeight w:val="1438" w:hRule="atLeast"/>
        </w:trPr>
        <w:tc>
          <w:tcPr>
            <w:tcW w:w="118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cs="宋体" w:asciiTheme="minorEastAsia" w:hAnsiTheme="minorEastAsia"/>
                <w:color w:val="000000"/>
                <w:sz w:val="20"/>
                <w:szCs w:val="20"/>
              </w:rPr>
            </w:pPr>
            <w:r>
              <w:rPr>
                <w:rStyle w:val="33"/>
                <w:rFonts w:hint="default" w:asciiTheme="minorEastAsia" w:hAnsiTheme="minorEastAsia" w:eastAsiaTheme="minorEastAsia"/>
                <w:lang w:bidi="ar"/>
              </w:rPr>
              <w:t>预算管理情况</w:t>
            </w:r>
            <w:r>
              <w:rPr>
                <w:rStyle w:val="33"/>
                <w:rFonts w:hint="default" w:asciiTheme="minorEastAsia" w:hAnsiTheme="minorEastAsia" w:eastAsiaTheme="minorEastAsia"/>
                <w:lang w:bidi="ar"/>
              </w:rPr>
              <w:br w:type="textWrapping"/>
            </w:r>
            <w:r>
              <w:rPr>
                <w:rStyle w:val="33"/>
                <w:rFonts w:hint="default" w:asciiTheme="minorEastAsia" w:hAnsiTheme="minorEastAsia" w:eastAsiaTheme="minorEastAsia"/>
                <w:lang w:bidi="ar"/>
              </w:rPr>
              <w:t>（20分）</w:t>
            </w:r>
          </w:p>
        </w:tc>
        <w:tc>
          <w:tcPr>
            <w:tcW w:w="112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cs="宋体" w:asciiTheme="minorEastAsia" w:hAnsiTheme="minorEastAsia"/>
                <w:color w:val="000000"/>
                <w:sz w:val="20"/>
                <w:szCs w:val="20"/>
              </w:rPr>
            </w:pPr>
            <w:r>
              <w:rPr>
                <w:rStyle w:val="33"/>
                <w:rFonts w:hint="default" w:asciiTheme="minorEastAsia" w:hAnsiTheme="minorEastAsia" w:eastAsiaTheme="minorEastAsia"/>
                <w:lang w:bidi="ar"/>
              </w:rPr>
              <w:t>财务管理（4分）</w:t>
            </w:r>
          </w:p>
        </w:tc>
        <w:tc>
          <w:tcPr>
            <w:tcW w:w="170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cs="宋体" w:asciiTheme="minorEastAsia" w:hAnsiTheme="minorEastAsia"/>
                <w:color w:val="000000"/>
                <w:sz w:val="20"/>
                <w:szCs w:val="20"/>
              </w:rPr>
            </w:pPr>
            <w:r>
              <w:rPr>
                <w:rFonts w:hint="eastAsia" w:cs="宋体" w:asciiTheme="minorEastAsia" w:hAnsiTheme="minorEastAsia"/>
                <w:color w:val="000000"/>
                <w:kern w:val="0"/>
                <w:sz w:val="20"/>
                <w:szCs w:val="20"/>
                <w:lang w:bidi="ar"/>
              </w:rPr>
              <w:t>财务管理制度健全性（1分）</w:t>
            </w:r>
          </w:p>
        </w:tc>
        <w:tc>
          <w:tcPr>
            <w:tcW w:w="6379"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cs="宋体" w:asciiTheme="minorEastAsia" w:hAnsiTheme="minorEastAsia"/>
                <w:color w:val="000000"/>
                <w:sz w:val="20"/>
                <w:szCs w:val="20"/>
              </w:rPr>
            </w:pPr>
            <w:r>
              <w:rPr>
                <w:rStyle w:val="19"/>
                <w:rFonts w:asciiTheme="minorEastAsia" w:hAnsiTheme="minorEastAsia" w:eastAsiaTheme="minorEastAsia"/>
                <w:sz w:val="20"/>
                <w:szCs w:val="20"/>
                <w:lang w:bidi="ar"/>
              </w:rPr>
              <w:t>①预算资金管理办法、绩效跟踪管理办法、资产管理办法等各项制度是否健全；②部门内部财务管理制度是否完整、合规；③会计核算制度是否完整、合规。每有一项不合格扣0.5分，扣完为止。</w:t>
            </w:r>
          </w:p>
        </w:tc>
        <w:tc>
          <w:tcPr>
            <w:tcW w:w="212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cs="宋体" w:asciiTheme="minorEastAsia" w:hAnsiTheme="minorEastAsia"/>
                <w:color w:val="000000"/>
                <w:sz w:val="20"/>
                <w:szCs w:val="20"/>
              </w:rPr>
            </w:pPr>
            <w:r>
              <w:rPr>
                <w:rFonts w:hint="eastAsia" w:cs="宋体" w:asciiTheme="minorEastAsia" w:hAnsiTheme="minorEastAsia"/>
                <w:color w:val="000000"/>
                <w:kern w:val="0"/>
                <w:sz w:val="20"/>
                <w:szCs w:val="20"/>
                <w:lang w:bidi="ar"/>
              </w:rPr>
              <w:t>1</w:t>
            </w:r>
          </w:p>
        </w:tc>
      </w:tr>
      <w:tr>
        <w:tblPrEx>
          <w:tblCellMar>
            <w:top w:w="15" w:type="dxa"/>
            <w:left w:w="15" w:type="dxa"/>
            <w:bottom w:w="15" w:type="dxa"/>
            <w:right w:w="15" w:type="dxa"/>
          </w:tblCellMar>
        </w:tblPrEx>
        <w:trPr>
          <w:trHeight w:val="2224" w:hRule="atLeast"/>
        </w:trPr>
        <w:tc>
          <w:tcPr>
            <w:tcW w:w="118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color w:val="000000"/>
                <w:sz w:val="20"/>
                <w:szCs w:val="20"/>
              </w:rPr>
            </w:pPr>
          </w:p>
        </w:tc>
        <w:tc>
          <w:tcPr>
            <w:tcW w:w="112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color w:val="000000"/>
                <w:sz w:val="20"/>
                <w:szCs w:val="20"/>
              </w:rPr>
            </w:pPr>
          </w:p>
        </w:tc>
        <w:tc>
          <w:tcPr>
            <w:tcW w:w="170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cs="宋体" w:asciiTheme="minorEastAsia" w:hAnsiTheme="minorEastAsia"/>
                <w:color w:val="000000"/>
                <w:sz w:val="20"/>
                <w:szCs w:val="20"/>
              </w:rPr>
            </w:pPr>
            <w:r>
              <w:rPr>
                <w:rFonts w:hint="eastAsia" w:cs="宋体" w:asciiTheme="minorEastAsia" w:hAnsiTheme="minorEastAsia"/>
                <w:color w:val="000000"/>
                <w:kern w:val="0"/>
                <w:sz w:val="20"/>
                <w:szCs w:val="20"/>
                <w:lang w:bidi="ar"/>
              </w:rPr>
              <w:t>资金使用合规性和安全性（2分）</w:t>
            </w:r>
          </w:p>
        </w:tc>
        <w:tc>
          <w:tcPr>
            <w:tcW w:w="6379"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cs="宋体" w:asciiTheme="minorEastAsia" w:hAnsiTheme="minorEastAsia"/>
                <w:color w:val="000000"/>
                <w:sz w:val="20"/>
                <w:szCs w:val="20"/>
              </w:rPr>
            </w:pPr>
            <w:r>
              <w:rPr>
                <w:rStyle w:val="19"/>
                <w:rFonts w:asciiTheme="minorEastAsia" w:hAnsiTheme="minorEastAsia" w:eastAsiaTheme="minorEastAsia"/>
                <w:sz w:val="20"/>
                <w:szCs w:val="20"/>
                <w:lang w:bidi="ar"/>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c>
          <w:tcPr>
            <w:tcW w:w="212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cs="宋体" w:asciiTheme="minorEastAsia" w:hAnsiTheme="minorEastAsia"/>
                <w:color w:val="000000"/>
                <w:sz w:val="20"/>
                <w:szCs w:val="20"/>
              </w:rPr>
            </w:pPr>
            <w:r>
              <w:rPr>
                <w:rFonts w:hint="eastAsia" w:cs="宋体" w:asciiTheme="minorEastAsia" w:hAnsiTheme="minorEastAsia"/>
                <w:color w:val="000000"/>
                <w:kern w:val="0"/>
                <w:sz w:val="20"/>
                <w:szCs w:val="20"/>
                <w:lang w:bidi="ar"/>
              </w:rPr>
              <w:t>2</w:t>
            </w:r>
          </w:p>
        </w:tc>
      </w:tr>
      <w:tr>
        <w:tblPrEx>
          <w:tblCellMar>
            <w:top w:w="15" w:type="dxa"/>
            <w:left w:w="15" w:type="dxa"/>
            <w:bottom w:w="15" w:type="dxa"/>
            <w:right w:w="15" w:type="dxa"/>
          </w:tblCellMar>
        </w:tblPrEx>
        <w:trPr>
          <w:trHeight w:val="1355" w:hRule="atLeast"/>
        </w:trPr>
        <w:tc>
          <w:tcPr>
            <w:tcW w:w="118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color w:val="000000"/>
                <w:sz w:val="20"/>
                <w:szCs w:val="20"/>
              </w:rPr>
            </w:pPr>
          </w:p>
        </w:tc>
        <w:tc>
          <w:tcPr>
            <w:tcW w:w="112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color w:val="000000"/>
                <w:sz w:val="20"/>
                <w:szCs w:val="20"/>
              </w:rPr>
            </w:pPr>
          </w:p>
        </w:tc>
        <w:tc>
          <w:tcPr>
            <w:tcW w:w="170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cs="宋体" w:asciiTheme="minorEastAsia" w:hAnsiTheme="minorEastAsia"/>
                <w:color w:val="000000"/>
                <w:sz w:val="20"/>
                <w:szCs w:val="20"/>
              </w:rPr>
            </w:pPr>
            <w:r>
              <w:rPr>
                <w:rFonts w:hint="eastAsia" w:cs="宋体" w:asciiTheme="minorEastAsia" w:hAnsiTheme="minorEastAsia"/>
                <w:color w:val="000000"/>
                <w:kern w:val="0"/>
                <w:sz w:val="20"/>
                <w:szCs w:val="20"/>
                <w:lang w:bidi="ar"/>
              </w:rPr>
              <w:t>会计基础信息完善性（1分）</w:t>
            </w:r>
          </w:p>
        </w:tc>
        <w:tc>
          <w:tcPr>
            <w:tcW w:w="6379"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cs="宋体" w:asciiTheme="minorEastAsia" w:hAnsiTheme="minorEastAsia"/>
                <w:color w:val="000000"/>
                <w:sz w:val="20"/>
                <w:szCs w:val="20"/>
              </w:rPr>
            </w:pPr>
            <w:r>
              <w:rPr>
                <w:rStyle w:val="19"/>
                <w:rFonts w:asciiTheme="minorEastAsia" w:hAnsiTheme="minorEastAsia" w:eastAsiaTheme="minorEastAsia"/>
                <w:sz w:val="20"/>
                <w:szCs w:val="20"/>
                <w:lang w:bidi="ar"/>
              </w:rPr>
              <w:t>①基础数据信息和会计信息资料是否真实；②基础数据信息和会计信息资料是否完整；③基础数据信息和会计信息资料是否准确。每有一项不合格扣0.5分，扣完为止。</w:t>
            </w:r>
          </w:p>
        </w:tc>
        <w:tc>
          <w:tcPr>
            <w:tcW w:w="212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cs="宋体" w:asciiTheme="minorEastAsia" w:hAnsiTheme="minorEastAsia"/>
                <w:color w:val="000000"/>
                <w:sz w:val="20"/>
                <w:szCs w:val="20"/>
              </w:rPr>
            </w:pPr>
            <w:r>
              <w:rPr>
                <w:rFonts w:hint="eastAsia" w:cs="宋体" w:asciiTheme="minorEastAsia" w:hAnsiTheme="minorEastAsia"/>
                <w:color w:val="000000"/>
                <w:kern w:val="0"/>
                <w:sz w:val="20"/>
                <w:szCs w:val="20"/>
                <w:lang w:bidi="ar"/>
              </w:rPr>
              <w:t>1</w:t>
            </w:r>
          </w:p>
        </w:tc>
      </w:tr>
      <w:tr>
        <w:tblPrEx>
          <w:tblCellMar>
            <w:top w:w="15" w:type="dxa"/>
            <w:left w:w="15" w:type="dxa"/>
            <w:bottom w:w="15" w:type="dxa"/>
            <w:right w:w="15" w:type="dxa"/>
          </w:tblCellMar>
        </w:tblPrEx>
        <w:trPr>
          <w:trHeight w:val="1886" w:hRule="atLeast"/>
        </w:trPr>
        <w:tc>
          <w:tcPr>
            <w:tcW w:w="118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color w:val="000000"/>
                <w:sz w:val="20"/>
                <w:szCs w:val="20"/>
              </w:rPr>
            </w:pPr>
          </w:p>
        </w:tc>
        <w:tc>
          <w:tcPr>
            <w:tcW w:w="112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cs="宋体" w:asciiTheme="minorEastAsia" w:hAnsiTheme="minorEastAsia"/>
                <w:color w:val="000000"/>
                <w:sz w:val="20"/>
                <w:szCs w:val="20"/>
              </w:rPr>
            </w:pPr>
            <w:r>
              <w:rPr>
                <w:rStyle w:val="33"/>
                <w:rFonts w:hint="default" w:asciiTheme="minorEastAsia" w:hAnsiTheme="minorEastAsia" w:eastAsiaTheme="minorEastAsia"/>
                <w:lang w:bidi="ar"/>
              </w:rPr>
              <w:t>资产管理</w:t>
            </w:r>
            <w:r>
              <w:rPr>
                <w:rStyle w:val="33"/>
                <w:rFonts w:hint="default" w:asciiTheme="minorEastAsia" w:hAnsiTheme="minorEastAsia" w:eastAsiaTheme="minorEastAsia"/>
                <w:lang w:bidi="ar"/>
              </w:rPr>
              <w:br w:type="textWrapping"/>
            </w:r>
            <w:r>
              <w:rPr>
                <w:rStyle w:val="33"/>
                <w:rFonts w:hint="default" w:asciiTheme="minorEastAsia" w:hAnsiTheme="minorEastAsia" w:eastAsiaTheme="minorEastAsia"/>
                <w:lang w:bidi="ar"/>
              </w:rPr>
              <w:t>（4分）</w:t>
            </w:r>
          </w:p>
        </w:tc>
        <w:tc>
          <w:tcPr>
            <w:tcW w:w="170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cs="宋体" w:asciiTheme="minorEastAsia" w:hAnsiTheme="minorEastAsia"/>
                <w:color w:val="000000"/>
                <w:sz w:val="20"/>
                <w:szCs w:val="20"/>
              </w:rPr>
            </w:pPr>
            <w:r>
              <w:rPr>
                <w:rFonts w:hint="eastAsia" w:cs="宋体" w:asciiTheme="minorEastAsia" w:hAnsiTheme="minorEastAsia"/>
                <w:color w:val="000000"/>
                <w:kern w:val="0"/>
                <w:sz w:val="20"/>
                <w:szCs w:val="20"/>
                <w:lang w:bidi="ar"/>
              </w:rPr>
              <w:t>资产管理规范性（4分）</w:t>
            </w:r>
          </w:p>
        </w:tc>
        <w:tc>
          <w:tcPr>
            <w:tcW w:w="6379"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cs="宋体" w:asciiTheme="minorEastAsia" w:hAnsiTheme="minorEastAsia"/>
                <w:color w:val="000000"/>
                <w:sz w:val="20"/>
                <w:szCs w:val="20"/>
              </w:rPr>
            </w:pPr>
            <w:r>
              <w:rPr>
                <w:rStyle w:val="32"/>
                <w:rFonts w:hint="default" w:asciiTheme="minorEastAsia" w:hAnsiTheme="minorEastAsia" w:eastAsiaTheme="minorEastAsia"/>
                <w:lang w:bidi="ar"/>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c>
          <w:tcPr>
            <w:tcW w:w="212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cs="宋体" w:asciiTheme="minorEastAsia" w:hAnsiTheme="minorEastAsia"/>
                <w:color w:val="000000"/>
                <w:sz w:val="20"/>
                <w:szCs w:val="20"/>
              </w:rPr>
            </w:pPr>
            <w:r>
              <w:rPr>
                <w:rFonts w:hint="eastAsia" w:cs="宋体" w:asciiTheme="minorEastAsia" w:hAnsiTheme="minorEastAsia"/>
                <w:color w:val="000000"/>
                <w:kern w:val="0"/>
                <w:sz w:val="20"/>
                <w:szCs w:val="20"/>
                <w:lang w:bidi="ar"/>
              </w:rPr>
              <w:t>4</w:t>
            </w:r>
          </w:p>
        </w:tc>
      </w:tr>
      <w:tr>
        <w:tblPrEx>
          <w:tblCellMar>
            <w:top w:w="15" w:type="dxa"/>
            <w:left w:w="15" w:type="dxa"/>
            <w:bottom w:w="15" w:type="dxa"/>
            <w:right w:w="15" w:type="dxa"/>
          </w:tblCellMar>
        </w:tblPrEx>
        <w:trPr>
          <w:trHeight w:val="964" w:hRule="atLeast"/>
        </w:trPr>
        <w:tc>
          <w:tcPr>
            <w:tcW w:w="118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cs="宋体" w:asciiTheme="minorEastAsia" w:hAnsiTheme="minorEastAsia"/>
                <w:color w:val="000000"/>
                <w:sz w:val="20"/>
                <w:szCs w:val="20"/>
              </w:rPr>
            </w:pPr>
            <w:r>
              <w:rPr>
                <w:rFonts w:hint="eastAsia" w:cs="宋体" w:asciiTheme="minorEastAsia" w:hAnsiTheme="minorEastAsia"/>
                <w:color w:val="000000"/>
                <w:kern w:val="0"/>
                <w:sz w:val="20"/>
                <w:szCs w:val="20"/>
                <w:lang w:bidi="ar"/>
              </w:rPr>
              <w:t>续上页</w:t>
            </w:r>
          </w:p>
        </w:tc>
        <w:tc>
          <w:tcPr>
            <w:tcW w:w="112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cs="宋体" w:asciiTheme="minorEastAsia" w:hAnsiTheme="minorEastAsia"/>
                <w:color w:val="000000"/>
                <w:sz w:val="20"/>
                <w:szCs w:val="20"/>
              </w:rPr>
            </w:pPr>
            <w:r>
              <w:rPr>
                <w:rStyle w:val="33"/>
                <w:rFonts w:hint="default" w:asciiTheme="minorEastAsia" w:hAnsiTheme="minorEastAsia" w:eastAsiaTheme="minorEastAsia"/>
                <w:lang w:bidi="ar"/>
              </w:rPr>
              <w:t>绩效管理</w:t>
            </w:r>
            <w:r>
              <w:rPr>
                <w:rStyle w:val="33"/>
                <w:rFonts w:hint="default" w:asciiTheme="minorEastAsia" w:hAnsiTheme="minorEastAsia" w:eastAsiaTheme="minorEastAsia"/>
                <w:lang w:bidi="ar"/>
              </w:rPr>
              <w:br w:type="textWrapping"/>
            </w:r>
            <w:r>
              <w:rPr>
                <w:rStyle w:val="33"/>
                <w:rFonts w:hint="default" w:asciiTheme="minorEastAsia" w:hAnsiTheme="minorEastAsia" w:eastAsiaTheme="minorEastAsia"/>
                <w:lang w:bidi="ar"/>
              </w:rPr>
              <w:t>（4分）</w:t>
            </w:r>
          </w:p>
        </w:tc>
        <w:tc>
          <w:tcPr>
            <w:tcW w:w="170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cs="宋体" w:asciiTheme="minorEastAsia" w:hAnsiTheme="minorEastAsia"/>
                <w:color w:val="000000"/>
                <w:sz w:val="20"/>
                <w:szCs w:val="20"/>
              </w:rPr>
            </w:pPr>
            <w:r>
              <w:rPr>
                <w:rFonts w:hint="eastAsia" w:cs="宋体" w:asciiTheme="minorEastAsia" w:hAnsiTheme="minorEastAsia"/>
                <w:color w:val="000000"/>
                <w:kern w:val="0"/>
                <w:sz w:val="20"/>
                <w:szCs w:val="20"/>
                <w:lang w:bidi="ar"/>
              </w:rPr>
              <w:t>绩效管理情况</w:t>
            </w:r>
            <w:r>
              <w:rPr>
                <w:rFonts w:hint="eastAsia" w:cs="宋体" w:asciiTheme="minorEastAsia" w:hAnsiTheme="minorEastAsia"/>
                <w:color w:val="000000"/>
                <w:kern w:val="0"/>
                <w:sz w:val="20"/>
                <w:szCs w:val="20"/>
                <w:lang w:bidi="ar"/>
              </w:rPr>
              <w:br w:type="textWrapping"/>
            </w:r>
            <w:r>
              <w:rPr>
                <w:rFonts w:hint="eastAsia" w:cs="宋体" w:asciiTheme="minorEastAsia" w:hAnsiTheme="minorEastAsia"/>
                <w:color w:val="000000"/>
                <w:kern w:val="0"/>
                <w:sz w:val="20"/>
                <w:szCs w:val="20"/>
                <w:lang w:bidi="ar"/>
              </w:rPr>
              <w:t>（4分）</w:t>
            </w:r>
          </w:p>
        </w:tc>
        <w:tc>
          <w:tcPr>
            <w:tcW w:w="6379"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cs="宋体" w:asciiTheme="minorEastAsia" w:hAnsiTheme="minorEastAsia"/>
                <w:color w:val="000000"/>
                <w:sz w:val="20"/>
                <w:szCs w:val="20"/>
              </w:rPr>
            </w:pPr>
            <w:r>
              <w:rPr>
                <w:rStyle w:val="19"/>
                <w:rFonts w:asciiTheme="minorEastAsia" w:hAnsiTheme="minorEastAsia" w:eastAsiaTheme="minorEastAsia"/>
                <w:sz w:val="20"/>
                <w:szCs w:val="20"/>
                <w:lang w:bidi="ar"/>
              </w:rPr>
              <w:t>①部门（单位）是否及时对绩效信息进行汇总分析整理；②部门（单位）是否对绩效目标偏离情况及时进行矫正。每有一项不合格扣2分。</w:t>
            </w:r>
          </w:p>
        </w:tc>
        <w:tc>
          <w:tcPr>
            <w:tcW w:w="212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cs="宋体" w:asciiTheme="minorEastAsia" w:hAnsiTheme="minorEastAsia"/>
                <w:color w:val="000000"/>
                <w:sz w:val="20"/>
                <w:szCs w:val="20"/>
              </w:rPr>
            </w:pPr>
            <w:r>
              <w:rPr>
                <w:rFonts w:hint="eastAsia" w:cs="宋体" w:asciiTheme="minorEastAsia" w:hAnsiTheme="minorEastAsia"/>
                <w:color w:val="000000"/>
                <w:kern w:val="0"/>
                <w:sz w:val="20"/>
                <w:szCs w:val="20"/>
                <w:lang w:bidi="ar"/>
              </w:rPr>
              <w:t>4</w:t>
            </w:r>
          </w:p>
        </w:tc>
      </w:tr>
      <w:tr>
        <w:tblPrEx>
          <w:tblCellMar>
            <w:top w:w="15" w:type="dxa"/>
            <w:left w:w="15" w:type="dxa"/>
            <w:bottom w:w="15" w:type="dxa"/>
            <w:right w:w="15" w:type="dxa"/>
          </w:tblCellMar>
        </w:tblPrEx>
        <w:trPr>
          <w:trHeight w:val="971" w:hRule="atLeast"/>
        </w:trPr>
        <w:tc>
          <w:tcPr>
            <w:tcW w:w="118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color w:val="000000"/>
                <w:sz w:val="20"/>
                <w:szCs w:val="20"/>
              </w:rPr>
            </w:pPr>
          </w:p>
        </w:tc>
        <w:tc>
          <w:tcPr>
            <w:tcW w:w="2829"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cs="宋体" w:asciiTheme="minorEastAsia" w:hAnsiTheme="minorEastAsia"/>
                <w:color w:val="000000"/>
                <w:sz w:val="20"/>
                <w:szCs w:val="20"/>
              </w:rPr>
            </w:pPr>
            <w:r>
              <w:rPr>
                <w:rFonts w:hint="eastAsia" w:cs="宋体" w:asciiTheme="minorEastAsia" w:hAnsiTheme="minorEastAsia"/>
                <w:color w:val="000000"/>
                <w:kern w:val="0"/>
                <w:sz w:val="20"/>
                <w:szCs w:val="20"/>
                <w:lang w:bidi="ar"/>
              </w:rPr>
              <w:t>结转结余率（4分）</w:t>
            </w:r>
          </w:p>
        </w:tc>
        <w:tc>
          <w:tcPr>
            <w:tcW w:w="6379"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cs="宋体" w:asciiTheme="minorEastAsia" w:hAnsiTheme="minorEastAsia"/>
                <w:color w:val="000000"/>
                <w:sz w:val="20"/>
                <w:szCs w:val="20"/>
              </w:rPr>
            </w:pPr>
            <w:r>
              <w:rPr>
                <w:rStyle w:val="32"/>
                <w:rFonts w:hint="default" w:asciiTheme="minorEastAsia" w:hAnsiTheme="minorEastAsia" w:eastAsiaTheme="minorEastAsia"/>
                <w:lang w:bidi="ar"/>
              </w:rPr>
              <w:t>部门结转结余率低于上年的不扣分；高于上年结余率的，每高出1个百分点扣0.4分，扣完为止。</w:t>
            </w:r>
          </w:p>
        </w:tc>
        <w:tc>
          <w:tcPr>
            <w:tcW w:w="212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cs="宋体" w:asciiTheme="minorEastAsia" w:hAnsiTheme="minorEastAsia"/>
                <w:color w:val="000000"/>
                <w:sz w:val="20"/>
                <w:szCs w:val="20"/>
              </w:rPr>
            </w:pPr>
            <w:r>
              <w:rPr>
                <w:rFonts w:cs="宋体" w:asciiTheme="minorEastAsia" w:hAnsiTheme="minorEastAsia"/>
                <w:color w:val="000000"/>
                <w:kern w:val="0"/>
                <w:sz w:val="20"/>
                <w:szCs w:val="20"/>
                <w:lang w:bidi="ar"/>
              </w:rPr>
              <w:t>3.2</w:t>
            </w:r>
          </w:p>
        </w:tc>
      </w:tr>
      <w:tr>
        <w:tblPrEx>
          <w:tblCellMar>
            <w:top w:w="15" w:type="dxa"/>
            <w:left w:w="15" w:type="dxa"/>
            <w:bottom w:w="15" w:type="dxa"/>
            <w:right w:w="15" w:type="dxa"/>
          </w:tblCellMar>
        </w:tblPrEx>
        <w:trPr>
          <w:trHeight w:val="1098" w:hRule="atLeast"/>
        </w:trPr>
        <w:tc>
          <w:tcPr>
            <w:tcW w:w="118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color w:val="000000"/>
                <w:sz w:val="20"/>
                <w:szCs w:val="20"/>
              </w:rPr>
            </w:pPr>
          </w:p>
        </w:tc>
        <w:tc>
          <w:tcPr>
            <w:tcW w:w="2829"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cs="宋体" w:asciiTheme="minorEastAsia" w:hAnsiTheme="minorEastAsia"/>
                <w:color w:val="000000"/>
                <w:sz w:val="20"/>
                <w:szCs w:val="20"/>
              </w:rPr>
            </w:pPr>
            <w:r>
              <w:rPr>
                <w:rStyle w:val="33"/>
                <w:rFonts w:hint="default" w:asciiTheme="minorEastAsia" w:hAnsiTheme="minorEastAsia" w:eastAsiaTheme="minorEastAsia"/>
                <w:lang w:bidi="ar"/>
              </w:rPr>
              <w:t>部门预决算差异率（4分）</w:t>
            </w:r>
          </w:p>
        </w:tc>
        <w:tc>
          <w:tcPr>
            <w:tcW w:w="6379"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cs="宋体" w:asciiTheme="minorEastAsia" w:hAnsiTheme="minorEastAsia"/>
                <w:color w:val="000000"/>
                <w:sz w:val="20"/>
                <w:szCs w:val="20"/>
              </w:rPr>
            </w:pPr>
            <w:r>
              <w:rPr>
                <w:rStyle w:val="33"/>
                <w:rFonts w:hint="default" w:asciiTheme="minorEastAsia" w:hAnsiTheme="minorEastAsia" w:eastAsiaTheme="minorEastAsia"/>
                <w:lang w:bidi="ar"/>
              </w:rPr>
              <w:t>部门预决算差异率高于市级平均差异率（28.3%）的，每高出10%（含），扣0.4分，扣完为止。</w:t>
            </w:r>
          </w:p>
        </w:tc>
        <w:tc>
          <w:tcPr>
            <w:tcW w:w="212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cs="宋体" w:asciiTheme="minorEastAsia" w:hAnsiTheme="minorEastAsia"/>
                <w:color w:val="000000"/>
                <w:sz w:val="20"/>
                <w:szCs w:val="20"/>
              </w:rPr>
            </w:pPr>
            <w:r>
              <w:rPr>
                <w:rFonts w:hint="eastAsia" w:cs="宋体" w:asciiTheme="minorEastAsia" w:hAnsiTheme="minorEastAsia"/>
                <w:color w:val="000000"/>
                <w:kern w:val="0"/>
                <w:sz w:val="20"/>
                <w:szCs w:val="20"/>
                <w:lang w:bidi="ar"/>
              </w:rPr>
              <w:t>4</w:t>
            </w:r>
          </w:p>
        </w:tc>
      </w:tr>
      <w:tr>
        <w:tblPrEx>
          <w:tblCellMar>
            <w:top w:w="15" w:type="dxa"/>
            <w:left w:w="15" w:type="dxa"/>
            <w:bottom w:w="15" w:type="dxa"/>
            <w:right w:w="15" w:type="dxa"/>
          </w:tblCellMar>
        </w:tblPrEx>
        <w:trPr>
          <w:trHeight w:val="588" w:hRule="atLeast"/>
        </w:trPr>
        <w:tc>
          <w:tcPr>
            <w:tcW w:w="10390" w:type="dxa"/>
            <w:gridSpan w:val="4"/>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Style w:val="33"/>
                <w:rFonts w:hint="default" w:asciiTheme="minorEastAsia" w:hAnsiTheme="minorEastAsia" w:eastAsiaTheme="minorEastAsia"/>
                <w:b/>
                <w:bCs/>
                <w:lang w:bidi="ar"/>
              </w:rPr>
            </w:pPr>
            <w:r>
              <w:rPr>
                <w:rStyle w:val="33"/>
                <w:rFonts w:hint="default" w:asciiTheme="minorEastAsia" w:hAnsiTheme="minorEastAsia" w:eastAsiaTheme="minorEastAsia"/>
                <w:b/>
                <w:bCs/>
                <w:lang w:bidi="ar"/>
              </w:rPr>
              <w:t>合计：</w:t>
            </w:r>
          </w:p>
        </w:tc>
        <w:tc>
          <w:tcPr>
            <w:tcW w:w="212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cs="宋体" w:asciiTheme="minorEastAsia" w:hAnsiTheme="minorEastAsia"/>
                <w:b/>
                <w:bCs/>
                <w:color w:val="000000"/>
                <w:kern w:val="0"/>
                <w:sz w:val="20"/>
                <w:szCs w:val="20"/>
                <w:lang w:bidi="ar"/>
              </w:rPr>
            </w:pPr>
            <w:r>
              <w:rPr>
                <w:rFonts w:cs="宋体" w:asciiTheme="minorEastAsia" w:hAnsiTheme="minorEastAsia"/>
                <w:b/>
                <w:bCs/>
                <w:color w:val="000000"/>
                <w:kern w:val="0"/>
                <w:sz w:val="20"/>
                <w:szCs w:val="20"/>
                <w:lang w:bidi="ar"/>
              </w:rPr>
              <w:t>92.92</w:t>
            </w:r>
          </w:p>
        </w:tc>
      </w:tr>
    </w:tbl>
    <w:p>
      <w:pPr>
        <w:pStyle w:val="2"/>
        <w:adjustRightInd w:val="0"/>
        <w:snapToGrid w:val="0"/>
        <w:spacing w:line="360" w:lineRule="auto"/>
        <w:rPr>
          <w:rFonts w:ascii="仿宋_GB2312"/>
        </w:rPr>
      </w:pPr>
    </w:p>
    <w:sectPr>
      <w:pgSz w:w="16838" w:h="11906" w:orient="landscape"/>
      <w:pgMar w:top="1531" w:right="2098" w:bottom="1531" w:left="1985" w:header="851" w:footer="992" w:gutter="0"/>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85199473"/>
    </w:sdtPr>
    <w:sdtContent>
      <w:p>
        <w:pPr>
          <w:pStyle w:val="8"/>
          <w:jc w:val="center"/>
        </w:pPr>
        <w:r>
          <w:fldChar w:fldCharType="begin"/>
        </w:r>
        <w:r>
          <w:instrText xml:space="preserve">PAGE   \* MERGEFORMAT</w:instrText>
        </w:r>
        <w:r>
          <w:fldChar w:fldCharType="separate"/>
        </w:r>
        <w:r>
          <w:rPr>
            <w:lang w:val="zh-CN"/>
          </w:rPr>
          <w:t>2</w:t>
        </w:r>
        <w:r>
          <w:fldChar w:fldCharType="end"/>
        </w:r>
      </w:p>
    </w:sdtContent>
  </w:sdt>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M0MjZhN2Y4MjBjNzU1ZGUyYmRmNjI4ZjllZGY1YzMifQ=="/>
  </w:docVars>
  <w:rsids>
    <w:rsidRoot w:val="00655EFF"/>
    <w:rsid w:val="00003BDF"/>
    <w:rsid w:val="0000693F"/>
    <w:rsid w:val="00007308"/>
    <w:rsid w:val="0001007A"/>
    <w:rsid w:val="00010C0A"/>
    <w:rsid w:val="00011B11"/>
    <w:rsid w:val="00021E47"/>
    <w:rsid w:val="00021FF5"/>
    <w:rsid w:val="000235C3"/>
    <w:rsid w:val="00024EC0"/>
    <w:rsid w:val="000331EF"/>
    <w:rsid w:val="00033A70"/>
    <w:rsid w:val="00040DDC"/>
    <w:rsid w:val="00046A0B"/>
    <w:rsid w:val="00055E88"/>
    <w:rsid w:val="0007076B"/>
    <w:rsid w:val="00075B17"/>
    <w:rsid w:val="000765EA"/>
    <w:rsid w:val="000778D8"/>
    <w:rsid w:val="00077EEF"/>
    <w:rsid w:val="00085C3D"/>
    <w:rsid w:val="000860D2"/>
    <w:rsid w:val="00092633"/>
    <w:rsid w:val="000A0858"/>
    <w:rsid w:val="000B2F11"/>
    <w:rsid w:val="000B669B"/>
    <w:rsid w:val="000B6A1A"/>
    <w:rsid w:val="000C1CD7"/>
    <w:rsid w:val="000C4DBC"/>
    <w:rsid w:val="000C5EE7"/>
    <w:rsid w:val="000D4178"/>
    <w:rsid w:val="000F4E97"/>
    <w:rsid w:val="0010310A"/>
    <w:rsid w:val="0011284B"/>
    <w:rsid w:val="001207B8"/>
    <w:rsid w:val="001279C8"/>
    <w:rsid w:val="00130473"/>
    <w:rsid w:val="001319A0"/>
    <w:rsid w:val="00135AF2"/>
    <w:rsid w:val="0014542A"/>
    <w:rsid w:val="00154EB9"/>
    <w:rsid w:val="00162CF2"/>
    <w:rsid w:val="00167529"/>
    <w:rsid w:val="001705A5"/>
    <w:rsid w:val="00177D17"/>
    <w:rsid w:val="00184F6B"/>
    <w:rsid w:val="0019154F"/>
    <w:rsid w:val="001926F7"/>
    <w:rsid w:val="001A0997"/>
    <w:rsid w:val="001A329D"/>
    <w:rsid w:val="001B012E"/>
    <w:rsid w:val="001B5324"/>
    <w:rsid w:val="001C6321"/>
    <w:rsid w:val="001D073C"/>
    <w:rsid w:val="001D7E0A"/>
    <w:rsid w:val="001E7D67"/>
    <w:rsid w:val="001F3ACD"/>
    <w:rsid w:val="002004EE"/>
    <w:rsid w:val="0021142D"/>
    <w:rsid w:val="00213177"/>
    <w:rsid w:val="00222144"/>
    <w:rsid w:val="002223EC"/>
    <w:rsid w:val="0022326A"/>
    <w:rsid w:val="00223F52"/>
    <w:rsid w:val="002269C9"/>
    <w:rsid w:val="00226FB1"/>
    <w:rsid w:val="00227995"/>
    <w:rsid w:val="00232B5B"/>
    <w:rsid w:val="00234249"/>
    <w:rsid w:val="00234F1F"/>
    <w:rsid w:val="00237BCB"/>
    <w:rsid w:val="002415CE"/>
    <w:rsid w:val="00241C10"/>
    <w:rsid w:val="00247CFA"/>
    <w:rsid w:val="002551F7"/>
    <w:rsid w:val="00260DEC"/>
    <w:rsid w:val="002620D4"/>
    <w:rsid w:val="00267D23"/>
    <w:rsid w:val="0027271E"/>
    <w:rsid w:val="00284AFF"/>
    <w:rsid w:val="00285710"/>
    <w:rsid w:val="002901F9"/>
    <w:rsid w:val="00297395"/>
    <w:rsid w:val="002A1015"/>
    <w:rsid w:val="002A29CE"/>
    <w:rsid w:val="002A3445"/>
    <w:rsid w:val="002A3B41"/>
    <w:rsid w:val="002A6FF5"/>
    <w:rsid w:val="002C339F"/>
    <w:rsid w:val="002C5873"/>
    <w:rsid w:val="002C7E26"/>
    <w:rsid w:val="002E537B"/>
    <w:rsid w:val="002F14E6"/>
    <w:rsid w:val="002F58FA"/>
    <w:rsid w:val="00303A44"/>
    <w:rsid w:val="003051F8"/>
    <w:rsid w:val="003054C9"/>
    <w:rsid w:val="003057D9"/>
    <w:rsid w:val="00307837"/>
    <w:rsid w:val="00307AE9"/>
    <w:rsid w:val="00307E14"/>
    <w:rsid w:val="00323AD5"/>
    <w:rsid w:val="00325C86"/>
    <w:rsid w:val="00325D42"/>
    <w:rsid w:val="003261B8"/>
    <w:rsid w:val="00330CFC"/>
    <w:rsid w:val="0033303E"/>
    <w:rsid w:val="00340BCC"/>
    <w:rsid w:val="00345E94"/>
    <w:rsid w:val="003502F1"/>
    <w:rsid w:val="00351F8A"/>
    <w:rsid w:val="00352101"/>
    <w:rsid w:val="003524B9"/>
    <w:rsid w:val="00361B50"/>
    <w:rsid w:val="00374391"/>
    <w:rsid w:val="00375EE8"/>
    <w:rsid w:val="00376D5D"/>
    <w:rsid w:val="00377253"/>
    <w:rsid w:val="0039404A"/>
    <w:rsid w:val="00394BDF"/>
    <w:rsid w:val="003A571E"/>
    <w:rsid w:val="003B0675"/>
    <w:rsid w:val="003B23F9"/>
    <w:rsid w:val="003B309F"/>
    <w:rsid w:val="003B485D"/>
    <w:rsid w:val="003B5360"/>
    <w:rsid w:val="003C06B3"/>
    <w:rsid w:val="003C337D"/>
    <w:rsid w:val="003C73F5"/>
    <w:rsid w:val="003D1E27"/>
    <w:rsid w:val="003D2274"/>
    <w:rsid w:val="003E5B3F"/>
    <w:rsid w:val="003E6039"/>
    <w:rsid w:val="003F12E0"/>
    <w:rsid w:val="0041681D"/>
    <w:rsid w:val="00421624"/>
    <w:rsid w:val="00422D08"/>
    <w:rsid w:val="00424298"/>
    <w:rsid w:val="00425595"/>
    <w:rsid w:val="00425AAD"/>
    <w:rsid w:val="00427B34"/>
    <w:rsid w:val="00430189"/>
    <w:rsid w:val="00431903"/>
    <w:rsid w:val="00431992"/>
    <w:rsid w:val="004422E8"/>
    <w:rsid w:val="00443438"/>
    <w:rsid w:val="004444A1"/>
    <w:rsid w:val="004513A6"/>
    <w:rsid w:val="00455649"/>
    <w:rsid w:val="004561D9"/>
    <w:rsid w:val="0046276E"/>
    <w:rsid w:val="00467CD9"/>
    <w:rsid w:val="004876BB"/>
    <w:rsid w:val="00490675"/>
    <w:rsid w:val="00491184"/>
    <w:rsid w:val="00493C62"/>
    <w:rsid w:val="004950D1"/>
    <w:rsid w:val="00495D1E"/>
    <w:rsid w:val="004B129B"/>
    <w:rsid w:val="004B4C25"/>
    <w:rsid w:val="004B5B94"/>
    <w:rsid w:val="004C108A"/>
    <w:rsid w:val="004D0189"/>
    <w:rsid w:val="004D52A2"/>
    <w:rsid w:val="004D7B9D"/>
    <w:rsid w:val="004F1D60"/>
    <w:rsid w:val="004F1E1A"/>
    <w:rsid w:val="004F2CA0"/>
    <w:rsid w:val="004F50EC"/>
    <w:rsid w:val="004F7304"/>
    <w:rsid w:val="005063B6"/>
    <w:rsid w:val="005135A4"/>
    <w:rsid w:val="0051700F"/>
    <w:rsid w:val="005202B6"/>
    <w:rsid w:val="00520508"/>
    <w:rsid w:val="00527F19"/>
    <w:rsid w:val="0053338C"/>
    <w:rsid w:val="005338D7"/>
    <w:rsid w:val="00534F9E"/>
    <w:rsid w:val="0053519B"/>
    <w:rsid w:val="00553356"/>
    <w:rsid w:val="0055478B"/>
    <w:rsid w:val="00557903"/>
    <w:rsid w:val="0056491C"/>
    <w:rsid w:val="00567913"/>
    <w:rsid w:val="00575AB0"/>
    <w:rsid w:val="0058660E"/>
    <w:rsid w:val="0059637E"/>
    <w:rsid w:val="005977FA"/>
    <w:rsid w:val="005A725D"/>
    <w:rsid w:val="005B47C1"/>
    <w:rsid w:val="005C5F28"/>
    <w:rsid w:val="005C63E4"/>
    <w:rsid w:val="005C6A5D"/>
    <w:rsid w:val="005D1129"/>
    <w:rsid w:val="005E212A"/>
    <w:rsid w:val="005E5A87"/>
    <w:rsid w:val="005E77A0"/>
    <w:rsid w:val="005F0E8D"/>
    <w:rsid w:val="005F13BC"/>
    <w:rsid w:val="005F4211"/>
    <w:rsid w:val="005F74A6"/>
    <w:rsid w:val="005F7F09"/>
    <w:rsid w:val="0060264F"/>
    <w:rsid w:val="00602BE9"/>
    <w:rsid w:val="00607CE5"/>
    <w:rsid w:val="00611EBC"/>
    <w:rsid w:val="00616DF8"/>
    <w:rsid w:val="00620504"/>
    <w:rsid w:val="00621FB4"/>
    <w:rsid w:val="00622352"/>
    <w:rsid w:val="0062283C"/>
    <w:rsid w:val="00622B17"/>
    <w:rsid w:val="00623B46"/>
    <w:rsid w:val="006355EF"/>
    <w:rsid w:val="006417EB"/>
    <w:rsid w:val="006442E8"/>
    <w:rsid w:val="006451BE"/>
    <w:rsid w:val="006451DB"/>
    <w:rsid w:val="0064593A"/>
    <w:rsid w:val="006463BA"/>
    <w:rsid w:val="006517BF"/>
    <w:rsid w:val="006550CB"/>
    <w:rsid w:val="00655EFF"/>
    <w:rsid w:val="006702DD"/>
    <w:rsid w:val="00677D1A"/>
    <w:rsid w:val="0068237B"/>
    <w:rsid w:val="00687C9A"/>
    <w:rsid w:val="00693D0D"/>
    <w:rsid w:val="00694E5F"/>
    <w:rsid w:val="00696A85"/>
    <w:rsid w:val="006A3075"/>
    <w:rsid w:val="006A72B0"/>
    <w:rsid w:val="006B70DB"/>
    <w:rsid w:val="006C2091"/>
    <w:rsid w:val="006C2D34"/>
    <w:rsid w:val="006D01E4"/>
    <w:rsid w:val="006D120A"/>
    <w:rsid w:val="006D122B"/>
    <w:rsid w:val="006D2675"/>
    <w:rsid w:val="006D2A4D"/>
    <w:rsid w:val="006D3481"/>
    <w:rsid w:val="006D387B"/>
    <w:rsid w:val="006D4B42"/>
    <w:rsid w:val="006D5D0B"/>
    <w:rsid w:val="006D5F92"/>
    <w:rsid w:val="006D66A8"/>
    <w:rsid w:val="006D7A95"/>
    <w:rsid w:val="006D7FAA"/>
    <w:rsid w:val="006F63E5"/>
    <w:rsid w:val="00703FDD"/>
    <w:rsid w:val="00714776"/>
    <w:rsid w:val="00717FBE"/>
    <w:rsid w:val="00720136"/>
    <w:rsid w:val="00722ED9"/>
    <w:rsid w:val="00724531"/>
    <w:rsid w:val="00725E99"/>
    <w:rsid w:val="00726D61"/>
    <w:rsid w:val="007322A6"/>
    <w:rsid w:val="00733B73"/>
    <w:rsid w:val="00754450"/>
    <w:rsid w:val="00765E92"/>
    <w:rsid w:val="00766ADA"/>
    <w:rsid w:val="0077180C"/>
    <w:rsid w:val="0077431C"/>
    <w:rsid w:val="00780475"/>
    <w:rsid w:val="00784CE5"/>
    <w:rsid w:val="007851E2"/>
    <w:rsid w:val="00791CDB"/>
    <w:rsid w:val="007977F7"/>
    <w:rsid w:val="007A58DB"/>
    <w:rsid w:val="007A5A79"/>
    <w:rsid w:val="007A5E4C"/>
    <w:rsid w:val="007B30A0"/>
    <w:rsid w:val="007B34CA"/>
    <w:rsid w:val="007B7515"/>
    <w:rsid w:val="007C529E"/>
    <w:rsid w:val="007D0BCA"/>
    <w:rsid w:val="007E0762"/>
    <w:rsid w:val="007E28EB"/>
    <w:rsid w:val="007E3A14"/>
    <w:rsid w:val="007E4886"/>
    <w:rsid w:val="007E704C"/>
    <w:rsid w:val="00800409"/>
    <w:rsid w:val="00800561"/>
    <w:rsid w:val="00806CC2"/>
    <w:rsid w:val="0080748D"/>
    <w:rsid w:val="0081109F"/>
    <w:rsid w:val="008248BB"/>
    <w:rsid w:val="00824CA1"/>
    <w:rsid w:val="00825B3B"/>
    <w:rsid w:val="00831B3D"/>
    <w:rsid w:val="00835D70"/>
    <w:rsid w:val="008526F5"/>
    <w:rsid w:val="00861D34"/>
    <w:rsid w:val="00862A87"/>
    <w:rsid w:val="008645AD"/>
    <w:rsid w:val="0086670D"/>
    <w:rsid w:val="00875A23"/>
    <w:rsid w:val="0087634B"/>
    <w:rsid w:val="008773C7"/>
    <w:rsid w:val="00881EBE"/>
    <w:rsid w:val="00884354"/>
    <w:rsid w:val="008879CB"/>
    <w:rsid w:val="0089031F"/>
    <w:rsid w:val="008A41F6"/>
    <w:rsid w:val="008A4C0A"/>
    <w:rsid w:val="008A794E"/>
    <w:rsid w:val="008B0942"/>
    <w:rsid w:val="008C0CE0"/>
    <w:rsid w:val="008D153D"/>
    <w:rsid w:val="008D2A7B"/>
    <w:rsid w:val="008D3AF3"/>
    <w:rsid w:val="008D4D9C"/>
    <w:rsid w:val="00904793"/>
    <w:rsid w:val="00906E2D"/>
    <w:rsid w:val="009076DC"/>
    <w:rsid w:val="00920676"/>
    <w:rsid w:val="00922326"/>
    <w:rsid w:val="00923142"/>
    <w:rsid w:val="00927502"/>
    <w:rsid w:val="00934F57"/>
    <w:rsid w:val="009536CE"/>
    <w:rsid w:val="009642B4"/>
    <w:rsid w:val="00964E0C"/>
    <w:rsid w:val="00965D82"/>
    <w:rsid w:val="00967D61"/>
    <w:rsid w:val="009775A5"/>
    <w:rsid w:val="00982D63"/>
    <w:rsid w:val="009905AE"/>
    <w:rsid w:val="0099669F"/>
    <w:rsid w:val="0099723C"/>
    <w:rsid w:val="009A0BB1"/>
    <w:rsid w:val="009A25A3"/>
    <w:rsid w:val="009A3B16"/>
    <w:rsid w:val="009A3B17"/>
    <w:rsid w:val="009A4A11"/>
    <w:rsid w:val="009B0B5B"/>
    <w:rsid w:val="009B2A3E"/>
    <w:rsid w:val="009B445E"/>
    <w:rsid w:val="009C443D"/>
    <w:rsid w:val="009D1708"/>
    <w:rsid w:val="009D54E1"/>
    <w:rsid w:val="009D7D47"/>
    <w:rsid w:val="009E0637"/>
    <w:rsid w:val="009E0B2E"/>
    <w:rsid w:val="009E6070"/>
    <w:rsid w:val="009F45E1"/>
    <w:rsid w:val="009F60D1"/>
    <w:rsid w:val="009F7198"/>
    <w:rsid w:val="009F74C7"/>
    <w:rsid w:val="00A1163F"/>
    <w:rsid w:val="00A26D44"/>
    <w:rsid w:val="00A30EFE"/>
    <w:rsid w:val="00A35DF1"/>
    <w:rsid w:val="00A36C9F"/>
    <w:rsid w:val="00A41058"/>
    <w:rsid w:val="00A50E23"/>
    <w:rsid w:val="00A51466"/>
    <w:rsid w:val="00A53ED6"/>
    <w:rsid w:val="00A54419"/>
    <w:rsid w:val="00A6145B"/>
    <w:rsid w:val="00A6599B"/>
    <w:rsid w:val="00A65B81"/>
    <w:rsid w:val="00A75683"/>
    <w:rsid w:val="00A76E1A"/>
    <w:rsid w:val="00A80B95"/>
    <w:rsid w:val="00A814B5"/>
    <w:rsid w:val="00A82BD9"/>
    <w:rsid w:val="00AA4383"/>
    <w:rsid w:val="00AA730B"/>
    <w:rsid w:val="00AB1391"/>
    <w:rsid w:val="00AB3D81"/>
    <w:rsid w:val="00AB79D6"/>
    <w:rsid w:val="00AC18B1"/>
    <w:rsid w:val="00AC7F5F"/>
    <w:rsid w:val="00AD0DC4"/>
    <w:rsid w:val="00AD3150"/>
    <w:rsid w:val="00AD6A6D"/>
    <w:rsid w:val="00AE1BF8"/>
    <w:rsid w:val="00AE495C"/>
    <w:rsid w:val="00AE6CEF"/>
    <w:rsid w:val="00AF0A5B"/>
    <w:rsid w:val="00AF2290"/>
    <w:rsid w:val="00AF6BAC"/>
    <w:rsid w:val="00AF7E60"/>
    <w:rsid w:val="00B0762A"/>
    <w:rsid w:val="00B1049B"/>
    <w:rsid w:val="00B14736"/>
    <w:rsid w:val="00B23A50"/>
    <w:rsid w:val="00B246EC"/>
    <w:rsid w:val="00B3126E"/>
    <w:rsid w:val="00B402D5"/>
    <w:rsid w:val="00B42C92"/>
    <w:rsid w:val="00B504CB"/>
    <w:rsid w:val="00B52630"/>
    <w:rsid w:val="00B527B1"/>
    <w:rsid w:val="00B5769E"/>
    <w:rsid w:val="00B63B99"/>
    <w:rsid w:val="00B672E9"/>
    <w:rsid w:val="00B67B07"/>
    <w:rsid w:val="00B87004"/>
    <w:rsid w:val="00B901F3"/>
    <w:rsid w:val="00B94FA9"/>
    <w:rsid w:val="00B95173"/>
    <w:rsid w:val="00BA3A21"/>
    <w:rsid w:val="00BA5655"/>
    <w:rsid w:val="00BA6B3F"/>
    <w:rsid w:val="00BB6058"/>
    <w:rsid w:val="00BB636F"/>
    <w:rsid w:val="00BB6BE7"/>
    <w:rsid w:val="00BD1220"/>
    <w:rsid w:val="00BD6903"/>
    <w:rsid w:val="00BD7D83"/>
    <w:rsid w:val="00BE4E67"/>
    <w:rsid w:val="00C11EB2"/>
    <w:rsid w:val="00C16CFB"/>
    <w:rsid w:val="00C21EB1"/>
    <w:rsid w:val="00C27BD6"/>
    <w:rsid w:val="00C3188E"/>
    <w:rsid w:val="00C34AEB"/>
    <w:rsid w:val="00C4234B"/>
    <w:rsid w:val="00C42EBF"/>
    <w:rsid w:val="00C4795A"/>
    <w:rsid w:val="00C54FDB"/>
    <w:rsid w:val="00C74048"/>
    <w:rsid w:val="00C74448"/>
    <w:rsid w:val="00C8292E"/>
    <w:rsid w:val="00C84C71"/>
    <w:rsid w:val="00C90C83"/>
    <w:rsid w:val="00C94F11"/>
    <w:rsid w:val="00C94FCA"/>
    <w:rsid w:val="00CA249A"/>
    <w:rsid w:val="00CA3204"/>
    <w:rsid w:val="00CB2C6A"/>
    <w:rsid w:val="00CC1016"/>
    <w:rsid w:val="00CC2244"/>
    <w:rsid w:val="00CD10F1"/>
    <w:rsid w:val="00CD3448"/>
    <w:rsid w:val="00CD45B6"/>
    <w:rsid w:val="00CD4C70"/>
    <w:rsid w:val="00CD5111"/>
    <w:rsid w:val="00CE433C"/>
    <w:rsid w:val="00CE4E37"/>
    <w:rsid w:val="00CF02D3"/>
    <w:rsid w:val="00D06022"/>
    <w:rsid w:val="00D10F15"/>
    <w:rsid w:val="00D1110E"/>
    <w:rsid w:val="00D13194"/>
    <w:rsid w:val="00D150B8"/>
    <w:rsid w:val="00D17380"/>
    <w:rsid w:val="00D312B3"/>
    <w:rsid w:val="00D31CFE"/>
    <w:rsid w:val="00D31D7F"/>
    <w:rsid w:val="00D320DC"/>
    <w:rsid w:val="00D3294C"/>
    <w:rsid w:val="00D35D47"/>
    <w:rsid w:val="00D37063"/>
    <w:rsid w:val="00D447C4"/>
    <w:rsid w:val="00D4555B"/>
    <w:rsid w:val="00D45CBA"/>
    <w:rsid w:val="00D46628"/>
    <w:rsid w:val="00D56995"/>
    <w:rsid w:val="00D60DE2"/>
    <w:rsid w:val="00D6137F"/>
    <w:rsid w:val="00D613B7"/>
    <w:rsid w:val="00D619EC"/>
    <w:rsid w:val="00D65643"/>
    <w:rsid w:val="00D67432"/>
    <w:rsid w:val="00D70EE0"/>
    <w:rsid w:val="00D8116F"/>
    <w:rsid w:val="00D82546"/>
    <w:rsid w:val="00D8554D"/>
    <w:rsid w:val="00D90B02"/>
    <w:rsid w:val="00D96A6C"/>
    <w:rsid w:val="00DA27FD"/>
    <w:rsid w:val="00DA5FC5"/>
    <w:rsid w:val="00DB00C4"/>
    <w:rsid w:val="00DB36FC"/>
    <w:rsid w:val="00DB407B"/>
    <w:rsid w:val="00DB5066"/>
    <w:rsid w:val="00DB6163"/>
    <w:rsid w:val="00DB7D35"/>
    <w:rsid w:val="00DC4648"/>
    <w:rsid w:val="00DC49B3"/>
    <w:rsid w:val="00DD05F9"/>
    <w:rsid w:val="00DD08BC"/>
    <w:rsid w:val="00DD2476"/>
    <w:rsid w:val="00DD3EF6"/>
    <w:rsid w:val="00DF180C"/>
    <w:rsid w:val="00DF3769"/>
    <w:rsid w:val="00DF7D88"/>
    <w:rsid w:val="00E06500"/>
    <w:rsid w:val="00E113C0"/>
    <w:rsid w:val="00E114BC"/>
    <w:rsid w:val="00E156B3"/>
    <w:rsid w:val="00E17786"/>
    <w:rsid w:val="00E21839"/>
    <w:rsid w:val="00E3685A"/>
    <w:rsid w:val="00E406C7"/>
    <w:rsid w:val="00E5487F"/>
    <w:rsid w:val="00E56225"/>
    <w:rsid w:val="00E64FC6"/>
    <w:rsid w:val="00E65033"/>
    <w:rsid w:val="00E70F69"/>
    <w:rsid w:val="00E73A3D"/>
    <w:rsid w:val="00E74B26"/>
    <w:rsid w:val="00E751FB"/>
    <w:rsid w:val="00E77404"/>
    <w:rsid w:val="00E81DCA"/>
    <w:rsid w:val="00E934A5"/>
    <w:rsid w:val="00E94826"/>
    <w:rsid w:val="00EA0FCD"/>
    <w:rsid w:val="00EA2FA7"/>
    <w:rsid w:val="00EB2BE0"/>
    <w:rsid w:val="00EB43A1"/>
    <w:rsid w:val="00EB7747"/>
    <w:rsid w:val="00EB788B"/>
    <w:rsid w:val="00EC0A7C"/>
    <w:rsid w:val="00EC41BE"/>
    <w:rsid w:val="00EC61C1"/>
    <w:rsid w:val="00EC70A3"/>
    <w:rsid w:val="00ED0956"/>
    <w:rsid w:val="00ED117E"/>
    <w:rsid w:val="00ED21A5"/>
    <w:rsid w:val="00ED2E2F"/>
    <w:rsid w:val="00ED377D"/>
    <w:rsid w:val="00ED4FA9"/>
    <w:rsid w:val="00ED5430"/>
    <w:rsid w:val="00ED6260"/>
    <w:rsid w:val="00ED71A2"/>
    <w:rsid w:val="00EE2420"/>
    <w:rsid w:val="00EE6012"/>
    <w:rsid w:val="00EE681E"/>
    <w:rsid w:val="00EF3A9D"/>
    <w:rsid w:val="00EF4249"/>
    <w:rsid w:val="00EF6A6A"/>
    <w:rsid w:val="00F00BD6"/>
    <w:rsid w:val="00F010D0"/>
    <w:rsid w:val="00F064F6"/>
    <w:rsid w:val="00F0673F"/>
    <w:rsid w:val="00F07E96"/>
    <w:rsid w:val="00F117AB"/>
    <w:rsid w:val="00F1240C"/>
    <w:rsid w:val="00F30383"/>
    <w:rsid w:val="00F31169"/>
    <w:rsid w:val="00F33364"/>
    <w:rsid w:val="00F63463"/>
    <w:rsid w:val="00F660C2"/>
    <w:rsid w:val="00F6682F"/>
    <w:rsid w:val="00F812D2"/>
    <w:rsid w:val="00F87DE0"/>
    <w:rsid w:val="00F916BB"/>
    <w:rsid w:val="00F92031"/>
    <w:rsid w:val="00F949F4"/>
    <w:rsid w:val="00F94FCA"/>
    <w:rsid w:val="00FA0138"/>
    <w:rsid w:val="00FA4773"/>
    <w:rsid w:val="00FA58D4"/>
    <w:rsid w:val="00FB1FCE"/>
    <w:rsid w:val="00FB21C6"/>
    <w:rsid w:val="00FB57F6"/>
    <w:rsid w:val="00FB663A"/>
    <w:rsid w:val="00FB6C19"/>
    <w:rsid w:val="00FD1D67"/>
    <w:rsid w:val="00FD22B9"/>
    <w:rsid w:val="00FD375C"/>
    <w:rsid w:val="00FD5D2B"/>
    <w:rsid w:val="00FD79C3"/>
    <w:rsid w:val="00FE56BE"/>
    <w:rsid w:val="00FF1877"/>
    <w:rsid w:val="00FF3936"/>
    <w:rsid w:val="00FF4DD9"/>
    <w:rsid w:val="00FF6B13"/>
    <w:rsid w:val="015D15A6"/>
    <w:rsid w:val="01814443"/>
    <w:rsid w:val="023925D7"/>
    <w:rsid w:val="034C4DDF"/>
    <w:rsid w:val="03531128"/>
    <w:rsid w:val="037B63D4"/>
    <w:rsid w:val="03C84D25"/>
    <w:rsid w:val="03EB0DF7"/>
    <w:rsid w:val="04AF3EC9"/>
    <w:rsid w:val="051740FE"/>
    <w:rsid w:val="057B3893"/>
    <w:rsid w:val="057B68BE"/>
    <w:rsid w:val="059F4C43"/>
    <w:rsid w:val="06291A08"/>
    <w:rsid w:val="0697491D"/>
    <w:rsid w:val="06A44E62"/>
    <w:rsid w:val="0720665E"/>
    <w:rsid w:val="07724A41"/>
    <w:rsid w:val="079D1CB3"/>
    <w:rsid w:val="0837778F"/>
    <w:rsid w:val="085271B1"/>
    <w:rsid w:val="087B6618"/>
    <w:rsid w:val="08EA5BEE"/>
    <w:rsid w:val="090F7E0B"/>
    <w:rsid w:val="093F4C1A"/>
    <w:rsid w:val="09692B37"/>
    <w:rsid w:val="0A18233C"/>
    <w:rsid w:val="0AF47205"/>
    <w:rsid w:val="0B92410A"/>
    <w:rsid w:val="0BBE617B"/>
    <w:rsid w:val="0C114718"/>
    <w:rsid w:val="0C39470C"/>
    <w:rsid w:val="0C3C4090"/>
    <w:rsid w:val="0C4B2105"/>
    <w:rsid w:val="0C5C5E9C"/>
    <w:rsid w:val="0CEA0997"/>
    <w:rsid w:val="0DA258BC"/>
    <w:rsid w:val="0DEF0714"/>
    <w:rsid w:val="0E8410A1"/>
    <w:rsid w:val="0E9072D6"/>
    <w:rsid w:val="0F220D3F"/>
    <w:rsid w:val="0FCF6A30"/>
    <w:rsid w:val="0FF6168C"/>
    <w:rsid w:val="10766EDF"/>
    <w:rsid w:val="108150AD"/>
    <w:rsid w:val="109F56A6"/>
    <w:rsid w:val="111649DA"/>
    <w:rsid w:val="11403DB4"/>
    <w:rsid w:val="11F03A96"/>
    <w:rsid w:val="125E19E3"/>
    <w:rsid w:val="12A65EA3"/>
    <w:rsid w:val="13023911"/>
    <w:rsid w:val="13044D82"/>
    <w:rsid w:val="130A7C6F"/>
    <w:rsid w:val="140A0664"/>
    <w:rsid w:val="144A6100"/>
    <w:rsid w:val="14802006"/>
    <w:rsid w:val="148A241C"/>
    <w:rsid w:val="14B76399"/>
    <w:rsid w:val="14B87528"/>
    <w:rsid w:val="15336FDE"/>
    <w:rsid w:val="157803F7"/>
    <w:rsid w:val="15B530F5"/>
    <w:rsid w:val="15FE78DD"/>
    <w:rsid w:val="162C5116"/>
    <w:rsid w:val="165A4D4F"/>
    <w:rsid w:val="17A014EC"/>
    <w:rsid w:val="17BA34D9"/>
    <w:rsid w:val="181C598D"/>
    <w:rsid w:val="189A5974"/>
    <w:rsid w:val="18AF0A0C"/>
    <w:rsid w:val="18F12B6E"/>
    <w:rsid w:val="190B5AC9"/>
    <w:rsid w:val="1A5E5199"/>
    <w:rsid w:val="1A6F7214"/>
    <w:rsid w:val="1AB23580"/>
    <w:rsid w:val="1B886F56"/>
    <w:rsid w:val="1B8E2407"/>
    <w:rsid w:val="1B941020"/>
    <w:rsid w:val="1BAE6715"/>
    <w:rsid w:val="1C0567E6"/>
    <w:rsid w:val="1C0A2157"/>
    <w:rsid w:val="1C923527"/>
    <w:rsid w:val="1D23090C"/>
    <w:rsid w:val="1DCD0BC2"/>
    <w:rsid w:val="1DD56355"/>
    <w:rsid w:val="1EB661BE"/>
    <w:rsid w:val="1EC25C2E"/>
    <w:rsid w:val="1EE106E2"/>
    <w:rsid w:val="1FA52DAB"/>
    <w:rsid w:val="1FBF5A97"/>
    <w:rsid w:val="1FE00E50"/>
    <w:rsid w:val="203106E0"/>
    <w:rsid w:val="20325341"/>
    <w:rsid w:val="20586C18"/>
    <w:rsid w:val="205D4F54"/>
    <w:rsid w:val="20BF3640"/>
    <w:rsid w:val="20E15F9F"/>
    <w:rsid w:val="20E65CD5"/>
    <w:rsid w:val="213747DB"/>
    <w:rsid w:val="21556273"/>
    <w:rsid w:val="2232623B"/>
    <w:rsid w:val="22783348"/>
    <w:rsid w:val="22B16B46"/>
    <w:rsid w:val="22B3147F"/>
    <w:rsid w:val="236D0756"/>
    <w:rsid w:val="23B14317"/>
    <w:rsid w:val="23E3718F"/>
    <w:rsid w:val="241E3EA6"/>
    <w:rsid w:val="244E11EB"/>
    <w:rsid w:val="249B5258"/>
    <w:rsid w:val="255A1CC3"/>
    <w:rsid w:val="25DA470E"/>
    <w:rsid w:val="260D64E8"/>
    <w:rsid w:val="260D7438"/>
    <w:rsid w:val="26293385"/>
    <w:rsid w:val="26B12DE8"/>
    <w:rsid w:val="26CA2B41"/>
    <w:rsid w:val="271F5973"/>
    <w:rsid w:val="2752747B"/>
    <w:rsid w:val="27B2618D"/>
    <w:rsid w:val="27B43ED7"/>
    <w:rsid w:val="27BF71DF"/>
    <w:rsid w:val="27F35EA5"/>
    <w:rsid w:val="281E5E73"/>
    <w:rsid w:val="28664222"/>
    <w:rsid w:val="290E6818"/>
    <w:rsid w:val="294D0738"/>
    <w:rsid w:val="29600D58"/>
    <w:rsid w:val="2992520B"/>
    <w:rsid w:val="29CA626C"/>
    <w:rsid w:val="2A801263"/>
    <w:rsid w:val="2A9971F5"/>
    <w:rsid w:val="2AA21266"/>
    <w:rsid w:val="2AA95BA5"/>
    <w:rsid w:val="2ABE13ED"/>
    <w:rsid w:val="2AC04493"/>
    <w:rsid w:val="2AE14F54"/>
    <w:rsid w:val="2B4B4C1B"/>
    <w:rsid w:val="2B502CEF"/>
    <w:rsid w:val="2BE2122D"/>
    <w:rsid w:val="2C042764"/>
    <w:rsid w:val="2C20481B"/>
    <w:rsid w:val="2CAE6DE2"/>
    <w:rsid w:val="2CC474E0"/>
    <w:rsid w:val="2D0104B0"/>
    <w:rsid w:val="2D013252"/>
    <w:rsid w:val="2D0730B9"/>
    <w:rsid w:val="2D171DDE"/>
    <w:rsid w:val="2D3F34DB"/>
    <w:rsid w:val="2D4D6FBA"/>
    <w:rsid w:val="2DA97421"/>
    <w:rsid w:val="2E043382"/>
    <w:rsid w:val="2ECF7993"/>
    <w:rsid w:val="2F7F20F3"/>
    <w:rsid w:val="2F803926"/>
    <w:rsid w:val="2FA62330"/>
    <w:rsid w:val="2FB369EA"/>
    <w:rsid w:val="30126063"/>
    <w:rsid w:val="30D053DA"/>
    <w:rsid w:val="312638AC"/>
    <w:rsid w:val="31593079"/>
    <w:rsid w:val="318772A4"/>
    <w:rsid w:val="31B63537"/>
    <w:rsid w:val="32670643"/>
    <w:rsid w:val="328D5B57"/>
    <w:rsid w:val="32F216FD"/>
    <w:rsid w:val="33CD319F"/>
    <w:rsid w:val="33FC6B7D"/>
    <w:rsid w:val="34096006"/>
    <w:rsid w:val="34234369"/>
    <w:rsid w:val="34830FD5"/>
    <w:rsid w:val="34CD259A"/>
    <w:rsid w:val="35966A1E"/>
    <w:rsid w:val="36665A0A"/>
    <w:rsid w:val="36AA0F77"/>
    <w:rsid w:val="36C5484D"/>
    <w:rsid w:val="37074447"/>
    <w:rsid w:val="374919BA"/>
    <w:rsid w:val="37F24882"/>
    <w:rsid w:val="38C456B6"/>
    <w:rsid w:val="38CA576C"/>
    <w:rsid w:val="39170783"/>
    <w:rsid w:val="39385F2A"/>
    <w:rsid w:val="395D0634"/>
    <w:rsid w:val="3A98403C"/>
    <w:rsid w:val="3AA55977"/>
    <w:rsid w:val="3AB4537B"/>
    <w:rsid w:val="3AF901BE"/>
    <w:rsid w:val="3B447C42"/>
    <w:rsid w:val="3B825C42"/>
    <w:rsid w:val="3BB05708"/>
    <w:rsid w:val="3BBA5861"/>
    <w:rsid w:val="3BD629DB"/>
    <w:rsid w:val="3C3F33FB"/>
    <w:rsid w:val="3D94671E"/>
    <w:rsid w:val="3DB76BDD"/>
    <w:rsid w:val="3DD62F21"/>
    <w:rsid w:val="3E3644C9"/>
    <w:rsid w:val="3E745F6A"/>
    <w:rsid w:val="3F4816AD"/>
    <w:rsid w:val="3F5809FF"/>
    <w:rsid w:val="3F715CEC"/>
    <w:rsid w:val="3F7F06D1"/>
    <w:rsid w:val="3F99415B"/>
    <w:rsid w:val="402A7747"/>
    <w:rsid w:val="4036573C"/>
    <w:rsid w:val="40533AC9"/>
    <w:rsid w:val="41632564"/>
    <w:rsid w:val="41833066"/>
    <w:rsid w:val="41CB70F1"/>
    <w:rsid w:val="41E07F0D"/>
    <w:rsid w:val="41E54906"/>
    <w:rsid w:val="42336197"/>
    <w:rsid w:val="42C71E8E"/>
    <w:rsid w:val="42F15B18"/>
    <w:rsid w:val="42F604FC"/>
    <w:rsid w:val="43555AD5"/>
    <w:rsid w:val="439478D5"/>
    <w:rsid w:val="43BA3B08"/>
    <w:rsid w:val="440825C2"/>
    <w:rsid w:val="44E04418"/>
    <w:rsid w:val="450C3F85"/>
    <w:rsid w:val="455552B1"/>
    <w:rsid w:val="47A558F9"/>
    <w:rsid w:val="48051FA9"/>
    <w:rsid w:val="481F67A1"/>
    <w:rsid w:val="48E07DD9"/>
    <w:rsid w:val="48E83A5D"/>
    <w:rsid w:val="49323C78"/>
    <w:rsid w:val="493D1821"/>
    <w:rsid w:val="495C113B"/>
    <w:rsid w:val="49770B78"/>
    <w:rsid w:val="498819D7"/>
    <w:rsid w:val="4992053F"/>
    <w:rsid w:val="4AE27806"/>
    <w:rsid w:val="4B1902B9"/>
    <w:rsid w:val="4B4918AA"/>
    <w:rsid w:val="4B7F6577"/>
    <w:rsid w:val="4B8213CE"/>
    <w:rsid w:val="4B9D7814"/>
    <w:rsid w:val="4BB115CF"/>
    <w:rsid w:val="4C0A631C"/>
    <w:rsid w:val="4C3B0CF4"/>
    <w:rsid w:val="4C44075F"/>
    <w:rsid w:val="4C911D15"/>
    <w:rsid w:val="4CB472A0"/>
    <w:rsid w:val="4CD849E1"/>
    <w:rsid w:val="4D006868"/>
    <w:rsid w:val="4DF2664B"/>
    <w:rsid w:val="4E253D67"/>
    <w:rsid w:val="4E8F66B9"/>
    <w:rsid w:val="4EBA3966"/>
    <w:rsid w:val="4EC44E3D"/>
    <w:rsid w:val="4EEE1829"/>
    <w:rsid w:val="4F304374"/>
    <w:rsid w:val="4F4F08C4"/>
    <w:rsid w:val="4F6E3FC8"/>
    <w:rsid w:val="4FDE30A1"/>
    <w:rsid w:val="503715F1"/>
    <w:rsid w:val="507B1495"/>
    <w:rsid w:val="511D3FBB"/>
    <w:rsid w:val="51B275BF"/>
    <w:rsid w:val="51E375E9"/>
    <w:rsid w:val="52272605"/>
    <w:rsid w:val="52482BD0"/>
    <w:rsid w:val="52843772"/>
    <w:rsid w:val="52D033F8"/>
    <w:rsid w:val="52D13E8E"/>
    <w:rsid w:val="53023C7E"/>
    <w:rsid w:val="5307498A"/>
    <w:rsid w:val="532C3F13"/>
    <w:rsid w:val="53362386"/>
    <w:rsid w:val="53B5516E"/>
    <w:rsid w:val="545516CD"/>
    <w:rsid w:val="54F05A78"/>
    <w:rsid w:val="54F326CB"/>
    <w:rsid w:val="55307E39"/>
    <w:rsid w:val="555A6AEB"/>
    <w:rsid w:val="55747AA7"/>
    <w:rsid w:val="55C75AFB"/>
    <w:rsid w:val="55CD04A0"/>
    <w:rsid w:val="55F90757"/>
    <w:rsid w:val="56C138E7"/>
    <w:rsid w:val="56E71174"/>
    <w:rsid w:val="570051D2"/>
    <w:rsid w:val="573E2A61"/>
    <w:rsid w:val="577D2ADB"/>
    <w:rsid w:val="58462A43"/>
    <w:rsid w:val="58561664"/>
    <w:rsid w:val="58A6296E"/>
    <w:rsid w:val="58D9554F"/>
    <w:rsid w:val="5A333DF8"/>
    <w:rsid w:val="5A60716A"/>
    <w:rsid w:val="5A625E50"/>
    <w:rsid w:val="5B283CAD"/>
    <w:rsid w:val="5B4604FC"/>
    <w:rsid w:val="5B8300F8"/>
    <w:rsid w:val="5BB33376"/>
    <w:rsid w:val="5BC92F6F"/>
    <w:rsid w:val="5C183F9C"/>
    <w:rsid w:val="5C524015"/>
    <w:rsid w:val="5CAA3A1A"/>
    <w:rsid w:val="5CCD67C7"/>
    <w:rsid w:val="5D225C36"/>
    <w:rsid w:val="5D425E7B"/>
    <w:rsid w:val="5D486F66"/>
    <w:rsid w:val="5E2D259F"/>
    <w:rsid w:val="5E326915"/>
    <w:rsid w:val="5E5B15B6"/>
    <w:rsid w:val="5E8F589E"/>
    <w:rsid w:val="5E914CA6"/>
    <w:rsid w:val="5E933B48"/>
    <w:rsid w:val="5F105484"/>
    <w:rsid w:val="5F6E44CA"/>
    <w:rsid w:val="5F8513D5"/>
    <w:rsid w:val="5FDB6E25"/>
    <w:rsid w:val="601D68FD"/>
    <w:rsid w:val="603C6F02"/>
    <w:rsid w:val="607B588C"/>
    <w:rsid w:val="60AE2908"/>
    <w:rsid w:val="60B93D96"/>
    <w:rsid w:val="61402C21"/>
    <w:rsid w:val="61D45CEB"/>
    <w:rsid w:val="6200255F"/>
    <w:rsid w:val="62600494"/>
    <w:rsid w:val="62A1241E"/>
    <w:rsid w:val="62F50FAB"/>
    <w:rsid w:val="63883102"/>
    <w:rsid w:val="63921463"/>
    <w:rsid w:val="639B2326"/>
    <w:rsid w:val="64214327"/>
    <w:rsid w:val="646148E2"/>
    <w:rsid w:val="66287927"/>
    <w:rsid w:val="662D16E9"/>
    <w:rsid w:val="670E077D"/>
    <w:rsid w:val="674C570C"/>
    <w:rsid w:val="67D209DD"/>
    <w:rsid w:val="67D25D9F"/>
    <w:rsid w:val="681019F3"/>
    <w:rsid w:val="682E2395"/>
    <w:rsid w:val="68AD5286"/>
    <w:rsid w:val="68B51B6F"/>
    <w:rsid w:val="68DB13D5"/>
    <w:rsid w:val="691A156D"/>
    <w:rsid w:val="692D4B05"/>
    <w:rsid w:val="693E2506"/>
    <w:rsid w:val="697C1CD4"/>
    <w:rsid w:val="69DF10E9"/>
    <w:rsid w:val="6A152D07"/>
    <w:rsid w:val="6A69237F"/>
    <w:rsid w:val="6ACD3D18"/>
    <w:rsid w:val="6ACF1720"/>
    <w:rsid w:val="6ADF6149"/>
    <w:rsid w:val="6BA92A6A"/>
    <w:rsid w:val="6BBB4251"/>
    <w:rsid w:val="6BF928A6"/>
    <w:rsid w:val="6C1014A9"/>
    <w:rsid w:val="6C92280C"/>
    <w:rsid w:val="6CDB15BB"/>
    <w:rsid w:val="6CEB7663"/>
    <w:rsid w:val="6D1A0A61"/>
    <w:rsid w:val="6D56325F"/>
    <w:rsid w:val="6DB51FE6"/>
    <w:rsid w:val="6DE0145C"/>
    <w:rsid w:val="6DEB155E"/>
    <w:rsid w:val="6E4454DD"/>
    <w:rsid w:val="6E4B3365"/>
    <w:rsid w:val="6ED277F4"/>
    <w:rsid w:val="701A3A46"/>
    <w:rsid w:val="703939FC"/>
    <w:rsid w:val="7045621B"/>
    <w:rsid w:val="708031C7"/>
    <w:rsid w:val="7089094A"/>
    <w:rsid w:val="7096214F"/>
    <w:rsid w:val="70BD1030"/>
    <w:rsid w:val="70FF2C71"/>
    <w:rsid w:val="71B671A5"/>
    <w:rsid w:val="71DF7587"/>
    <w:rsid w:val="72092496"/>
    <w:rsid w:val="7233170B"/>
    <w:rsid w:val="728E08C6"/>
    <w:rsid w:val="730F78E9"/>
    <w:rsid w:val="734A6455"/>
    <w:rsid w:val="736A37C7"/>
    <w:rsid w:val="73772F6F"/>
    <w:rsid w:val="738C18E8"/>
    <w:rsid w:val="73EE7178"/>
    <w:rsid w:val="750E23DE"/>
    <w:rsid w:val="75433F8A"/>
    <w:rsid w:val="75AC21D4"/>
    <w:rsid w:val="764D456B"/>
    <w:rsid w:val="769B168E"/>
    <w:rsid w:val="76A71779"/>
    <w:rsid w:val="76B844BD"/>
    <w:rsid w:val="76D6564D"/>
    <w:rsid w:val="77002480"/>
    <w:rsid w:val="770D6C13"/>
    <w:rsid w:val="773B4DA2"/>
    <w:rsid w:val="77447505"/>
    <w:rsid w:val="77531D3B"/>
    <w:rsid w:val="77645B68"/>
    <w:rsid w:val="784B1942"/>
    <w:rsid w:val="78650508"/>
    <w:rsid w:val="78A02C1F"/>
    <w:rsid w:val="78C63858"/>
    <w:rsid w:val="78D40606"/>
    <w:rsid w:val="7A1227E1"/>
    <w:rsid w:val="7A130AB2"/>
    <w:rsid w:val="7A5501A7"/>
    <w:rsid w:val="7A5F242F"/>
    <w:rsid w:val="7A7409AD"/>
    <w:rsid w:val="7AA037AD"/>
    <w:rsid w:val="7AAC41E6"/>
    <w:rsid w:val="7AD13192"/>
    <w:rsid w:val="7AF107B8"/>
    <w:rsid w:val="7B1D6BA2"/>
    <w:rsid w:val="7B5204A7"/>
    <w:rsid w:val="7B5D1E53"/>
    <w:rsid w:val="7BB07EE9"/>
    <w:rsid w:val="7BD97765"/>
    <w:rsid w:val="7BF65D75"/>
    <w:rsid w:val="7C034143"/>
    <w:rsid w:val="7C8B505B"/>
    <w:rsid w:val="7C931C98"/>
    <w:rsid w:val="7CA970B4"/>
    <w:rsid w:val="7CE3545D"/>
    <w:rsid w:val="7CE40555"/>
    <w:rsid w:val="7D435F78"/>
    <w:rsid w:val="7D5C2481"/>
    <w:rsid w:val="7D677837"/>
    <w:rsid w:val="7D874673"/>
    <w:rsid w:val="7D9A05EF"/>
    <w:rsid w:val="7E3819E6"/>
    <w:rsid w:val="7E504659"/>
    <w:rsid w:val="7E6E7EDC"/>
    <w:rsid w:val="7EA92B0E"/>
    <w:rsid w:val="7EAB66DA"/>
    <w:rsid w:val="7EE3542B"/>
    <w:rsid w:val="7EF476D5"/>
    <w:rsid w:val="7FE160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4"/>
    <w:basedOn w:val="1"/>
    <w:next w:val="1"/>
    <w:link w:val="29"/>
    <w:semiHidden/>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23"/>
    <w:qFormat/>
    <w:uiPriority w:val="99"/>
    <w:rPr>
      <w:rFonts w:eastAsia="仿宋_GB2312"/>
      <w:sz w:val="24"/>
      <w:szCs w:val="20"/>
    </w:rPr>
  </w:style>
  <w:style w:type="paragraph" w:styleId="4">
    <w:name w:val="annotation text"/>
    <w:basedOn w:val="1"/>
    <w:link w:val="25"/>
    <w:qFormat/>
    <w:uiPriority w:val="0"/>
    <w:pPr>
      <w:jc w:val="left"/>
    </w:pPr>
  </w:style>
  <w:style w:type="paragraph" w:styleId="5">
    <w:name w:val="toc 3"/>
    <w:basedOn w:val="1"/>
    <w:next w:val="1"/>
    <w:qFormat/>
    <w:uiPriority w:val="39"/>
    <w:pPr>
      <w:ind w:left="840" w:leftChars="400"/>
    </w:pPr>
  </w:style>
  <w:style w:type="paragraph" w:styleId="6">
    <w:name w:val="Date"/>
    <w:basedOn w:val="1"/>
    <w:next w:val="1"/>
    <w:link w:val="28"/>
    <w:qFormat/>
    <w:uiPriority w:val="0"/>
    <w:pPr>
      <w:ind w:left="100" w:leftChars="2500"/>
    </w:pPr>
  </w:style>
  <w:style w:type="paragraph" w:styleId="7">
    <w:name w:val="Balloon Text"/>
    <w:basedOn w:val="1"/>
    <w:link w:val="24"/>
    <w:qFormat/>
    <w:uiPriority w:val="0"/>
    <w:rPr>
      <w:sz w:val="18"/>
      <w:szCs w:val="18"/>
    </w:rPr>
  </w:style>
  <w:style w:type="paragraph" w:styleId="8">
    <w:name w:val="footer"/>
    <w:basedOn w:val="1"/>
    <w:link w:val="30"/>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toc 1"/>
    <w:basedOn w:val="1"/>
    <w:next w:val="1"/>
    <w:qFormat/>
    <w:uiPriority w:val="39"/>
  </w:style>
  <w:style w:type="paragraph" w:styleId="11">
    <w:name w:val="toc 2"/>
    <w:basedOn w:val="1"/>
    <w:next w:val="1"/>
    <w:qFormat/>
    <w:uiPriority w:val="39"/>
    <w:pPr>
      <w:ind w:left="420" w:leftChars="200"/>
    </w:pPr>
  </w:style>
  <w:style w:type="paragraph" w:styleId="12">
    <w:name w:val="Normal (Web)"/>
    <w:basedOn w:val="1"/>
    <w:qFormat/>
    <w:uiPriority w:val="0"/>
    <w:rPr>
      <w:rFonts w:ascii="Times New Roman" w:hAnsi="Times New Roman" w:cs="Times New Roman"/>
      <w:sz w:val="24"/>
    </w:rPr>
  </w:style>
  <w:style w:type="paragraph" w:styleId="13">
    <w:name w:val="annotation subject"/>
    <w:basedOn w:val="4"/>
    <w:next w:val="4"/>
    <w:link w:val="26"/>
    <w:qFormat/>
    <w:uiPriority w:val="0"/>
    <w:rPr>
      <w:b/>
      <w:bCs/>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Hyperlink"/>
    <w:basedOn w:val="16"/>
    <w:unhideWhenUsed/>
    <w:qFormat/>
    <w:uiPriority w:val="99"/>
    <w:rPr>
      <w:color w:val="0563C1" w:themeColor="hyperlink"/>
      <w:u w:val="single"/>
      <w14:textFill>
        <w14:solidFill>
          <w14:schemeClr w14:val="hlink"/>
        </w14:solidFill>
      </w14:textFill>
    </w:rPr>
  </w:style>
  <w:style w:type="character" w:styleId="18">
    <w:name w:val="annotation reference"/>
    <w:basedOn w:val="16"/>
    <w:qFormat/>
    <w:uiPriority w:val="0"/>
    <w:rPr>
      <w:sz w:val="21"/>
      <w:szCs w:val="21"/>
    </w:rPr>
  </w:style>
  <w:style w:type="character" w:customStyle="1" w:styleId="19">
    <w:name w:val="font11"/>
    <w:basedOn w:val="16"/>
    <w:qFormat/>
    <w:uiPriority w:val="0"/>
    <w:rPr>
      <w:rFonts w:ascii="宋体" w:hAnsi="宋体" w:eastAsia="宋体" w:cs="宋体"/>
      <w:color w:val="000000"/>
      <w:sz w:val="24"/>
      <w:szCs w:val="24"/>
      <w:u w:val="none"/>
    </w:rPr>
  </w:style>
  <w:style w:type="character" w:customStyle="1" w:styleId="20">
    <w:name w:val="font01"/>
    <w:basedOn w:val="16"/>
    <w:qFormat/>
    <w:uiPriority w:val="0"/>
    <w:rPr>
      <w:rFonts w:hint="eastAsia" w:ascii="宋体" w:hAnsi="宋体" w:eastAsia="宋体" w:cs="宋体"/>
      <w:color w:val="000000"/>
      <w:sz w:val="24"/>
      <w:szCs w:val="24"/>
      <w:u w:val="none"/>
    </w:rPr>
  </w:style>
  <w:style w:type="character" w:customStyle="1" w:styleId="21">
    <w:name w:val="font21"/>
    <w:basedOn w:val="16"/>
    <w:qFormat/>
    <w:uiPriority w:val="0"/>
    <w:rPr>
      <w:rFonts w:hint="eastAsia" w:ascii="宋体" w:hAnsi="宋体" w:eastAsia="宋体" w:cs="宋体"/>
      <w:b/>
      <w:color w:val="000000"/>
      <w:sz w:val="20"/>
      <w:szCs w:val="20"/>
      <w:u w:val="none"/>
    </w:rPr>
  </w:style>
  <w:style w:type="character" w:customStyle="1" w:styleId="22">
    <w:name w:val="font31"/>
    <w:basedOn w:val="16"/>
    <w:qFormat/>
    <w:uiPriority w:val="0"/>
    <w:rPr>
      <w:rFonts w:hint="eastAsia" w:ascii="宋体" w:hAnsi="宋体" w:eastAsia="宋体" w:cs="宋体"/>
      <w:color w:val="000000"/>
      <w:sz w:val="20"/>
      <w:szCs w:val="20"/>
      <w:u w:val="none"/>
    </w:rPr>
  </w:style>
  <w:style w:type="character" w:customStyle="1" w:styleId="23">
    <w:name w:val="正文文本 字符"/>
    <w:basedOn w:val="16"/>
    <w:link w:val="2"/>
    <w:qFormat/>
    <w:uiPriority w:val="99"/>
    <w:rPr>
      <w:rFonts w:eastAsia="仿宋_GB2312" w:asciiTheme="minorHAnsi" w:hAnsiTheme="minorHAnsi" w:cstheme="minorBidi"/>
      <w:kern w:val="2"/>
      <w:sz w:val="24"/>
    </w:rPr>
  </w:style>
  <w:style w:type="character" w:customStyle="1" w:styleId="24">
    <w:name w:val="批注框文本 字符"/>
    <w:basedOn w:val="16"/>
    <w:link w:val="7"/>
    <w:qFormat/>
    <w:uiPriority w:val="0"/>
    <w:rPr>
      <w:rFonts w:asciiTheme="minorHAnsi" w:hAnsiTheme="minorHAnsi" w:eastAsiaTheme="minorEastAsia" w:cstheme="minorBidi"/>
      <w:kern w:val="2"/>
      <w:sz w:val="18"/>
      <w:szCs w:val="18"/>
    </w:rPr>
  </w:style>
  <w:style w:type="character" w:customStyle="1" w:styleId="25">
    <w:name w:val="批注文字 字符"/>
    <w:basedOn w:val="16"/>
    <w:link w:val="4"/>
    <w:qFormat/>
    <w:uiPriority w:val="0"/>
    <w:rPr>
      <w:rFonts w:asciiTheme="minorHAnsi" w:hAnsiTheme="minorHAnsi" w:eastAsiaTheme="minorEastAsia" w:cstheme="minorBidi"/>
      <w:kern w:val="2"/>
      <w:sz w:val="21"/>
      <w:szCs w:val="24"/>
    </w:rPr>
  </w:style>
  <w:style w:type="character" w:customStyle="1" w:styleId="26">
    <w:name w:val="批注主题 字符"/>
    <w:basedOn w:val="25"/>
    <w:link w:val="13"/>
    <w:qFormat/>
    <w:uiPriority w:val="0"/>
    <w:rPr>
      <w:rFonts w:asciiTheme="minorHAnsi" w:hAnsiTheme="minorHAnsi" w:eastAsiaTheme="minorEastAsia" w:cstheme="minorBidi"/>
      <w:b/>
      <w:bCs/>
      <w:kern w:val="2"/>
      <w:sz w:val="21"/>
      <w:szCs w:val="24"/>
    </w:rPr>
  </w:style>
  <w:style w:type="paragraph" w:styleId="27">
    <w:name w:val="List Paragraph"/>
    <w:basedOn w:val="1"/>
    <w:qFormat/>
    <w:uiPriority w:val="99"/>
    <w:pPr>
      <w:ind w:firstLine="420" w:firstLineChars="200"/>
    </w:pPr>
  </w:style>
  <w:style w:type="character" w:customStyle="1" w:styleId="28">
    <w:name w:val="日期 字符"/>
    <w:basedOn w:val="16"/>
    <w:link w:val="6"/>
    <w:qFormat/>
    <w:uiPriority w:val="0"/>
    <w:rPr>
      <w:rFonts w:asciiTheme="minorHAnsi" w:hAnsiTheme="minorHAnsi" w:eastAsiaTheme="minorEastAsia" w:cstheme="minorBidi"/>
      <w:kern w:val="2"/>
      <w:sz w:val="21"/>
      <w:szCs w:val="24"/>
    </w:rPr>
  </w:style>
  <w:style w:type="character" w:customStyle="1" w:styleId="29">
    <w:name w:val="标题 4 字符"/>
    <w:basedOn w:val="16"/>
    <w:link w:val="3"/>
    <w:semiHidden/>
    <w:qFormat/>
    <w:uiPriority w:val="0"/>
    <w:rPr>
      <w:rFonts w:asciiTheme="majorHAnsi" w:hAnsiTheme="majorHAnsi" w:eastAsiaTheme="majorEastAsia" w:cstheme="majorBidi"/>
      <w:b/>
      <w:bCs/>
      <w:kern w:val="2"/>
      <w:sz w:val="28"/>
      <w:szCs w:val="28"/>
    </w:rPr>
  </w:style>
  <w:style w:type="character" w:customStyle="1" w:styleId="30">
    <w:name w:val="页脚 字符"/>
    <w:basedOn w:val="16"/>
    <w:link w:val="8"/>
    <w:qFormat/>
    <w:uiPriority w:val="99"/>
    <w:rPr>
      <w:rFonts w:asciiTheme="minorHAnsi" w:hAnsiTheme="minorHAnsi" w:eastAsiaTheme="minorEastAsia" w:cstheme="minorBidi"/>
      <w:kern w:val="2"/>
      <w:sz w:val="18"/>
      <w:szCs w:val="24"/>
    </w:rPr>
  </w:style>
  <w:style w:type="character" w:customStyle="1" w:styleId="31">
    <w:name w:val="font71"/>
    <w:basedOn w:val="16"/>
    <w:qFormat/>
    <w:uiPriority w:val="0"/>
    <w:rPr>
      <w:rFonts w:hint="default" w:ascii="华文中宋" w:hAnsi="华文中宋" w:eastAsia="华文中宋" w:cs="华文中宋"/>
      <w:color w:val="000000"/>
      <w:sz w:val="32"/>
      <w:szCs w:val="32"/>
      <w:u w:val="none"/>
    </w:rPr>
  </w:style>
  <w:style w:type="character" w:customStyle="1" w:styleId="32">
    <w:name w:val="font91"/>
    <w:basedOn w:val="16"/>
    <w:qFormat/>
    <w:uiPriority w:val="0"/>
    <w:rPr>
      <w:rFonts w:hint="eastAsia" w:ascii="宋体" w:hAnsi="宋体" w:eastAsia="宋体" w:cs="宋体"/>
      <w:color w:val="000000"/>
      <w:sz w:val="20"/>
      <w:szCs w:val="20"/>
      <w:u w:val="none"/>
    </w:rPr>
  </w:style>
  <w:style w:type="character" w:customStyle="1" w:styleId="33">
    <w:name w:val="font41"/>
    <w:basedOn w:val="16"/>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38B6AA-6689-462B-888E-2C58BA2E80DC}">
  <ds:schemaRefs/>
</ds:datastoreItem>
</file>

<file path=docProps/app.xml><?xml version="1.0" encoding="utf-8"?>
<Properties xmlns="http://schemas.openxmlformats.org/officeDocument/2006/extended-properties" xmlns:vt="http://schemas.openxmlformats.org/officeDocument/2006/docPropsVTypes">
  <Template>Normal</Template>
  <Pages>15</Pages>
  <Words>6231</Words>
  <Characters>6572</Characters>
  <Lines>47</Lines>
  <Paragraphs>13</Paragraphs>
  <TotalTime>10</TotalTime>
  <ScaleCrop>false</ScaleCrop>
  <LinksUpToDate>false</LinksUpToDate>
  <CharactersWithSpaces>6575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2021-10-21T14:51:00Z</dcterms:created>
  <dc:creator>16255</dc:creator>
  <cp:lastModifiedBy>仙人球</cp:lastModifiedBy>
  <cp:lastPrinted>2021-11-05T09:01:00Z</cp:lastPrinted>
  <dcterms:modified xsi:type="dcterms:W3CDTF">2023-06-13T01:58:11Z</dcterms:modified>
  <cp:revision>102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44EEDC3306A14739BF0DECE6A816F39D_13</vt:lpwstr>
  </property>
</Properties>
</file>